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5FBC5828" w:rsidR="00C85C8B" w:rsidRPr="00B16706" w:rsidRDefault="00B92149" w:rsidP="00C85C8B">
                <w:pPr>
                  <w:rPr>
                    <w:rFonts w:ascii="Arial" w:hAnsi="Arial" w:cs="Arial"/>
                    <w:color w:val="808080"/>
                    <w:sz w:val="16"/>
                    <w:szCs w:val="20"/>
                    <w:lang w:eastAsia="de-DE"/>
                  </w:rPr>
                </w:pPr>
                <w:r>
                  <w:rPr>
                    <w:rFonts w:ascii="Arial" w:hAnsi="Arial" w:cs="Arial"/>
                    <w:color w:val="808080"/>
                    <w:sz w:val="16"/>
                    <w:szCs w:val="20"/>
                    <w:lang w:eastAsia="de-DE"/>
                  </w:rPr>
                  <w:t>LSEG</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0117FD39" w:rsidR="00C85C8B" w:rsidRPr="00B16706" w:rsidRDefault="0026254E"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14094">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10551C26" w:rsidR="00C85C8B" w:rsidRPr="00B16706" w:rsidRDefault="00F14094"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6708E9E6" w14:textId="658842EE" w:rsidR="00AE3656" w:rsidRPr="0073371E" w:rsidRDefault="00AE3656" w:rsidP="00AE3656">
      <w:pPr>
        <w:spacing w:after="160" w:line="259" w:lineRule="auto"/>
        <w:jc w:val="both"/>
        <w:rPr>
          <w:sz w:val="22"/>
          <w:szCs w:val="22"/>
        </w:rPr>
      </w:pPr>
      <w:permStart w:id="785210304" w:edGrp="everyone"/>
      <w:r w:rsidRPr="0073371E">
        <w:rPr>
          <w:sz w:val="22"/>
          <w:szCs w:val="22"/>
        </w:rPr>
        <w:t>We agree with the description of the key challenges outlined in the C</w:t>
      </w:r>
      <w:r w:rsidR="00C14C1E">
        <w:rPr>
          <w:sz w:val="22"/>
          <w:szCs w:val="22"/>
        </w:rPr>
        <w:t xml:space="preserve">all for </w:t>
      </w:r>
      <w:r w:rsidRPr="0073371E">
        <w:rPr>
          <w:sz w:val="22"/>
          <w:szCs w:val="22"/>
        </w:rPr>
        <w:t>E</w:t>
      </w:r>
      <w:r w:rsidR="00C14C1E">
        <w:rPr>
          <w:sz w:val="22"/>
          <w:szCs w:val="22"/>
        </w:rPr>
        <w:t>vidence (</w:t>
      </w:r>
      <w:proofErr w:type="spellStart"/>
      <w:r w:rsidR="00C14C1E">
        <w:rPr>
          <w:sz w:val="22"/>
          <w:szCs w:val="22"/>
        </w:rPr>
        <w:t>CfE</w:t>
      </w:r>
      <w:proofErr w:type="spellEnd"/>
      <w:r w:rsidR="00C14C1E">
        <w:rPr>
          <w:sz w:val="22"/>
          <w:szCs w:val="22"/>
        </w:rPr>
        <w:t>)</w:t>
      </w:r>
      <w:r w:rsidRPr="0073371E">
        <w:rPr>
          <w:sz w:val="22"/>
          <w:szCs w:val="22"/>
        </w:rPr>
        <w:t xml:space="preserve">. </w:t>
      </w:r>
      <w:r>
        <w:rPr>
          <w:sz w:val="22"/>
          <w:szCs w:val="22"/>
        </w:rPr>
        <w:t xml:space="preserve">With regards to the main cost drivers, we would like to highlight the following. </w:t>
      </w:r>
    </w:p>
    <w:p w14:paraId="5C02048E" w14:textId="77777777" w:rsidR="00AE3656" w:rsidRPr="001D6D2F" w:rsidRDefault="00AE3656" w:rsidP="00AE3656">
      <w:pPr>
        <w:numPr>
          <w:ilvl w:val="0"/>
          <w:numId w:val="37"/>
        </w:numPr>
        <w:spacing w:after="160" w:line="259" w:lineRule="auto"/>
        <w:jc w:val="both"/>
        <w:rPr>
          <w:sz w:val="22"/>
          <w:szCs w:val="22"/>
        </w:rPr>
      </w:pPr>
      <w:r w:rsidRPr="001D6D2F">
        <w:rPr>
          <w:b/>
          <w:sz w:val="22"/>
          <w:szCs w:val="22"/>
        </w:rPr>
        <w:t xml:space="preserve">Frequent Regulatory Changes </w:t>
      </w:r>
    </w:p>
    <w:p w14:paraId="547599EB" w14:textId="77777777" w:rsidR="00AE3656" w:rsidRPr="001D6D2F" w:rsidRDefault="00AE3656" w:rsidP="00AE3656">
      <w:pPr>
        <w:numPr>
          <w:ilvl w:val="1"/>
          <w:numId w:val="37"/>
        </w:numPr>
        <w:spacing w:after="160" w:line="259" w:lineRule="auto"/>
        <w:jc w:val="both"/>
        <w:rPr>
          <w:sz w:val="22"/>
          <w:szCs w:val="22"/>
        </w:rPr>
      </w:pPr>
      <w:r w:rsidRPr="418DEC6B">
        <w:rPr>
          <w:sz w:val="22"/>
          <w:szCs w:val="22"/>
        </w:rPr>
        <w:t>Frequent</w:t>
      </w:r>
      <w:r w:rsidRPr="001D6D2F">
        <w:rPr>
          <w:sz w:val="22"/>
          <w:szCs w:val="22"/>
        </w:rPr>
        <w:t xml:space="preserve"> regulatory </w:t>
      </w:r>
      <w:r w:rsidRPr="418DEC6B">
        <w:rPr>
          <w:sz w:val="22"/>
          <w:szCs w:val="22"/>
        </w:rPr>
        <w:t>changes, both of a small magnitude and complex, have an impact on all stakeholders in the industry with coordination required. We advocate for a regulatory reporting environment that remains stable over time and allows the industry to invest time and resources in</w:t>
      </w:r>
      <w:r w:rsidRPr="001D6D2F">
        <w:rPr>
          <w:sz w:val="22"/>
          <w:szCs w:val="22"/>
        </w:rPr>
        <w:t xml:space="preserve"> initiatives </w:t>
      </w:r>
      <w:r w:rsidRPr="418DEC6B">
        <w:rPr>
          <w:sz w:val="22"/>
          <w:szCs w:val="22"/>
        </w:rPr>
        <w:t>to</w:t>
      </w:r>
      <w:r w:rsidRPr="001D6D2F">
        <w:rPr>
          <w:sz w:val="22"/>
          <w:szCs w:val="22"/>
        </w:rPr>
        <w:t xml:space="preserve"> enhance operational efficiency and reporting accuracy.</w:t>
      </w:r>
    </w:p>
    <w:p w14:paraId="3E9EC083" w14:textId="77777777" w:rsidR="00AE3656" w:rsidRDefault="00AE3656" w:rsidP="00AE3656">
      <w:pPr>
        <w:numPr>
          <w:ilvl w:val="1"/>
          <w:numId w:val="37"/>
        </w:numPr>
        <w:spacing w:after="160" w:line="259" w:lineRule="auto"/>
        <w:jc w:val="both"/>
        <w:rPr>
          <w:sz w:val="22"/>
          <w:szCs w:val="22"/>
        </w:rPr>
      </w:pPr>
      <w:r w:rsidRPr="001D6D2F">
        <w:rPr>
          <w:sz w:val="22"/>
          <w:szCs w:val="22"/>
        </w:rPr>
        <w:t xml:space="preserve">A lack of synchronisation and coordination across regulatory changes further exacerbates the </w:t>
      </w:r>
      <w:r w:rsidRPr="418DEC6B">
        <w:rPr>
          <w:sz w:val="22"/>
          <w:szCs w:val="22"/>
        </w:rPr>
        <w:t>challenges.</w:t>
      </w:r>
    </w:p>
    <w:p w14:paraId="6B4C29E5" w14:textId="77777777" w:rsidR="00AE3656" w:rsidRPr="001D6D2F" w:rsidRDefault="00AE3656" w:rsidP="00AE3656">
      <w:pPr>
        <w:numPr>
          <w:ilvl w:val="1"/>
          <w:numId w:val="37"/>
        </w:numPr>
        <w:spacing w:after="160" w:line="259" w:lineRule="auto"/>
        <w:jc w:val="both"/>
        <w:rPr>
          <w:sz w:val="22"/>
          <w:szCs w:val="22"/>
        </w:rPr>
      </w:pPr>
      <w:r>
        <w:rPr>
          <w:sz w:val="22"/>
          <w:szCs w:val="22"/>
        </w:rPr>
        <w:t>M</w:t>
      </w:r>
      <w:r w:rsidRPr="003B5CB0">
        <w:rPr>
          <w:sz w:val="22"/>
          <w:szCs w:val="22"/>
        </w:rPr>
        <w:t>eeting transactional reporting obligations</w:t>
      </w:r>
      <w:r>
        <w:rPr>
          <w:sz w:val="22"/>
          <w:szCs w:val="22"/>
        </w:rPr>
        <w:t xml:space="preserve"> stemming from frequent changes in requirements adds to the</w:t>
      </w:r>
      <w:r w:rsidRPr="003B5CB0">
        <w:rPr>
          <w:sz w:val="22"/>
          <w:szCs w:val="22"/>
        </w:rPr>
        <w:t xml:space="preserve"> IT development cost to meet changes in those requirements.</w:t>
      </w:r>
    </w:p>
    <w:p w14:paraId="63F01AE5" w14:textId="77777777" w:rsidR="00AE3656" w:rsidRPr="001D6D2F" w:rsidRDefault="00AE3656" w:rsidP="00AE3656">
      <w:pPr>
        <w:numPr>
          <w:ilvl w:val="0"/>
          <w:numId w:val="37"/>
        </w:numPr>
        <w:spacing w:after="160" w:line="259" w:lineRule="auto"/>
        <w:jc w:val="both"/>
        <w:rPr>
          <w:sz w:val="22"/>
          <w:szCs w:val="22"/>
        </w:rPr>
      </w:pPr>
      <w:bookmarkStart w:id="1" w:name="_Hlk206154548"/>
      <w:r w:rsidRPr="418DEC6B">
        <w:rPr>
          <w:b/>
          <w:bCs/>
          <w:sz w:val="22"/>
          <w:szCs w:val="22"/>
        </w:rPr>
        <w:t>Differing</w:t>
      </w:r>
      <w:r w:rsidRPr="001D6D2F">
        <w:rPr>
          <w:b/>
          <w:sz w:val="22"/>
          <w:szCs w:val="22"/>
        </w:rPr>
        <w:t xml:space="preserve"> Terminology and Definitions Across Reporting Regimes</w:t>
      </w:r>
    </w:p>
    <w:bookmarkEnd w:id="1"/>
    <w:p w14:paraId="0D44A1D4" w14:textId="77777777" w:rsidR="00AE3656" w:rsidRPr="001D6D2F" w:rsidRDefault="00AE3656" w:rsidP="00AE3656">
      <w:pPr>
        <w:numPr>
          <w:ilvl w:val="1"/>
          <w:numId w:val="37"/>
        </w:numPr>
        <w:spacing w:after="160" w:line="259" w:lineRule="auto"/>
        <w:jc w:val="both"/>
        <w:rPr>
          <w:sz w:val="22"/>
          <w:szCs w:val="22"/>
        </w:rPr>
      </w:pPr>
      <w:r w:rsidRPr="001D6D2F">
        <w:rPr>
          <w:sz w:val="22"/>
          <w:szCs w:val="22"/>
        </w:rPr>
        <w:t xml:space="preserve">Variations </w:t>
      </w:r>
      <w:r w:rsidRPr="418DEC6B">
        <w:rPr>
          <w:sz w:val="22"/>
          <w:szCs w:val="22"/>
        </w:rPr>
        <w:t xml:space="preserve">and, in some cases, inconsistent </w:t>
      </w:r>
      <w:r w:rsidRPr="001D6D2F">
        <w:rPr>
          <w:sz w:val="22"/>
          <w:szCs w:val="22"/>
        </w:rPr>
        <w:t xml:space="preserve">terminology, definitions, and reporting practices across different regimes hinder the ability to effectively </w:t>
      </w:r>
      <w:r w:rsidRPr="418DEC6B">
        <w:rPr>
          <w:sz w:val="22"/>
          <w:szCs w:val="22"/>
        </w:rPr>
        <w:t>manag</w:t>
      </w:r>
      <w:r>
        <w:rPr>
          <w:sz w:val="22"/>
          <w:szCs w:val="22"/>
        </w:rPr>
        <w:t>e</w:t>
      </w:r>
      <w:r w:rsidRPr="418DEC6B">
        <w:rPr>
          <w:sz w:val="22"/>
          <w:szCs w:val="22"/>
        </w:rPr>
        <w:t xml:space="preserve"> and maintain the reporting solutions offering</w:t>
      </w:r>
      <w:r>
        <w:rPr>
          <w:sz w:val="22"/>
          <w:szCs w:val="22"/>
        </w:rPr>
        <w:t xml:space="preserve">. This also adds to operational burden i.e. </w:t>
      </w:r>
      <w:r w:rsidRPr="001D6D2F">
        <w:rPr>
          <w:sz w:val="22"/>
          <w:szCs w:val="22"/>
        </w:rPr>
        <w:t>cross-train staff</w:t>
      </w:r>
      <w:r>
        <w:rPr>
          <w:sz w:val="22"/>
          <w:szCs w:val="22"/>
        </w:rPr>
        <w:t xml:space="preserve">. </w:t>
      </w:r>
    </w:p>
    <w:p w14:paraId="1D01054E" w14:textId="77777777" w:rsidR="00AE3656" w:rsidRDefault="00AE3656" w:rsidP="00AE3656">
      <w:pPr>
        <w:numPr>
          <w:ilvl w:val="1"/>
          <w:numId w:val="37"/>
        </w:numPr>
        <w:spacing w:after="160" w:line="259" w:lineRule="auto"/>
        <w:jc w:val="both"/>
        <w:rPr>
          <w:sz w:val="22"/>
          <w:szCs w:val="22"/>
        </w:rPr>
      </w:pPr>
      <w:r w:rsidRPr="001D6D2F">
        <w:rPr>
          <w:sz w:val="22"/>
          <w:szCs w:val="22"/>
        </w:rPr>
        <w:t xml:space="preserve">The inconsistent application of Critical Data Elements (CDEs) across </w:t>
      </w:r>
      <w:proofErr w:type="spellStart"/>
      <w:r w:rsidRPr="001D6D2F">
        <w:rPr>
          <w:sz w:val="22"/>
          <w:szCs w:val="22"/>
        </w:rPr>
        <w:t>MiFIR</w:t>
      </w:r>
      <w:proofErr w:type="spellEnd"/>
      <w:r w:rsidRPr="001D6D2F">
        <w:rPr>
          <w:sz w:val="22"/>
          <w:szCs w:val="22"/>
        </w:rPr>
        <w:t>, EMIR, and SFTR presents challenges in both technology implementation and staff training.</w:t>
      </w:r>
    </w:p>
    <w:p w14:paraId="4B353928" w14:textId="77777777" w:rsidR="00AE3656" w:rsidRDefault="00AE3656" w:rsidP="00AE3656">
      <w:pPr>
        <w:numPr>
          <w:ilvl w:val="1"/>
          <w:numId w:val="37"/>
        </w:numPr>
        <w:spacing w:after="160" w:line="259" w:lineRule="auto"/>
        <w:jc w:val="both"/>
        <w:rPr>
          <w:sz w:val="22"/>
          <w:szCs w:val="22"/>
        </w:rPr>
      </w:pPr>
      <w:r w:rsidRPr="0021502E">
        <w:rPr>
          <w:sz w:val="22"/>
          <w:szCs w:val="22"/>
        </w:rPr>
        <w:t>Although there have been significant steps toward harmonisation across the G20 especially with the introduction of CDE fields</w:t>
      </w:r>
      <w:r w:rsidRPr="418DEC6B">
        <w:rPr>
          <w:sz w:val="22"/>
          <w:szCs w:val="22"/>
        </w:rPr>
        <w:t>, r</w:t>
      </w:r>
      <w:r w:rsidRPr="0021502E">
        <w:rPr>
          <w:sz w:val="22"/>
          <w:szCs w:val="22"/>
        </w:rPr>
        <w:t xml:space="preserve">eporting submissions are not alike with reportable fields outside those of the CDE dataset widely differing </w:t>
      </w:r>
      <w:r w:rsidRPr="418DEC6B">
        <w:rPr>
          <w:sz w:val="22"/>
          <w:szCs w:val="22"/>
        </w:rPr>
        <w:t>across regimes</w:t>
      </w:r>
      <w:r w:rsidRPr="0021502E">
        <w:rPr>
          <w:sz w:val="22"/>
          <w:szCs w:val="22"/>
        </w:rPr>
        <w:t xml:space="preserve"> as well as the definition of common fields varying from one regime to another. </w:t>
      </w:r>
      <w:r w:rsidRPr="418DEC6B">
        <w:rPr>
          <w:sz w:val="22"/>
          <w:szCs w:val="22"/>
        </w:rPr>
        <w:t>T</w:t>
      </w:r>
      <w:r w:rsidRPr="0021502E">
        <w:rPr>
          <w:sz w:val="22"/>
          <w:szCs w:val="22"/>
        </w:rPr>
        <w:t>his leads to separate codebases to submit the same transaction under more than one regime.</w:t>
      </w:r>
      <w:r>
        <w:rPr>
          <w:sz w:val="22"/>
          <w:szCs w:val="22"/>
        </w:rPr>
        <w:t xml:space="preserve"> We would welcome additional harmonisation in this context. </w:t>
      </w:r>
    </w:p>
    <w:p w14:paraId="53DE99BC" w14:textId="77777777" w:rsidR="00AE3656" w:rsidRPr="001D6D2F" w:rsidRDefault="00AE3656" w:rsidP="00AE3656">
      <w:pPr>
        <w:numPr>
          <w:ilvl w:val="0"/>
          <w:numId w:val="37"/>
        </w:numPr>
        <w:spacing w:after="160" w:line="259" w:lineRule="auto"/>
        <w:jc w:val="both"/>
        <w:rPr>
          <w:sz w:val="22"/>
          <w:szCs w:val="22"/>
        </w:rPr>
      </w:pPr>
      <w:bookmarkStart w:id="2" w:name="_Hlk206154571"/>
      <w:r w:rsidRPr="001D6D2F">
        <w:rPr>
          <w:b/>
          <w:sz w:val="22"/>
          <w:szCs w:val="22"/>
        </w:rPr>
        <w:t>Limited reconciliation across Regimes</w:t>
      </w:r>
    </w:p>
    <w:bookmarkEnd w:id="2"/>
    <w:p w14:paraId="1DBC91D9" w14:textId="77777777" w:rsidR="00AE3656" w:rsidRPr="001D6D2F" w:rsidRDefault="00AE3656" w:rsidP="00AE3656">
      <w:pPr>
        <w:numPr>
          <w:ilvl w:val="1"/>
          <w:numId w:val="37"/>
        </w:numPr>
        <w:spacing w:after="160" w:line="259" w:lineRule="auto"/>
        <w:jc w:val="both"/>
        <w:rPr>
          <w:sz w:val="22"/>
          <w:szCs w:val="22"/>
        </w:rPr>
      </w:pPr>
      <w:r w:rsidRPr="001D6D2F">
        <w:rPr>
          <w:sz w:val="22"/>
          <w:szCs w:val="22"/>
        </w:rPr>
        <w:t>The absence of a unified design across reporting regulations makes reconciliation of data and reports particularly difficult.</w:t>
      </w:r>
    </w:p>
    <w:p w14:paraId="6633EF6C" w14:textId="77777777" w:rsidR="00AE3656" w:rsidRDefault="00AE3656" w:rsidP="00AE3656">
      <w:pPr>
        <w:numPr>
          <w:ilvl w:val="1"/>
          <w:numId w:val="37"/>
        </w:numPr>
        <w:spacing w:after="160" w:line="259" w:lineRule="auto"/>
        <w:jc w:val="both"/>
        <w:rPr>
          <w:sz w:val="22"/>
          <w:szCs w:val="22"/>
        </w:rPr>
      </w:pPr>
      <w:r w:rsidRPr="001D6D2F">
        <w:rPr>
          <w:sz w:val="22"/>
          <w:szCs w:val="22"/>
        </w:rPr>
        <w:lastRenderedPageBreak/>
        <w:t>This results in additional, often complex, data quality exercises between firms, supervisors, and market infrastructure providers.</w:t>
      </w:r>
      <w:r>
        <w:rPr>
          <w:sz w:val="22"/>
          <w:szCs w:val="22"/>
        </w:rPr>
        <w:t xml:space="preserve"> </w:t>
      </w:r>
    </w:p>
    <w:p w14:paraId="7174E7E9" w14:textId="77777777" w:rsidR="00AE3656" w:rsidRPr="0021502E" w:rsidRDefault="00AE3656" w:rsidP="00AE3656">
      <w:pPr>
        <w:numPr>
          <w:ilvl w:val="0"/>
          <w:numId w:val="37"/>
        </w:numPr>
        <w:spacing w:after="160" w:line="259" w:lineRule="auto"/>
        <w:jc w:val="both"/>
        <w:rPr>
          <w:b/>
          <w:bCs/>
          <w:sz w:val="22"/>
          <w:szCs w:val="22"/>
        </w:rPr>
      </w:pPr>
      <w:r w:rsidRPr="0021502E">
        <w:rPr>
          <w:b/>
          <w:bCs/>
          <w:sz w:val="22"/>
          <w:szCs w:val="22"/>
        </w:rPr>
        <w:t>Party reference data</w:t>
      </w:r>
    </w:p>
    <w:p w14:paraId="2CF1C224" w14:textId="77777777" w:rsidR="00AE3656" w:rsidRPr="0021502E" w:rsidRDefault="00AE3656" w:rsidP="00AE3656">
      <w:pPr>
        <w:numPr>
          <w:ilvl w:val="1"/>
          <w:numId w:val="37"/>
        </w:numPr>
        <w:spacing w:after="160" w:line="259" w:lineRule="auto"/>
        <w:jc w:val="both"/>
        <w:rPr>
          <w:sz w:val="22"/>
          <w:szCs w:val="22"/>
        </w:rPr>
      </w:pPr>
      <w:r w:rsidRPr="0021502E">
        <w:rPr>
          <w:sz w:val="22"/>
          <w:szCs w:val="22"/>
        </w:rPr>
        <w:t xml:space="preserve">Across the G20 there has been a large increase in fields related to the reporting party and counterparty. These add a significant cost to source </w:t>
      </w:r>
      <w:r w:rsidRPr="418DEC6B">
        <w:rPr>
          <w:sz w:val="22"/>
          <w:szCs w:val="22"/>
        </w:rPr>
        <w:t xml:space="preserve">the information </w:t>
      </w:r>
      <w:r w:rsidRPr="0021502E">
        <w:rPr>
          <w:sz w:val="22"/>
          <w:szCs w:val="22"/>
        </w:rPr>
        <w:t xml:space="preserve">and often only required for reporting and not part of the core business functions. This cost is significant at time of introduction but also ongoing as </w:t>
      </w:r>
      <w:r w:rsidRPr="418DEC6B">
        <w:rPr>
          <w:sz w:val="22"/>
          <w:szCs w:val="22"/>
        </w:rPr>
        <w:t>applicable</w:t>
      </w:r>
      <w:r w:rsidRPr="0021502E">
        <w:rPr>
          <w:sz w:val="22"/>
          <w:szCs w:val="22"/>
        </w:rPr>
        <w:t xml:space="preserve"> for all new parties even where transactions may not materialise. With all participants performing duplicate processes</w:t>
      </w:r>
      <w:r>
        <w:rPr>
          <w:sz w:val="22"/>
          <w:szCs w:val="22"/>
        </w:rPr>
        <w:t>,</w:t>
      </w:r>
      <w:r w:rsidRPr="0021502E">
        <w:rPr>
          <w:sz w:val="22"/>
          <w:szCs w:val="22"/>
        </w:rPr>
        <w:t xml:space="preserve"> this is a significant cost to the industry</w:t>
      </w:r>
      <w:r>
        <w:rPr>
          <w:sz w:val="22"/>
          <w:szCs w:val="22"/>
        </w:rPr>
        <w:t xml:space="preserve">. Ideally, we would want to see a smaller set of reporting fields. </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00B609EA" w14:textId="77777777" w:rsidR="007D017A" w:rsidRPr="007072B1" w:rsidRDefault="007D017A" w:rsidP="007D017A">
      <w:pPr>
        <w:spacing w:after="160" w:line="259" w:lineRule="auto"/>
        <w:jc w:val="both"/>
        <w:rPr>
          <w:sz w:val="22"/>
          <w:szCs w:val="22"/>
        </w:rPr>
      </w:pPr>
      <w:permStart w:id="545925079" w:edGrp="everyone"/>
      <w:r w:rsidRPr="007072B1">
        <w:rPr>
          <w:sz w:val="22"/>
          <w:szCs w:val="22"/>
        </w:rPr>
        <w:t xml:space="preserve">We agree with the proposed principles and related description. </w:t>
      </w:r>
      <w:r>
        <w:rPr>
          <w:sz w:val="22"/>
          <w:szCs w:val="22"/>
        </w:rPr>
        <w:t xml:space="preserve">We believe that the following considerations should also be </w:t>
      </w:r>
      <w:proofErr w:type="gramStart"/>
      <w:r>
        <w:rPr>
          <w:sz w:val="22"/>
          <w:szCs w:val="22"/>
        </w:rPr>
        <w:t>taken into account</w:t>
      </w:r>
      <w:proofErr w:type="gramEnd"/>
      <w:r>
        <w:rPr>
          <w:sz w:val="22"/>
          <w:szCs w:val="22"/>
        </w:rPr>
        <w:t xml:space="preserve">. </w:t>
      </w:r>
    </w:p>
    <w:p w14:paraId="62A704B0" w14:textId="77777777" w:rsidR="007D017A" w:rsidRPr="00F35CED" w:rsidRDefault="007D017A" w:rsidP="007D017A">
      <w:pPr>
        <w:spacing w:after="160" w:line="259" w:lineRule="auto"/>
        <w:jc w:val="both"/>
        <w:rPr>
          <w:color w:val="44546A" w:themeColor="text2"/>
        </w:rPr>
      </w:pPr>
    </w:p>
    <w:p w14:paraId="3C6BB3FF" w14:textId="77777777" w:rsidR="007D017A" w:rsidRPr="007072B1" w:rsidRDefault="007D017A" w:rsidP="007D017A">
      <w:pPr>
        <w:numPr>
          <w:ilvl w:val="0"/>
          <w:numId w:val="38"/>
        </w:numPr>
        <w:spacing w:after="160" w:line="259" w:lineRule="auto"/>
        <w:jc w:val="both"/>
        <w:rPr>
          <w:sz w:val="22"/>
          <w:szCs w:val="22"/>
        </w:rPr>
      </w:pPr>
      <w:r w:rsidRPr="007072B1">
        <w:rPr>
          <w:b/>
          <w:sz w:val="22"/>
          <w:szCs w:val="22"/>
        </w:rPr>
        <w:t>Technical Challenges in Implementing New Technologies</w:t>
      </w:r>
    </w:p>
    <w:p w14:paraId="0AE51DB3" w14:textId="77777777" w:rsidR="007D017A" w:rsidRPr="007072B1" w:rsidRDefault="007D017A" w:rsidP="007D017A">
      <w:pPr>
        <w:numPr>
          <w:ilvl w:val="1"/>
          <w:numId w:val="38"/>
        </w:numPr>
        <w:spacing w:after="160" w:line="259" w:lineRule="auto"/>
        <w:jc w:val="both"/>
        <w:rPr>
          <w:sz w:val="22"/>
          <w:szCs w:val="22"/>
        </w:rPr>
      </w:pPr>
      <w:r w:rsidRPr="007072B1">
        <w:rPr>
          <w:sz w:val="22"/>
          <w:szCs w:val="22"/>
        </w:rPr>
        <w:t xml:space="preserve">Firms often face significant </w:t>
      </w:r>
      <w:r w:rsidRPr="418DEC6B">
        <w:rPr>
          <w:sz w:val="22"/>
          <w:szCs w:val="22"/>
        </w:rPr>
        <w:t>challenges and costs</w:t>
      </w:r>
      <w:r w:rsidRPr="007072B1">
        <w:rPr>
          <w:sz w:val="22"/>
          <w:szCs w:val="22"/>
        </w:rPr>
        <w:t xml:space="preserve"> when adopting new technologies to meet evolving regulatory requirements.  This </w:t>
      </w:r>
      <w:r w:rsidRPr="418DEC6B">
        <w:rPr>
          <w:sz w:val="22"/>
          <w:szCs w:val="22"/>
        </w:rPr>
        <w:t>increases</w:t>
      </w:r>
      <w:r w:rsidRPr="007072B1">
        <w:rPr>
          <w:sz w:val="22"/>
          <w:szCs w:val="22"/>
        </w:rPr>
        <w:t xml:space="preserve"> the cost of regulatory change</w:t>
      </w:r>
      <w:r w:rsidRPr="418DEC6B">
        <w:rPr>
          <w:sz w:val="22"/>
          <w:szCs w:val="22"/>
        </w:rPr>
        <w:t xml:space="preserve"> and operational burden</w:t>
      </w:r>
      <w:r w:rsidRPr="007072B1">
        <w:rPr>
          <w:sz w:val="22"/>
          <w:szCs w:val="22"/>
        </w:rPr>
        <w:t>.</w:t>
      </w:r>
    </w:p>
    <w:p w14:paraId="12B10A43" w14:textId="77777777" w:rsidR="007D017A" w:rsidRPr="007072B1" w:rsidRDefault="007D017A" w:rsidP="007D017A">
      <w:pPr>
        <w:numPr>
          <w:ilvl w:val="0"/>
          <w:numId w:val="38"/>
        </w:numPr>
        <w:spacing w:after="160" w:line="259" w:lineRule="auto"/>
        <w:jc w:val="both"/>
        <w:rPr>
          <w:sz w:val="22"/>
          <w:szCs w:val="22"/>
        </w:rPr>
      </w:pPr>
      <w:bookmarkStart w:id="3" w:name="_Hlk206154767"/>
      <w:r w:rsidRPr="007072B1">
        <w:rPr>
          <w:b/>
          <w:sz w:val="22"/>
          <w:szCs w:val="22"/>
        </w:rPr>
        <w:t>Avoiding the Creation of an Overly Broad Reporting Framework</w:t>
      </w:r>
    </w:p>
    <w:bookmarkEnd w:id="3"/>
    <w:p w14:paraId="2CE36297" w14:textId="77777777" w:rsidR="007D017A" w:rsidRPr="007072B1" w:rsidRDefault="007D017A" w:rsidP="007D017A">
      <w:pPr>
        <w:numPr>
          <w:ilvl w:val="1"/>
          <w:numId w:val="38"/>
        </w:numPr>
        <w:spacing w:after="160" w:line="259" w:lineRule="auto"/>
        <w:jc w:val="both"/>
        <w:rPr>
          <w:sz w:val="22"/>
          <w:szCs w:val="22"/>
        </w:rPr>
      </w:pPr>
      <w:r w:rsidRPr="007072B1">
        <w:rPr>
          <w:sz w:val="22"/>
          <w:szCs w:val="22"/>
        </w:rPr>
        <w:t>Efforts to simplify the reporting framework should not result in the creation of a data superset. Requiring firms to report more data than necessary—such as P</w:t>
      </w:r>
      <w:r>
        <w:rPr>
          <w:sz w:val="22"/>
          <w:szCs w:val="22"/>
        </w:rPr>
        <w:t xml:space="preserve">ersonally </w:t>
      </w:r>
      <w:r w:rsidRPr="007072B1">
        <w:rPr>
          <w:sz w:val="22"/>
          <w:szCs w:val="22"/>
        </w:rPr>
        <w:t>I</w:t>
      </w:r>
      <w:r>
        <w:rPr>
          <w:sz w:val="22"/>
          <w:szCs w:val="22"/>
        </w:rPr>
        <w:t xml:space="preserve">dentified </w:t>
      </w:r>
      <w:r w:rsidRPr="007072B1">
        <w:rPr>
          <w:sz w:val="22"/>
          <w:szCs w:val="22"/>
        </w:rPr>
        <w:t>I</w:t>
      </w:r>
      <w:r>
        <w:rPr>
          <w:sz w:val="22"/>
          <w:szCs w:val="22"/>
        </w:rPr>
        <w:t>nformation (PII)</w:t>
      </w:r>
      <w:r w:rsidRPr="007072B1">
        <w:rPr>
          <w:sz w:val="22"/>
          <w:szCs w:val="22"/>
        </w:rPr>
        <w:t xml:space="preserve"> data for OTC transactions where it is not currently required —</w:t>
      </w:r>
      <w:r w:rsidRPr="418DEC6B">
        <w:rPr>
          <w:sz w:val="22"/>
          <w:szCs w:val="22"/>
        </w:rPr>
        <w:t xml:space="preserve"> </w:t>
      </w:r>
      <w:r w:rsidRPr="007072B1">
        <w:rPr>
          <w:sz w:val="22"/>
          <w:szCs w:val="22"/>
        </w:rPr>
        <w:t>can introduce additional compliance and operational burdens.</w:t>
      </w:r>
    </w:p>
    <w:p w14:paraId="2A4A01D0" w14:textId="77777777" w:rsidR="007D017A" w:rsidRPr="007072B1" w:rsidRDefault="007D017A" w:rsidP="007D017A">
      <w:pPr>
        <w:numPr>
          <w:ilvl w:val="1"/>
          <w:numId w:val="38"/>
        </w:numPr>
        <w:spacing w:after="160" w:line="259" w:lineRule="auto"/>
        <w:jc w:val="both"/>
        <w:rPr>
          <w:sz w:val="22"/>
          <w:szCs w:val="22"/>
        </w:rPr>
      </w:pPr>
      <w:r w:rsidRPr="007072B1">
        <w:rPr>
          <w:sz w:val="22"/>
          <w:szCs w:val="22"/>
        </w:rPr>
        <w:t xml:space="preserve">Furthermore, inconsistencies in how asset classes and report types are treated across regimes (e.g., differences in the reporting of corporate actions under EMIR vs </w:t>
      </w:r>
      <w:proofErr w:type="spellStart"/>
      <w:r w:rsidRPr="007072B1">
        <w:rPr>
          <w:sz w:val="22"/>
          <w:szCs w:val="22"/>
        </w:rPr>
        <w:t>MiFIR</w:t>
      </w:r>
      <w:proofErr w:type="spellEnd"/>
      <w:r w:rsidRPr="007072B1">
        <w:rPr>
          <w:sz w:val="22"/>
          <w:szCs w:val="22"/>
        </w:rPr>
        <w:t>) add to the complexity and should be addressed as part of any harmonisation effort.</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5C83B126" w14:textId="77777777" w:rsidR="00744FD0" w:rsidRDefault="00744FD0" w:rsidP="00744FD0">
      <w:pPr>
        <w:spacing w:after="160" w:line="259" w:lineRule="auto"/>
        <w:jc w:val="both"/>
        <w:rPr>
          <w:sz w:val="22"/>
          <w:szCs w:val="22"/>
        </w:rPr>
      </w:pPr>
      <w:permStart w:id="666895774" w:edGrp="everyone"/>
      <w:r>
        <w:rPr>
          <w:sz w:val="22"/>
          <w:szCs w:val="22"/>
        </w:rPr>
        <w:t xml:space="preserve">From an LSEG perspective option 1a </w:t>
      </w:r>
      <w:r w:rsidRPr="418DEC6B">
        <w:rPr>
          <w:sz w:val="22"/>
          <w:szCs w:val="22"/>
        </w:rPr>
        <w:t xml:space="preserve">has the following </w:t>
      </w:r>
      <w:r>
        <w:rPr>
          <w:sz w:val="22"/>
          <w:szCs w:val="22"/>
        </w:rPr>
        <w:t xml:space="preserve">advantages. </w:t>
      </w:r>
    </w:p>
    <w:p w14:paraId="432FD98B" w14:textId="77777777" w:rsidR="00744FD0" w:rsidRPr="007072B1" w:rsidRDefault="00744FD0" w:rsidP="00744FD0">
      <w:pPr>
        <w:numPr>
          <w:ilvl w:val="1"/>
          <w:numId w:val="38"/>
        </w:numPr>
        <w:spacing w:after="160" w:line="259" w:lineRule="auto"/>
        <w:jc w:val="both"/>
        <w:rPr>
          <w:sz w:val="22"/>
          <w:szCs w:val="22"/>
        </w:rPr>
      </w:pPr>
      <w:r w:rsidRPr="007072B1">
        <w:rPr>
          <w:sz w:val="22"/>
          <w:szCs w:val="22"/>
        </w:rPr>
        <w:t>Closer alignment with other G20 derivative reporting regimes where only OTC instruments are required to be reported under EMIR.</w:t>
      </w:r>
    </w:p>
    <w:p w14:paraId="1DB98210" w14:textId="77777777" w:rsidR="00744FD0" w:rsidRPr="007072B1" w:rsidRDefault="00744FD0" w:rsidP="00744FD0">
      <w:pPr>
        <w:numPr>
          <w:ilvl w:val="1"/>
          <w:numId w:val="38"/>
        </w:numPr>
        <w:spacing w:after="160" w:line="259" w:lineRule="auto"/>
        <w:jc w:val="both"/>
        <w:rPr>
          <w:sz w:val="22"/>
          <w:szCs w:val="22"/>
        </w:rPr>
      </w:pPr>
      <w:r w:rsidRPr="007072B1">
        <w:rPr>
          <w:sz w:val="22"/>
          <w:szCs w:val="22"/>
        </w:rPr>
        <w:lastRenderedPageBreak/>
        <w:t xml:space="preserve">More straight forward for the industry and market infrastructure to implement compared with the other options. </w:t>
      </w:r>
    </w:p>
    <w:p w14:paraId="70BF6E1C" w14:textId="77777777" w:rsidR="00744FD0" w:rsidRPr="007072B1" w:rsidRDefault="00744FD0" w:rsidP="00744FD0">
      <w:pPr>
        <w:numPr>
          <w:ilvl w:val="1"/>
          <w:numId w:val="38"/>
        </w:numPr>
        <w:spacing w:after="160" w:line="259" w:lineRule="auto"/>
        <w:jc w:val="both"/>
        <w:rPr>
          <w:sz w:val="22"/>
          <w:szCs w:val="22"/>
        </w:rPr>
      </w:pPr>
      <w:r w:rsidRPr="007072B1">
        <w:rPr>
          <w:sz w:val="22"/>
          <w:szCs w:val="22"/>
        </w:rPr>
        <w:t>The benefit to the industry will be immediate.</w:t>
      </w:r>
    </w:p>
    <w:p w14:paraId="7AF02141" w14:textId="77777777" w:rsidR="00744FD0" w:rsidRDefault="00744FD0" w:rsidP="00744FD0">
      <w:pPr>
        <w:spacing w:after="160" w:line="259" w:lineRule="auto"/>
        <w:jc w:val="both"/>
        <w:rPr>
          <w:sz w:val="22"/>
          <w:szCs w:val="22"/>
        </w:rPr>
      </w:pPr>
      <w:r>
        <w:rPr>
          <w:sz w:val="22"/>
          <w:szCs w:val="22"/>
        </w:rPr>
        <w:t>From a CCP perspective, o</w:t>
      </w:r>
      <w:r w:rsidRPr="00E975C2">
        <w:rPr>
          <w:sz w:val="22"/>
          <w:szCs w:val="22"/>
        </w:rPr>
        <w:t xml:space="preserve">ur interpretation of 1a, means the transactions of a cleared ETD, would be reportable under </w:t>
      </w:r>
      <w:proofErr w:type="spellStart"/>
      <w:r w:rsidRPr="00E975C2">
        <w:rPr>
          <w:sz w:val="22"/>
          <w:szCs w:val="22"/>
        </w:rPr>
        <w:t>MiFIR</w:t>
      </w:r>
      <w:proofErr w:type="spellEnd"/>
      <w:r w:rsidRPr="00E975C2">
        <w:rPr>
          <w:sz w:val="22"/>
          <w:szCs w:val="22"/>
        </w:rPr>
        <w:t xml:space="preserve"> and specifically under a new trade identifier, but the position data would no longer be required. Dual sided reporting would be replaced by single sided reporting where the CCP would still have the obligation</w:t>
      </w:r>
      <w:r>
        <w:rPr>
          <w:sz w:val="22"/>
          <w:szCs w:val="22"/>
        </w:rPr>
        <w:t xml:space="preserve">. </w:t>
      </w:r>
      <w:r w:rsidRPr="00107DA5">
        <w:rPr>
          <w:sz w:val="22"/>
          <w:szCs w:val="22"/>
        </w:rPr>
        <w:t>Removal of dual sided reporting would remove the need for matching and pairing which would be a welcomed cost reduction. Removal of position data would have a minor cost reduction, which would most probably be replaced by an operations task to validate the T</w:t>
      </w:r>
      <w:r>
        <w:rPr>
          <w:sz w:val="22"/>
          <w:szCs w:val="22"/>
        </w:rPr>
        <w:t xml:space="preserve">rade </w:t>
      </w:r>
      <w:r w:rsidRPr="00107DA5">
        <w:rPr>
          <w:sz w:val="22"/>
          <w:szCs w:val="22"/>
        </w:rPr>
        <w:t>R</w:t>
      </w:r>
      <w:r>
        <w:rPr>
          <w:sz w:val="22"/>
          <w:szCs w:val="22"/>
        </w:rPr>
        <w:t>epository (TR)</w:t>
      </w:r>
      <w:r w:rsidRPr="00107DA5">
        <w:rPr>
          <w:sz w:val="22"/>
          <w:szCs w:val="22"/>
        </w:rPr>
        <w:t xml:space="preserve"> had correctly calculated the position</w:t>
      </w:r>
      <w:r>
        <w:rPr>
          <w:sz w:val="22"/>
          <w:szCs w:val="22"/>
        </w:rPr>
        <w:t>.</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079A45FA" w14:textId="77777777" w:rsidR="00CF5776" w:rsidRPr="007072B1" w:rsidRDefault="00CF5776" w:rsidP="00CF5776">
      <w:pPr>
        <w:jc w:val="both"/>
        <w:rPr>
          <w:bCs/>
          <w:sz w:val="22"/>
          <w:szCs w:val="22"/>
          <w:lang w:eastAsia="zh-CN"/>
        </w:rPr>
      </w:pPr>
      <w:permStart w:id="1901729855" w:edGrp="everyone"/>
      <w:r w:rsidRPr="007072B1">
        <w:rPr>
          <w:bCs/>
          <w:sz w:val="22"/>
          <w:szCs w:val="22"/>
          <w:lang w:eastAsia="zh-CN"/>
        </w:rPr>
        <w:t>We would note the following key limitation</w:t>
      </w:r>
      <w:r>
        <w:rPr>
          <w:bCs/>
          <w:sz w:val="22"/>
          <w:szCs w:val="22"/>
          <w:lang w:eastAsia="zh-CN"/>
        </w:rPr>
        <w:t>s</w:t>
      </w:r>
      <w:r w:rsidRPr="007072B1">
        <w:rPr>
          <w:bCs/>
          <w:sz w:val="22"/>
          <w:szCs w:val="22"/>
          <w:lang w:eastAsia="zh-CN"/>
        </w:rPr>
        <w:t xml:space="preserve"> and potential risks associated with option 1a.</w:t>
      </w:r>
    </w:p>
    <w:p w14:paraId="447B3B12" w14:textId="77777777" w:rsidR="00CF5776" w:rsidRPr="005A341E" w:rsidRDefault="00CF5776" w:rsidP="00CF5776">
      <w:pPr>
        <w:ind w:firstLine="360"/>
        <w:jc w:val="both"/>
        <w:rPr>
          <w:b/>
          <w:color w:val="44546A" w:themeColor="text2"/>
          <w:sz w:val="22"/>
          <w:szCs w:val="22"/>
          <w:lang w:eastAsia="zh-CN"/>
        </w:rPr>
      </w:pPr>
    </w:p>
    <w:p w14:paraId="469604AB" w14:textId="77777777" w:rsidR="00CF5776" w:rsidRPr="007072B1" w:rsidRDefault="00CF5776" w:rsidP="00CF5776">
      <w:pPr>
        <w:numPr>
          <w:ilvl w:val="1"/>
          <w:numId w:val="38"/>
        </w:numPr>
        <w:spacing w:after="160" w:line="259" w:lineRule="auto"/>
        <w:jc w:val="both"/>
        <w:rPr>
          <w:sz w:val="22"/>
          <w:szCs w:val="22"/>
        </w:rPr>
      </w:pPr>
      <w:r w:rsidRPr="007072B1">
        <w:rPr>
          <w:sz w:val="22"/>
          <w:szCs w:val="22"/>
        </w:rPr>
        <w:t xml:space="preserve">EMIR and </w:t>
      </w:r>
      <w:proofErr w:type="spellStart"/>
      <w:r w:rsidRPr="007072B1">
        <w:rPr>
          <w:sz w:val="22"/>
          <w:szCs w:val="22"/>
        </w:rPr>
        <w:t>MiFIR</w:t>
      </w:r>
      <w:proofErr w:type="spellEnd"/>
      <w:r w:rsidRPr="007072B1">
        <w:rPr>
          <w:sz w:val="22"/>
          <w:szCs w:val="22"/>
        </w:rPr>
        <w:t xml:space="preserve"> capture different sets of entities. Splitting ETD and OTC reporting may expand the scope, potentially bringing additional entities into the reporting perimeter.</w:t>
      </w:r>
    </w:p>
    <w:p w14:paraId="043DF9E1" w14:textId="77777777" w:rsidR="00CF5776" w:rsidRPr="007072B1" w:rsidRDefault="00CF5776" w:rsidP="00CF5776">
      <w:pPr>
        <w:numPr>
          <w:ilvl w:val="1"/>
          <w:numId w:val="38"/>
        </w:numPr>
        <w:spacing w:after="160" w:line="259" w:lineRule="auto"/>
        <w:jc w:val="both"/>
        <w:rPr>
          <w:sz w:val="22"/>
          <w:szCs w:val="22"/>
        </w:rPr>
      </w:pPr>
      <w:r w:rsidRPr="1D40E646">
        <w:rPr>
          <w:sz w:val="22"/>
          <w:szCs w:val="22"/>
        </w:rPr>
        <w:t xml:space="preserve">EMIR template may need to be expanded to include market abuse elements from </w:t>
      </w:r>
      <w:proofErr w:type="spellStart"/>
      <w:r w:rsidRPr="1D40E646">
        <w:rPr>
          <w:sz w:val="22"/>
          <w:szCs w:val="22"/>
        </w:rPr>
        <w:t>MiFIR</w:t>
      </w:r>
      <w:proofErr w:type="spellEnd"/>
      <w:r w:rsidRPr="1D40E646">
        <w:rPr>
          <w:sz w:val="22"/>
          <w:szCs w:val="22"/>
        </w:rPr>
        <w:t xml:space="preserve">, given under this option that data would not otherwise be reported, although this seems to contradict the overall objective of streamlining reporting. Under </w:t>
      </w:r>
      <w:proofErr w:type="spellStart"/>
      <w:r w:rsidRPr="1D40E646">
        <w:rPr>
          <w:sz w:val="22"/>
          <w:szCs w:val="22"/>
        </w:rPr>
        <w:t>MiFIR</w:t>
      </w:r>
      <w:proofErr w:type="spellEnd"/>
      <w:r w:rsidRPr="1D40E646">
        <w:rPr>
          <w:sz w:val="22"/>
          <w:szCs w:val="22"/>
        </w:rPr>
        <w:t xml:space="preserve"> the reporting burden is higher because non-investment firms </w:t>
      </w:r>
      <w:proofErr w:type="gramStart"/>
      <w:r w:rsidRPr="1D40E646">
        <w:rPr>
          <w:sz w:val="22"/>
          <w:szCs w:val="22"/>
        </w:rPr>
        <w:t>have to</w:t>
      </w:r>
      <w:proofErr w:type="gramEnd"/>
      <w:r w:rsidRPr="1D40E646">
        <w:rPr>
          <w:sz w:val="22"/>
          <w:szCs w:val="22"/>
        </w:rPr>
        <w:t xml:space="preserve"> provide this information to reporting parties (where TOTV applies) for subsequent reporting. </w:t>
      </w:r>
    </w:p>
    <w:p w14:paraId="58A7D37A" w14:textId="77777777" w:rsidR="00CF5776" w:rsidRPr="007072B1" w:rsidRDefault="00CF5776" w:rsidP="00CF5776">
      <w:pPr>
        <w:numPr>
          <w:ilvl w:val="1"/>
          <w:numId w:val="38"/>
        </w:numPr>
        <w:spacing w:after="160" w:line="259" w:lineRule="auto"/>
        <w:jc w:val="both"/>
        <w:rPr>
          <w:sz w:val="22"/>
          <w:szCs w:val="22"/>
        </w:rPr>
      </w:pPr>
      <w:r w:rsidRPr="1D40E646">
        <w:rPr>
          <w:sz w:val="22"/>
          <w:szCs w:val="22"/>
        </w:rPr>
        <w:t xml:space="preserve">From a CCP perspective, option 1a would result in CCPs having to report under a new regime which our transactions do not currently fall under. We would welcome ESMA’s clarification that this is not the intention of option 1a given the added costs associated with such change which far outweigh the removal of position data. </w:t>
      </w:r>
    </w:p>
    <w:p w14:paraId="3968C5A3" w14:textId="77777777" w:rsidR="00CF5776" w:rsidRPr="007072B1" w:rsidRDefault="00CF5776" w:rsidP="00CF5776">
      <w:pPr>
        <w:numPr>
          <w:ilvl w:val="1"/>
          <w:numId w:val="38"/>
        </w:numPr>
        <w:spacing w:after="160" w:line="259" w:lineRule="auto"/>
        <w:jc w:val="both"/>
        <w:rPr>
          <w:sz w:val="22"/>
          <w:szCs w:val="22"/>
        </w:rPr>
      </w:pPr>
      <w:r>
        <w:rPr>
          <w:sz w:val="22"/>
          <w:szCs w:val="22"/>
        </w:rPr>
        <w:t xml:space="preserve">Although we support the removal of dual sided reporting, this </w:t>
      </w:r>
      <w:r w:rsidRPr="007072B1">
        <w:rPr>
          <w:sz w:val="22"/>
          <w:szCs w:val="22"/>
        </w:rPr>
        <w:t>could ultimately increase the risk of data inconsistencies</w:t>
      </w:r>
      <w:r w:rsidRPr="418DEC6B">
        <w:rPr>
          <w:sz w:val="22"/>
          <w:szCs w:val="22"/>
        </w:rPr>
        <w:t>, w</w:t>
      </w:r>
      <w:r w:rsidRPr="007072B1">
        <w:rPr>
          <w:sz w:val="22"/>
          <w:szCs w:val="22"/>
        </w:rPr>
        <w:t xml:space="preserve">hich are made visible via the matching and pairing process. </w:t>
      </w:r>
      <w:r w:rsidRPr="00FD380D">
        <w:rPr>
          <w:sz w:val="22"/>
          <w:szCs w:val="22"/>
        </w:rPr>
        <w:t>However,</w:t>
      </w:r>
      <w:r w:rsidRPr="007072B1">
        <w:rPr>
          <w:sz w:val="22"/>
          <w:szCs w:val="22"/>
        </w:rPr>
        <w:t xml:space="preserve"> the matching and pairing burden could be dramatically reduced if the number of matching and pairing fields were limited to core economic attributes. This may be a suitable middle ground if single sided reporting is not palatable for all NCAs</w:t>
      </w:r>
      <w:r>
        <w:rPr>
          <w:sz w:val="22"/>
          <w:szCs w:val="22"/>
        </w:rPr>
        <w:t>.</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lastRenderedPageBreak/>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364F5CAB" w14:textId="77777777" w:rsidR="00A62C3E" w:rsidRPr="00C5731C" w:rsidRDefault="00A62C3E" w:rsidP="00A62C3E">
      <w:pPr>
        <w:jc w:val="both"/>
        <w:rPr>
          <w:b/>
          <w:color w:val="44546A" w:themeColor="text2"/>
          <w:sz w:val="22"/>
          <w:szCs w:val="22"/>
          <w:lang w:eastAsia="zh-CN"/>
        </w:rPr>
      </w:pPr>
      <w:permStart w:id="1034637762" w:edGrp="everyone"/>
      <w:r w:rsidRPr="002E170F">
        <w:rPr>
          <w:bCs/>
          <w:sz w:val="22"/>
          <w:szCs w:val="22"/>
          <w:lang w:eastAsia="zh-CN"/>
        </w:rPr>
        <w:t xml:space="preserve">We </w:t>
      </w:r>
      <w:r>
        <w:rPr>
          <w:bCs/>
          <w:sz w:val="22"/>
          <w:szCs w:val="22"/>
          <w:lang w:eastAsia="zh-CN"/>
        </w:rPr>
        <w:t>believe the following components are missing or not adequately address in option 1a.</w:t>
      </w:r>
      <w:r w:rsidRPr="002E170F">
        <w:rPr>
          <w:bCs/>
          <w:sz w:val="22"/>
          <w:szCs w:val="22"/>
          <w:lang w:eastAsia="zh-CN"/>
        </w:rPr>
        <w:t xml:space="preserve"> </w:t>
      </w:r>
    </w:p>
    <w:p w14:paraId="1DA2DFBE" w14:textId="77777777" w:rsidR="00A62C3E" w:rsidRDefault="00A62C3E" w:rsidP="00A62C3E">
      <w:pPr>
        <w:numPr>
          <w:ilvl w:val="1"/>
          <w:numId w:val="38"/>
        </w:numPr>
        <w:spacing w:after="160" w:line="259" w:lineRule="auto"/>
        <w:jc w:val="both"/>
        <w:rPr>
          <w:sz w:val="22"/>
          <w:szCs w:val="22"/>
        </w:rPr>
      </w:pPr>
      <w:r w:rsidRPr="007072B1">
        <w:rPr>
          <w:sz w:val="22"/>
          <w:szCs w:val="22"/>
        </w:rPr>
        <w:t xml:space="preserve">EMIR and </w:t>
      </w:r>
      <w:proofErr w:type="spellStart"/>
      <w:r w:rsidRPr="007072B1">
        <w:rPr>
          <w:sz w:val="22"/>
          <w:szCs w:val="22"/>
        </w:rPr>
        <w:t>MiFIR</w:t>
      </w:r>
      <w:proofErr w:type="spellEnd"/>
      <w:r w:rsidRPr="007072B1">
        <w:rPr>
          <w:sz w:val="22"/>
          <w:szCs w:val="22"/>
        </w:rPr>
        <w:t xml:space="preserve"> capture different sets of entities. Splitting ETD and OTC reporting may expand the scope, potentially bringing entities into the reporting scope</w:t>
      </w:r>
      <w:r>
        <w:rPr>
          <w:sz w:val="22"/>
          <w:szCs w:val="22"/>
        </w:rPr>
        <w:t xml:space="preserve"> of additional reporting regimes  For example, a firm reporting ETD and OTC instruments under EMIR today but does not hold the </w:t>
      </w:r>
      <w:proofErr w:type="spellStart"/>
      <w:r>
        <w:rPr>
          <w:sz w:val="22"/>
          <w:szCs w:val="22"/>
        </w:rPr>
        <w:t>MiIFR</w:t>
      </w:r>
      <w:proofErr w:type="spellEnd"/>
      <w:r>
        <w:rPr>
          <w:sz w:val="22"/>
          <w:szCs w:val="22"/>
        </w:rPr>
        <w:t xml:space="preserve"> reporting obligation (i.e. an AIF, or UCITs firm) may be required to report the ETD instruments under </w:t>
      </w:r>
      <w:proofErr w:type="spellStart"/>
      <w:r>
        <w:rPr>
          <w:sz w:val="22"/>
          <w:szCs w:val="22"/>
        </w:rPr>
        <w:t>MiFIR</w:t>
      </w:r>
      <w:proofErr w:type="spellEnd"/>
      <w:r>
        <w:rPr>
          <w:sz w:val="22"/>
          <w:szCs w:val="22"/>
        </w:rPr>
        <w:t>, therefore increasing the number of reporting regimes has the obligation to report under.</w:t>
      </w:r>
    </w:p>
    <w:p w14:paraId="0C6E4AC7" w14:textId="77777777" w:rsidR="00A62C3E" w:rsidRDefault="00A62C3E" w:rsidP="00A62C3E">
      <w:pPr>
        <w:numPr>
          <w:ilvl w:val="1"/>
          <w:numId w:val="38"/>
        </w:numPr>
        <w:spacing w:after="160" w:line="259" w:lineRule="auto"/>
        <w:jc w:val="both"/>
        <w:rPr>
          <w:sz w:val="22"/>
          <w:szCs w:val="22"/>
        </w:rPr>
      </w:pPr>
      <w:r w:rsidRPr="004C6488">
        <w:rPr>
          <w:sz w:val="22"/>
          <w:szCs w:val="22"/>
        </w:rPr>
        <w:t>Where single sided reporting regimes exist, there has historically been confusion over which party is the reporting party. It is our assumption that option 1a either adopts proposals by the R</w:t>
      </w:r>
      <w:r>
        <w:rPr>
          <w:sz w:val="22"/>
          <w:szCs w:val="22"/>
        </w:rPr>
        <w:t xml:space="preserve">egulatory </w:t>
      </w:r>
      <w:r w:rsidRPr="004C6488">
        <w:rPr>
          <w:sz w:val="22"/>
          <w:szCs w:val="22"/>
        </w:rPr>
        <w:t>O</w:t>
      </w:r>
      <w:r>
        <w:rPr>
          <w:sz w:val="22"/>
          <w:szCs w:val="22"/>
        </w:rPr>
        <w:t xml:space="preserve">versight </w:t>
      </w:r>
      <w:r w:rsidRPr="004C6488">
        <w:rPr>
          <w:sz w:val="22"/>
          <w:szCs w:val="22"/>
        </w:rPr>
        <w:t>C</w:t>
      </w:r>
      <w:r>
        <w:rPr>
          <w:sz w:val="22"/>
          <w:szCs w:val="22"/>
        </w:rPr>
        <w:t>ommittee (ROC)</w:t>
      </w:r>
      <w:r w:rsidRPr="004C6488">
        <w:rPr>
          <w:sz w:val="22"/>
          <w:szCs w:val="22"/>
        </w:rPr>
        <w:t xml:space="preserve"> or expands the current UTI generator logic to encompass the reporting party. LCH would also like to retain the delineation between cleared and uncleared transactions where the uncleared transaction would be reported by one of those party to the original execution and the cleared trades to be reported separately by the CCP</w:t>
      </w:r>
      <w:r>
        <w:rPr>
          <w:sz w:val="22"/>
          <w:szCs w:val="22"/>
        </w:rPr>
        <w:t>.</w:t>
      </w:r>
    </w:p>
    <w:p w14:paraId="7E376418" w14:textId="77777777" w:rsidR="00A62C3E" w:rsidRPr="007072B1" w:rsidRDefault="00A62C3E" w:rsidP="00A62C3E">
      <w:pPr>
        <w:numPr>
          <w:ilvl w:val="1"/>
          <w:numId w:val="38"/>
        </w:numPr>
        <w:spacing w:after="160" w:line="259" w:lineRule="auto"/>
        <w:jc w:val="both"/>
        <w:rPr>
          <w:sz w:val="22"/>
          <w:szCs w:val="22"/>
        </w:rPr>
      </w:pPr>
      <w:r w:rsidRPr="00D67906">
        <w:rPr>
          <w:sz w:val="22"/>
          <w:szCs w:val="22"/>
        </w:rPr>
        <w:t xml:space="preserve">Cost of submission would also be reduced if theoretical links to the originally executed trade is removed from cleared trades and other post cleared events these include but not limited to RTN, a Venue of execution and ISIN. A reliable link </w:t>
      </w:r>
      <w:proofErr w:type="gramStart"/>
      <w:r w:rsidRPr="00D67906">
        <w:rPr>
          <w:sz w:val="22"/>
          <w:szCs w:val="22"/>
        </w:rPr>
        <w:t>through the use of</w:t>
      </w:r>
      <w:proofErr w:type="gramEnd"/>
      <w:r w:rsidRPr="00D67906">
        <w:rPr>
          <w:sz w:val="22"/>
          <w:szCs w:val="22"/>
        </w:rPr>
        <w:t xml:space="preserve"> prior UTI should be sufficient to link where this was originally executed</w:t>
      </w:r>
      <w:r>
        <w:rPr>
          <w:sz w:val="22"/>
          <w:szCs w:val="22"/>
        </w:rPr>
        <w:t>.</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62428A20" w14:textId="77777777" w:rsidR="00BE3CF5" w:rsidRDefault="00BE3CF5" w:rsidP="00BE3CF5">
      <w:pPr>
        <w:jc w:val="both"/>
        <w:rPr>
          <w:bCs/>
          <w:sz w:val="22"/>
          <w:szCs w:val="22"/>
          <w:lang w:eastAsia="zh-CN"/>
        </w:rPr>
      </w:pPr>
      <w:permStart w:id="276758894" w:edGrp="everyone"/>
      <w:r>
        <w:rPr>
          <w:bCs/>
          <w:sz w:val="22"/>
          <w:szCs w:val="22"/>
          <w:lang w:eastAsia="zh-CN"/>
        </w:rPr>
        <w:t xml:space="preserve">From a Regulatory Reporting perspective option 1b would require a complex implementation and would produce less benefits than option 1a. From a CCP perspective one of the key advantages identified is the fact that option 1b is very similar to the existing reporting regime, </w:t>
      </w:r>
      <w:r w:rsidRPr="008D4C10">
        <w:rPr>
          <w:bCs/>
          <w:sz w:val="22"/>
          <w:szCs w:val="22"/>
          <w:lang w:eastAsia="zh-CN"/>
        </w:rPr>
        <w:t>that all cleared trades for both ETD and OTC would be reported under EMIR. Option 1b</w:t>
      </w:r>
      <w:r>
        <w:rPr>
          <w:bCs/>
          <w:sz w:val="22"/>
          <w:szCs w:val="22"/>
          <w:lang w:eastAsia="zh-CN"/>
        </w:rPr>
        <w:t>, therefore,</w:t>
      </w:r>
      <w:r w:rsidRPr="008D4C10">
        <w:rPr>
          <w:bCs/>
          <w:sz w:val="22"/>
          <w:szCs w:val="22"/>
          <w:lang w:eastAsia="zh-CN"/>
        </w:rPr>
        <w:t xml:space="preserve"> offers very little change from the current approach for reporting derivatives and therefore the short-term implementation cost is low for derivatives.</w:t>
      </w:r>
    </w:p>
    <w:p w14:paraId="2DB9CF1C" w14:textId="77777777" w:rsidR="00BE3CF5" w:rsidRDefault="00BE3CF5" w:rsidP="00BE3CF5">
      <w:pPr>
        <w:jc w:val="both"/>
        <w:rPr>
          <w:b/>
          <w:color w:val="5B9BD5" w:themeColor="accent1"/>
          <w:u w:val="single"/>
        </w:rPr>
      </w:pPr>
      <w:r>
        <w:rPr>
          <w:bCs/>
          <w:sz w:val="22"/>
          <w:szCs w:val="22"/>
          <w:lang w:eastAsia="zh-CN"/>
        </w:rPr>
        <w:t>Furthermore, w</w:t>
      </w:r>
      <w:r w:rsidRPr="00701588">
        <w:rPr>
          <w:bCs/>
          <w:sz w:val="22"/>
          <w:szCs w:val="22"/>
          <w:lang w:eastAsia="zh-CN"/>
        </w:rPr>
        <w:t xml:space="preserve">hen comparing </w:t>
      </w:r>
      <w:r>
        <w:rPr>
          <w:bCs/>
          <w:sz w:val="22"/>
          <w:szCs w:val="22"/>
          <w:lang w:eastAsia="zh-CN"/>
        </w:rPr>
        <w:t>both options</w:t>
      </w:r>
      <w:r w:rsidRPr="00701588">
        <w:rPr>
          <w:bCs/>
          <w:sz w:val="22"/>
          <w:szCs w:val="22"/>
          <w:lang w:eastAsia="zh-CN"/>
        </w:rPr>
        <w:t xml:space="preserve"> to the current requirements they key benefit is the removal of matching and pairing linked to dual sided reporting. Additionally on paper the consolidation of SFTR requirements under EMIR removes the need to report fixed income separately from derivatives </w:t>
      </w:r>
      <w:proofErr w:type="gramStart"/>
      <w:r w:rsidRPr="00701588">
        <w:rPr>
          <w:bCs/>
          <w:sz w:val="22"/>
          <w:szCs w:val="22"/>
          <w:lang w:eastAsia="zh-CN"/>
        </w:rPr>
        <w:t>but in reality, fixed</w:t>
      </w:r>
      <w:proofErr w:type="gramEnd"/>
      <w:r w:rsidRPr="00701588">
        <w:rPr>
          <w:bCs/>
          <w:sz w:val="22"/>
          <w:szCs w:val="22"/>
          <w:lang w:eastAsia="zh-CN"/>
        </w:rPr>
        <w:t xml:space="preserve"> income products are held on a different technology stack to derivative products and so will be reported under the same template but will remain separate. Additionally, we would have a greater choice of trade repositories to report fixed income produc</w:t>
      </w:r>
      <w:r>
        <w:rPr>
          <w:bCs/>
          <w:sz w:val="22"/>
          <w:szCs w:val="22"/>
          <w:lang w:eastAsia="zh-CN"/>
        </w:rPr>
        <w:t>ts</w:t>
      </w:r>
      <w:r w:rsidRPr="00701588">
        <w:rPr>
          <w:bCs/>
          <w:sz w:val="22"/>
          <w:szCs w:val="22"/>
          <w:lang w:eastAsia="zh-CN"/>
        </w:rPr>
        <w:t xml:space="preserve"> under EMIR</w:t>
      </w:r>
      <w:r>
        <w:rPr>
          <w:bCs/>
          <w:sz w:val="22"/>
          <w:szCs w:val="22"/>
          <w:lang w:eastAsia="zh-CN"/>
        </w:rPr>
        <w:t>.</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42B43CF2" w14:textId="77777777" w:rsidR="001C2FBB" w:rsidRPr="007072B1" w:rsidRDefault="001C2FBB" w:rsidP="001C2FBB">
      <w:pPr>
        <w:spacing w:after="160" w:line="259" w:lineRule="auto"/>
        <w:jc w:val="both"/>
        <w:rPr>
          <w:b/>
          <w:color w:val="44546A" w:themeColor="text2"/>
          <w:u w:val="single"/>
        </w:rPr>
      </w:pPr>
      <w:permStart w:id="1327239170" w:edGrp="everyone"/>
      <w:r w:rsidRPr="002E170F">
        <w:rPr>
          <w:bCs/>
          <w:sz w:val="22"/>
          <w:szCs w:val="22"/>
          <w:lang w:eastAsia="zh-CN"/>
        </w:rPr>
        <w:lastRenderedPageBreak/>
        <w:t xml:space="preserve">We </w:t>
      </w:r>
      <w:r>
        <w:rPr>
          <w:bCs/>
          <w:sz w:val="22"/>
          <w:szCs w:val="22"/>
          <w:lang w:eastAsia="zh-CN"/>
        </w:rPr>
        <w:t>find the following limitations and potential risks associated with option 1b.</w:t>
      </w:r>
    </w:p>
    <w:p w14:paraId="1792E0C4" w14:textId="77777777" w:rsidR="001C2FBB" w:rsidRPr="007072B1" w:rsidRDefault="001C2FBB" w:rsidP="001C2FBB">
      <w:pPr>
        <w:numPr>
          <w:ilvl w:val="1"/>
          <w:numId w:val="38"/>
        </w:numPr>
        <w:spacing w:after="160" w:line="259" w:lineRule="auto"/>
        <w:jc w:val="both"/>
        <w:rPr>
          <w:sz w:val="22"/>
          <w:szCs w:val="22"/>
        </w:rPr>
      </w:pPr>
      <w:r>
        <w:rPr>
          <w:sz w:val="22"/>
          <w:szCs w:val="22"/>
        </w:rPr>
        <w:t xml:space="preserve">Where the initial transaction is reported under </w:t>
      </w:r>
      <w:proofErr w:type="spellStart"/>
      <w:r>
        <w:rPr>
          <w:sz w:val="22"/>
          <w:szCs w:val="22"/>
        </w:rPr>
        <w:t>MiFIR</w:t>
      </w:r>
      <w:proofErr w:type="spellEnd"/>
      <w:r>
        <w:rPr>
          <w:sz w:val="22"/>
          <w:szCs w:val="22"/>
        </w:rPr>
        <w:t>, and subsequent post trade activity reported under EMIR there will be the requirement to track the same transaction across multiple reporting regimes. This will introduce a</w:t>
      </w:r>
      <w:r w:rsidRPr="007072B1">
        <w:rPr>
          <w:sz w:val="22"/>
          <w:szCs w:val="22"/>
        </w:rPr>
        <w:t>dditional reconciliation and oversight challeng</w:t>
      </w:r>
      <w:r>
        <w:rPr>
          <w:sz w:val="22"/>
          <w:szCs w:val="22"/>
        </w:rPr>
        <w:t>es for reporting firms.</w:t>
      </w:r>
    </w:p>
    <w:p w14:paraId="78C5724D" w14:textId="77777777" w:rsidR="001C2FBB" w:rsidRPr="007072B1" w:rsidRDefault="001C2FBB" w:rsidP="001C2FBB">
      <w:pPr>
        <w:numPr>
          <w:ilvl w:val="1"/>
          <w:numId w:val="38"/>
        </w:numPr>
        <w:spacing w:after="160" w:line="259" w:lineRule="auto"/>
        <w:jc w:val="both"/>
        <w:rPr>
          <w:sz w:val="22"/>
          <w:szCs w:val="22"/>
        </w:rPr>
      </w:pPr>
      <w:r w:rsidRPr="007072B1">
        <w:rPr>
          <w:sz w:val="22"/>
          <w:szCs w:val="22"/>
        </w:rPr>
        <w:t xml:space="preserve">Different entities are caught under EMIR and </w:t>
      </w:r>
      <w:proofErr w:type="spellStart"/>
      <w:r w:rsidRPr="007072B1">
        <w:rPr>
          <w:sz w:val="22"/>
          <w:szCs w:val="22"/>
        </w:rPr>
        <w:t>MiFIR</w:t>
      </w:r>
      <w:proofErr w:type="spellEnd"/>
      <w:r w:rsidRPr="007072B1">
        <w:rPr>
          <w:sz w:val="22"/>
          <w:szCs w:val="22"/>
        </w:rPr>
        <w:t>.  Additional entities are potentially brought into the reporting scope with this option.</w:t>
      </w:r>
      <w:r>
        <w:rPr>
          <w:sz w:val="22"/>
          <w:szCs w:val="22"/>
        </w:rPr>
        <w:t xml:space="preserve">  For example, a firm reporting under EMIR today, but that does not hold the </w:t>
      </w:r>
      <w:proofErr w:type="spellStart"/>
      <w:r>
        <w:rPr>
          <w:sz w:val="22"/>
          <w:szCs w:val="22"/>
        </w:rPr>
        <w:t>MiIFR</w:t>
      </w:r>
      <w:proofErr w:type="spellEnd"/>
      <w:r>
        <w:rPr>
          <w:sz w:val="22"/>
          <w:szCs w:val="22"/>
        </w:rPr>
        <w:t xml:space="preserve"> reporting obligation (i.e. an AIF, or UCITs firm) may be required to report the initial transaction under </w:t>
      </w:r>
      <w:proofErr w:type="spellStart"/>
      <w:r>
        <w:rPr>
          <w:sz w:val="22"/>
          <w:szCs w:val="22"/>
        </w:rPr>
        <w:t>MiFIR</w:t>
      </w:r>
      <w:proofErr w:type="spellEnd"/>
      <w:r>
        <w:rPr>
          <w:sz w:val="22"/>
          <w:szCs w:val="22"/>
        </w:rPr>
        <w:t xml:space="preserve"> (whilst continuing to report post trade activity under EMIR), therefore increasing the number of reporting regimes has the obligation to report under.</w:t>
      </w:r>
    </w:p>
    <w:p w14:paraId="49BEEF87" w14:textId="77777777" w:rsidR="001C2FBB" w:rsidRDefault="001C2FBB" w:rsidP="001C2FBB">
      <w:pPr>
        <w:numPr>
          <w:ilvl w:val="1"/>
          <w:numId w:val="38"/>
        </w:numPr>
        <w:spacing w:after="160" w:line="259" w:lineRule="auto"/>
        <w:jc w:val="both"/>
        <w:rPr>
          <w:sz w:val="22"/>
          <w:szCs w:val="22"/>
        </w:rPr>
      </w:pPr>
      <w:r>
        <w:rPr>
          <w:sz w:val="22"/>
          <w:szCs w:val="22"/>
        </w:rPr>
        <w:t>Where the definition of a transaction or a post trade event varies across regulations r</w:t>
      </w:r>
      <w:r w:rsidRPr="007072B1">
        <w:rPr>
          <w:sz w:val="22"/>
          <w:szCs w:val="22"/>
        </w:rPr>
        <w:t>eport determination has the potential to be complex for firms</w:t>
      </w:r>
    </w:p>
    <w:p w14:paraId="3CF7FC1D" w14:textId="77777777" w:rsidR="001C2FBB" w:rsidRPr="007072B1" w:rsidRDefault="001C2FBB" w:rsidP="001C2FBB">
      <w:pPr>
        <w:numPr>
          <w:ilvl w:val="1"/>
          <w:numId w:val="38"/>
        </w:numPr>
        <w:spacing w:after="160" w:line="259" w:lineRule="auto"/>
        <w:jc w:val="both"/>
        <w:rPr>
          <w:sz w:val="22"/>
          <w:szCs w:val="22"/>
        </w:rPr>
      </w:pPr>
      <w:r w:rsidRPr="007072B1">
        <w:rPr>
          <w:sz w:val="22"/>
          <w:szCs w:val="22"/>
        </w:rPr>
        <w:t>Additional cost to migrate SFTR reporting to the EMIR format</w:t>
      </w:r>
      <w:r>
        <w:rPr>
          <w:sz w:val="22"/>
          <w:szCs w:val="22"/>
        </w:rPr>
        <w:t>, there will also be the requirement to add additional fields to the EMIR template to capture all the data points required under SFTR.</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5D0D1B5D" w14:textId="77777777" w:rsidR="00F75988" w:rsidRPr="00DD0633" w:rsidRDefault="00F75988" w:rsidP="00F75988">
      <w:pPr>
        <w:spacing w:after="160" w:line="259" w:lineRule="auto"/>
        <w:jc w:val="both"/>
        <w:rPr>
          <w:b/>
          <w:bCs/>
          <w:color w:val="44546A" w:themeColor="text2"/>
          <w:u w:val="single"/>
        </w:rPr>
      </w:pPr>
      <w:permStart w:id="275065348" w:edGrp="everyone"/>
      <w:r w:rsidRPr="002E170F">
        <w:rPr>
          <w:bCs/>
          <w:sz w:val="22"/>
          <w:szCs w:val="22"/>
          <w:lang w:eastAsia="zh-CN"/>
        </w:rPr>
        <w:t xml:space="preserve">We </w:t>
      </w:r>
      <w:r>
        <w:rPr>
          <w:bCs/>
          <w:sz w:val="22"/>
          <w:szCs w:val="22"/>
          <w:lang w:eastAsia="zh-CN"/>
        </w:rPr>
        <w:t xml:space="preserve">find the following components missing or not adequately addressed in option 1b. </w:t>
      </w:r>
    </w:p>
    <w:p w14:paraId="5ADFB219" w14:textId="77777777" w:rsidR="00F75988" w:rsidRPr="007072B1" w:rsidRDefault="00F75988" w:rsidP="00F75988">
      <w:pPr>
        <w:numPr>
          <w:ilvl w:val="1"/>
          <w:numId w:val="38"/>
        </w:numPr>
        <w:spacing w:after="160" w:line="259" w:lineRule="auto"/>
        <w:jc w:val="both"/>
        <w:rPr>
          <w:sz w:val="22"/>
          <w:szCs w:val="22"/>
        </w:rPr>
      </w:pPr>
      <w:r w:rsidRPr="007072B1">
        <w:rPr>
          <w:sz w:val="22"/>
          <w:szCs w:val="22"/>
        </w:rPr>
        <w:t>Reconciliation of events across the different regimes will be complex.</w:t>
      </w:r>
    </w:p>
    <w:p w14:paraId="52C057D3" w14:textId="77777777" w:rsidR="00F75988" w:rsidRPr="007072B1" w:rsidRDefault="00F75988" w:rsidP="00F75988">
      <w:pPr>
        <w:numPr>
          <w:ilvl w:val="1"/>
          <w:numId w:val="38"/>
        </w:numPr>
        <w:spacing w:after="160" w:line="259" w:lineRule="auto"/>
        <w:jc w:val="both"/>
        <w:rPr>
          <w:sz w:val="22"/>
          <w:szCs w:val="22"/>
        </w:rPr>
      </w:pPr>
      <w:r w:rsidRPr="007072B1">
        <w:rPr>
          <w:sz w:val="22"/>
          <w:szCs w:val="22"/>
        </w:rPr>
        <w:t xml:space="preserve">Complexity in report determination. Due to differing reporting obligations and data requirements across EMIR and </w:t>
      </w:r>
      <w:proofErr w:type="spellStart"/>
      <w:r w:rsidRPr="007072B1">
        <w:rPr>
          <w:sz w:val="22"/>
          <w:szCs w:val="22"/>
        </w:rPr>
        <w:t>MiFIR</w:t>
      </w:r>
      <w:proofErr w:type="spellEnd"/>
      <w:r w:rsidRPr="007072B1">
        <w:rPr>
          <w:sz w:val="22"/>
          <w:szCs w:val="22"/>
        </w:rPr>
        <w:t xml:space="preserve">, it will be challenging to clearly establish which entities are responsible for reporting specific events under each regime.  For example, collateral and valuation reports may be submitted under EMIR, while only the execution is reported under </w:t>
      </w:r>
      <w:proofErr w:type="spellStart"/>
      <w:r w:rsidRPr="007072B1">
        <w:rPr>
          <w:sz w:val="22"/>
          <w:szCs w:val="22"/>
        </w:rPr>
        <w:t>MiFIR</w:t>
      </w:r>
      <w:proofErr w:type="spellEnd"/>
      <w:r w:rsidRPr="007072B1">
        <w:rPr>
          <w:sz w:val="22"/>
          <w:szCs w:val="22"/>
        </w:rPr>
        <w:t>—creating fragmentation and oversight challenges.</w:t>
      </w:r>
    </w:p>
    <w:p w14:paraId="37F62553" w14:textId="77777777" w:rsidR="00F75988" w:rsidRPr="007072B1" w:rsidRDefault="00F75988" w:rsidP="00F75988">
      <w:pPr>
        <w:numPr>
          <w:ilvl w:val="1"/>
          <w:numId w:val="38"/>
        </w:numPr>
        <w:spacing w:after="160" w:line="259" w:lineRule="auto"/>
        <w:jc w:val="both"/>
        <w:rPr>
          <w:sz w:val="22"/>
          <w:szCs w:val="22"/>
        </w:rPr>
      </w:pPr>
      <w:r w:rsidRPr="007072B1">
        <w:rPr>
          <w:sz w:val="22"/>
          <w:szCs w:val="22"/>
        </w:rPr>
        <w:t>Report specifications will need to be updated across the reporting regimes, currently different data points are reported across the regimes and there isn’t currently an identifier that will link the transaction across the reporting regimes.</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686D7842" w14:textId="77777777" w:rsidR="00F409F0" w:rsidRPr="00B171DB" w:rsidRDefault="00F409F0" w:rsidP="00F409F0">
      <w:pPr>
        <w:spacing w:after="160" w:line="259" w:lineRule="auto"/>
        <w:jc w:val="both"/>
        <w:rPr>
          <w:b/>
          <w:bCs/>
          <w:color w:val="44546A" w:themeColor="text2"/>
          <w:u w:val="single"/>
        </w:rPr>
      </w:pPr>
      <w:permStart w:id="1249454344" w:edGrp="everyone"/>
      <w:r w:rsidRPr="002E170F">
        <w:rPr>
          <w:bCs/>
          <w:sz w:val="22"/>
          <w:szCs w:val="22"/>
          <w:lang w:eastAsia="zh-CN"/>
        </w:rPr>
        <w:t xml:space="preserve">We </w:t>
      </w:r>
      <w:r>
        <w:rPr>
          <w:bCs/>
          <w:sz w:val="22"/>
          <w:szCs w:val="22"/>
          <w:lang w:eastAsia="zh-CN"/>
        </w:rPr>
        <w:t>find the following key advantages associated with option 2a.</w:t>
      </w:r>
    </w:p>
    <w:p w14:paraId="4AAB749C" w14:textId="77777777" w:rsidR="00F409F0" w:rsidRPr="007072B1" w:rsidRDefault="00F409F0" w:rsidP="00F409F0">
      <w:pPr>
        <w:numPr>
          <w:ilvl w:val="1"/>
          <w:numId w:val="38"/>
        </w:numPr>
        <w:spacing w:after="160" w:line="259" w:lineRule="auto"/>
        <w:jc w:val="both"/>
        <w:rPr>
          <w:sz w:val="22"/>
          <w:szCs w:val="22"/>
        </w:rPr>
      </w:pPr>
      <w:r w:rsidRPr="007072B1">
        <w:rPr>
          <w:sz w:val="22"/>
          <w:szCs w:val="22"/>
        </w:rPr>
        <w:lastRenderedPageBreak/>
        <w:t>Removes the duplication of IT systems and allows efficiency gains from maintaining one reporting channel.</w:t>
      </w:r>
    </w:p>
    <w:p w14:paraId="2EA56F72" w14:textId="77777777" w:rsidR="00F409F0" w:rsidRPr="007072B1" w:rsidRDefault="00F409F0" w:rsidP="00F409F0">
      <w:pPr>
        <w:numPr>
          <w:ilvl w:val="1"/>
          <w:numId w:val="38"/>
        </w:numPr>
        <w:spacing w:after="160" w:line="259" w:lineRule="auto"/>
        <w:jc w:val="both"/>
        <w:rPr>
          <w:sz w:val="22"/>
          <w:szCs w:val="22"/>
        </w:rPr>
      </w:pPr>
      <w:r w:rsidRPr="007072B1">
        <w:rPr>
          <w:sz w:val="22"/>
          <w:szCs w:val="22"/>
        </w:rPr>
        <w:t>Reduces the frequency of regulatory change.  However, any changes are likely to be larger and more complex to implement which will carry additional risks.</w:t>
      </w:r>
    </w:p>
    <w:p w14:paraId="1BB13C09" w14:textId="77777777" w:rsidR="00F409F0" w:rsidRDefault="00F409F0" w:rsidP="00F409F0">
      <w:pPr>
        <w:numPr>
          <w:ilvl w:val="1"/>
          <w:numId w:val="38"/>
        </w:numPr>
        <w:spacing w:after="160" w:line="259" w:lineRule="auto"/>
        <w:jc w:val="both"/>
        <w:rPr>
          <w:sz w:val="22"/>
          <w:szCs w:val="22"/>
        </w:rPr>
      </w:pPr>
      <w:r w:rsidRPr="007072B1">
        <w:rPr>
          <w:sz w:val="22"/>
          <w:szCs w:val="22"/>
        </w:rPr>
        <w:t>In time it should reduce the number of breaks moving to a single sided regime with one large report data set.</w:t>
      </w:r>
    </w:p>
    <w:p w14:paraId="7958F404" w14:textId="77777777" w:rsidR="00F409F0" w:rsidRPr="007072B1" w:rsidRDefault="00F409F0" w:rsidP="00F409F0">
      <w:pPr>
        <w:spacing w:after="160" w:line="259" w:lineRule="auto"/>
        <w:jc w:val="both"/>
        <w:rPr>
          <w:sz w:val="22"/>
          <w:szCs w:val="22"/>
        </w:rPr>
      </w:pPr>
      <w:r>
        <w:rPr>
          <w:sz w:val="22"/>
          <w:szCs w:val="22"/>
        </w:rPr>
        <w:t>Despite the abovementioned advantages, we find that those would be far outweighed by the associated costs.</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238B9372" w14:textId="77777777" w:rsidR="009D65C2" w:rsidRPr="00B171DB" w:rsidRDefault="009D65C2" w:rsidP="009D65C2">
      <w:pPr>
        <w:spacing w:after="160" w:line="259" w:lineRule="auto"/>
        <w:jc w:val="both"/>
        <w:rPr>
          <w:b/>
          <w:bCs/>
          <w:color w:val="44546A" w:themeColor="text2"/>
          <w:u w:val="single"/>
        </w:rPr>
      </w:pPr>
      <w:permStart w:id="199837036" w:edGrp="everyone"/>
      <w:r w:rsidRPr="002E170F">
        <w:rPr>
          <w:bCs/>
          <w:sz w:val="22"/>
          <w:szCs w:val="22"/>
          <w:lang w:eastAsia="zh-CN"/>
        </w:rPr>
        <w:t xml:space="preserve">We </w:t>
      </w:r>
      <w:r>
        <w:rPr>
          <w:bCs/>
          <w:sz w:val="22"/>
          <w:szCs w:val="22"/>
          <w:lang w:eastAsia="zh-CN"/>
        </w:rPr>
        <w:t>find the following limitations and potential risks associated with option 2a.</w:t>
      </w:r>
    </w:p>
    <w:p w14:paraId="3CA44A31" w14:textId="77777777" w:rsidR="009D65C2" w:rsidRPr="007072B1" w:rsidRDefault="009D65C2" w:rsidP="009D65C2">
      <w:pPr>
        <w:numPr>
          <w:ilvl w:val="1"/>
          <w:numId w:val="38"/>
        </w:numPr>
        <w:spacing w:after="160" w:line="259" w:lineRule="auto"/>
        <w:jc w:val="both"/>
        <w:rPr>
          <w:sz w:val="22"/>
          <w:szCs w:val="22"/>
        </w:rPr>
      </w:pPr>
      <w:r w:rsidRPr="007072B1">
        <w:rPr>
          <w:b/>
          <w:sz w:val="22"/>
          <w:szCs w:val="22"/>
        </w:rPr>
        <w:t>Significant Change Burden</w:t>
      </w:r>
      <w:r w:rsidRPr="007072B1">
        <w:rPr>
          <w:sz w:val="22"/>
          <w:szCs w:val="22"/>
        </w:rPr>
        <w:t>:  The scale of change would be substantial, with SMEs disproportionately impacted due to limited resources and minimal benefit, as they are less likely to report across multiple regimes.</w:t>
      </w:r>
    </w:p>
    <w:p w14:paraId="05BF021C" w14:textId="77777777" w:rsidR="009D65C2" w:rsidRPr="007072B1" w:rsidRDefault="009D65C2" w:rsidP="009D65C2">
      <w:pPr>
        <w:numPr>
          <w:ilvl w:val="1"/>
          <w:numId w:val="38"/>
        </w:numPr>
        <w:spacing w:after="160" w:line="259" w:lineRule="auto"/>
        <w:jc w:val="both"/>
        <w:rPr>
          <w:sz w:val="22"/>
          <w:szCs w:val="22"/>
        </w:rPr>
      </w:pPr>
      <w:r w:rsidRPr="007072B1">
        <w:rPr>
          <w:b/>
          <w:sz w:val="22"/>
          <w:szCs w:val="22"/>
        </w:rPr>
        <w:t>Loss of Global Alignment</w:t>
      </w:r>
      <w:r w:rsidRPr="007072B1">
        <w:rPr>
          <w:sz w:val="22"/>
          <w:szCs w:val="22"/>
        </w:rPr>
        <w:t>:  Divergence from G20 standards would undermine the harmonisation achieved through EMIR Refit and global reporting rewrites, reducing consistency and comparability.</w:t>
      </w:r>
    </w:p>
    <w:p w14:paraId="0BC0AA84" w14:textId="77777777" w:rsidR="009D65C2" w:rsidRDefault="009D65C2" w:rsidP="009D65C2">
      <w:pPr>
        <w:numPr>
          <w:ilvl w:val="1"/>
          <w:numId w:val="38"/>
        </w:numPr>
        <w:spacing w:after="160" w:line="259" w:lineRule="auto"/>
        <w:jc w:val="both"/>
        <w:rPr>
          <w:sz w:val="22"/>
          <w:szCs w:val="22"/>
        </w:rPr>
      </w:pPr>
      <w:r w:rsidRPr="007072B1">
        <w:rPr>
          <w:sz w:val="22"/>
          <w:szCs w:val="22"/>
        </w:rPr>
        <w:t xml:space="preserve">A superset of data covering both market surveillance and systemic risk could increase reporting complexity and the number of data points required per report.  Supporting both EMIR and </w:t>
      </w:r>
      <w:proofErr w:type="spellStart"/>
      <w:r w:rsidRPr="007072B1">
        <w:rPr>
          <w:sz w:val="22"/>
          <w:szCs w:val="22"/>
        </w:rPr>
        <w:t>MiFIR</w:t>
      </w:r>
      <w:proofErr w:type="spellEnd"/>
      <w:r w:rsidRPr="007072B1">
        <w:rPr>
          <w:sz w:val="22"/>
          <w:szCs w:val="22"/>
        </w:rPr>
        <w:t xml:space="preserve"> in a single framework may necessitate numerous additional fields, </w:t>
      </w:r>
      <w:proofErr w:type="gramStart"/>
      <w:r w:rsidRPr="007072B1">
        <w:rPr>
          <w:sz w:val="22"/>
          <w:szCs w:val="22"/>
        </w:rPr>
        <w:t>increasing</w:t>
      </w:r>
      <w:proofErr w:type="gramEnd"/>
      <w:r w:rsidRPr="007072B1">
        <w:rPr>
          <w:sz w:val="22"/>
          <w:szCs w:val="22"/>
        </w:rPr>
        <w:t xml:space="preserve"> the burden and introducing more complex scenarios for report generation and field population.</w:t>
      </w:r>
    </w:p>
    <w:p w14:paraId="795A4239" w14:textId="77777777" w:rsidR="009D65C2" w:rsidRPr="007072B1" w:rsidRDefault="009D65C2" w:rsidP="009D65C2">
      <w:pPr>
        <w:numPr>
          <w:ilvl w:val="1"/>
          <w:numId w:val="38"/>
        </w:numPr>
        <w:spacing w:after="160" w:line="259" w:lineRule="auto"/>
        <w:jc w:val="both"/>
        <w:rPr>
          <w:b/>
          <w:bCs/>
          <w:sz w:val="22"/>
          <w:szCs w:val="22"/>
        </w:rPr>
      </w:pPr>
      <w:r w:rsidRPr="007072B1">
        <w:rPr>
          <w:b/>
          <w:bCs/>
          <w:sz w:val="22"/>
          <w:szCs w:val="22"/>
        </w:rPr>
        <w:t>Implementation</w:t>
      </w:r>
      <w:r w:rsidRPr="004E70D1">
        <w:rPr>
          <w:b/>
          <w:bCs/>
          <w:sz w:val="22"/>
          <w:szCs w:val="22"/>
        </w:rPr>
        <w:t xml:space="preserve">: </w:t>
      </w:r>
      <w:r w:rsidRPr="007072B1">
        <w:rPr>
          <w:sz w:val="22"/>
          <w:szCs w:val="22"/>
        </w:rPr>
        <w:t xml:space="preserve">Implementation must be via a phased </w:t>
      </w:r>
      <w:r w:rsidRPr="004E70D1">
        <w:rPr>
          <w:sz w:val="22"/>
          <w:szCs w:val="22"/>
        </w:rPr>
        <w:t>approach;</w:t>
      </w:r>
      <w:r w:rsidRPr="007072B1">
        <w:rPr>
          <w:sz w:val="22"/>
          <w:szCs w:val="22"/>
        </w:rPr>
        <w:t xml:space="preserve"> a big bang would be very high risk and impractical</w:t>
      </w:r>
      <w:r w:rsidRPr="004E70D1">
        <w:rPr>
          <w:sz w:val="22"/>
          <w:szCs w:val="22"/>
        </w:rPr>
        <w:t>.</w:t>
      </w:r>
    </w:p>
    <w:p w14:paraId="16AB6E5C" w14:textId="77777777" w:rsidR="009D65C2" w:rsidRPr="007072B1" w:rsidRDefault="009D65C2" w:rsidP="009D65C2">
      <w:pPr>
        <w:numPr>
          <w:ilvl w:val="2"/>
          <w:numId w:val="38"/>
        </w:numPr>
        <w:spacing w:after="160" w:line="259" w:lineRule="auto"/>
        <w:jc w:val="both"/>
        <w:rPr>
          <w:sz w:val="22"/>
          <w:szCs w:val="22"/>
        </w:rPr>
      </w:pPr>
      <w:r w:rsidRPr="007072B1">
        <w:rPr>
          <w:sz w:val="22"/>
          <w:szCs w:val="22"/>
        </w:rPr>
        <w:t xml:space="preserve">Phased approach could see </w:t>
      </w:r>
      <w:proofErr w:type="spellStart"/>
      <w:r>
        <w:rPr>
          <w:sz w:val="22"/>
          <w:szCs w:val="22"/>
        </w:rPr>
        <w:t>MiFIR</w:t>
      </w:r>
      <w:proofErr w:type="spellEnd"/>
      <w:r w:rsidRPr="007072B1">
        <w:rPr>
          <w:sz w:val="22"/>
          <w:szCs w:val="22"/>
        </w:rPr>
        <w:t xml:space="preserve"> migrated to a new template, followed by the additional products covered under emir (and the decommissioning of EMIR) and lastly the products covered by SFTR (and the decommission of SFTR)</w:t>
      </w:r>
    </w:p>
    <w:p w14:paraId="49B57765" w14:textId="77777777" w:rsidR="009D65C2" w:rsidRPr="007072B1" w:rsidRDefault="009D65C2" w:rsidP="009D65C2">
      <w:pPr>
        <w:numPr>
          <w:ilvl w:val="1"/>
          <w:numId w:val="38"/>
        </w:numPr>
        <w:spacing w:after="160" w:line="259" w:lineRule="auto"/>
        <w:jc w:val="both"/>
        <w:rPr>
          <w:sz w:val="22"/>
          <w:szCs w:val="22"/>
        </w:rPr>
      </w:pPr>
      <w:r w:rsidRPr="007072B1">
        <w:rPr>
          <w:sz w:val="22"/>
          <w:szCs w:val="22"/>
        </w:rPr>
        <w:t xml:space="preserve">The implementation cost is likely to be very </w:t>
      </w:r>
      <w:r w:rsidRPr="004E70D1">
        <w:rPr>
          <w:sz w:val="22"/>
          <w:szCs w:val="22"/>
        </w:rPr>
        <w:t>significant,</w:t>
      </w:r>
      <w:r w:rsidRPr="007072B1">
        <w:rPr>
          <w:sz w:val="22"/>
          <w:szCs w:val="22"/>
        </w:rPr>
        <w:t xml:space="preserve"> and expectation would be this upfront cost would take many years to show a cost benefit</w:t>
      </w:r>
      <w:r>
        <w:rPr>
          <w:sz w:val="22"/>
          <w:szCs w:val="22"/>
        </w:rPr>
        <w:t>.</w:t>
      </w:r>
    </w:p>
    <w:p w14:paraId="51B22B77" w14:textId="77777777" w:rsidR="009D65C2" w:rsidRDefault="009D65C2" w:rsidP="009D65C2">
      <w:pPr>
        <w:jc w:val="both"/>
        <w:rPr>
          <w:rFonts w:eastAsia="Arial" w:cs="Arial"/>
          <w:sz w:val="22"/>
          <w:szCs w:val="22"/>
        </w:rPr>
      </w:pPr>
      <w:r>
        <w:rPr>
          <w:rFonts w:eastAsia="Arial" w:cs="Arial"/>
          <w:sz w:val="22"/>
          <w:szCs w:val="22"/>
        </w:rPr>
        <w:t xml:space="preserve">Finally, we find that the above limitations outweigh the advantages in question 9. </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74ADBACB" w14:textId="77777777" w:rsidR="0001520D" w:rsidRPr="00815B80" w:rsidRDefault="0001520D" w:rsidP="006B541B">
      <w:pPr>
        <w:spacing w:after="160" w:line="259" w:lineRule="auto"/>
        <w:jc w:val="both"/>
        <w:rPr>
          <w:b/>
          <w:bCs/>
          <w:color w:val="44546A" w:themeColor="text2"/>
          <w:u w:val="single"/>
        </w:rPr>
      </w:pPr>
      <w:permStart w:id="2123508368" w:edGrp="everyone"/>
      <w:r w:rsidRPr="002E170F">
        <w:rPr>
          <w:bCs/>
          <w:sz w:val="22"/>
          <w:szCs w:val="22"/>
          <w:lang w:eastAsia="zh-CN"/>
        </w:rPr>
        <w:lastRenderedPageBreak/>
        <w:t xml:space="preserve">We </w:t>
      </w:r>
      <w:r>
        <w:rPr>
          <w:bCs/>
          <w:sz w:val="22"/>
          <w:szCs w:val="22"/>
          <w:lang w:eastAsia="zh-CN"/>
        </w:rPr>
        <w:t>find the following components missing or not adequately addressed in option 2a</w:t>
      </w:r>
      <w:r>
        <w:rPr>
          <w:b/>
          <w:bCs/>
          <w:color w:val="44546A" w:themeColor="text2"/>
          <w:u w:val="single"/>
        </w:rPr>
        <w:t>.</w:t>
      </w:r>
    </w:p>
    <w:p w14:paraId="557C1D33" w14:textId="77777777" w:rsidR="0001520D" w:rsidRDefault="0001520D" w:rsidP="00926BDA">
      <w:pPr>
        <w:rPr>
          <w:sz w:val="22"/>
          <w:szCs w:val="22"/>
        </w:rPr>
      </w:pPr>
      <w:r w:rsidRPr="007072B1">
        <w:rPr>
          <w:b/>
          <w:sz w:val="22"/>
          <w:szCs w:val="22"/>
        </w:rPr>
        <w:t>Loss of Global Alignment</w:t>
      </w:r>
      <w:r w:rsidRPr="007072B1">
        <w:rPr>
          <w:sz w:val="22"/>
          <w:szCs w:val="22"/>
        </w:rPr>
        <w:t>:  Divergence from G20 standards would undermine the harmonisation achieved through EMIR Refit and global reporting rewrites, reducing consistency and comparability</w:t>
      </w:r>
      <w:r>
        <w:rPr>
          <w:sz w:val="22"/>
          <w:szCs w:val="22"/>
        </w:rPr>
        <w:t>.</w:t>
      </w:r>
    </w:p>
    <w:permEnd w:id="2123508368"/>
    <w:p w14:paraId="23BCC39D" w14:textId="3DF75B73"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566187C0" w14:textId="77777777" w:rsidR="00304F8F" w:rsidRDefault="00304F8F" w:rsidP="00304F8F">
      <w:pPr>
        <w:jc w:val="both"/>
        <w:rPr>
          <w:bCs/>
          <w:sz w:val="22"/>
          <w:szCs w:val="22"/>
          <w:lang w:eastAsia="zh-CN"/>
        </w:rPr>
      </w:pPr>
      <w:permStart w:id="16780711" w:edGrp="everyone"/>
      <w:r>
        <w:rPr>
          <w:bCs/>
          <w:sz w:val="22"/>
          <w:szCs w:val="22"/>
          <w:lang w:eastAsia="zh-CN"/>
        </w:rPr>
        <w:t xml:space="preserve">We believe that </w:t>
      </w:r>
      <w:r w:rsidRPr="00980043">
        <w:rPr>
          <w:bCs/>
          <w:sz w:val="22"/>
          <w:szCs w:val="22"/>
          <w:lang w:eastAsia="zh-CN"/>
        </w:rPr>
        <w:t>option</w:t>
      </w:r>
      <w:r>
        <w:rPr>
          <w:bCs/>
          <w:sz w:val="22"/>
          <w:szCs w:val="22"/>
          <w:lang w:eastAsia="zh-CN"/>
        </w:rPr>
        <w:t xml:space="preserve"> 2b</w:t>
      </w:r>
      <w:r w:rsidRPr="00980043">
        <w:rPr>
          <w:bCs/>
          <w:sz w:val="22"/>
          <w:szCs w:val="22"/>
          <w:lang w:eastAsia="zh-CN"/>
        </w:rPr>
        <w:t xml:space="preserve"> will result in</w:t>
      </w:r>
      <w:r>
        <w:rPr>
          <w:bCs/>
          <w:sz w:val="22"/>
          <w:szCs w:val="22"/>
          <w:lang w:eastAsia="zh-CN"/>
        </w:rPr>
        <w:t xml:space="preserve"> a complex reporting framework due to the </w:t>
      </w:r>
      <w:proofErr w:type="gramStart"/>
      <w:r>
        <w:rPr>
          <w:bCs/>
          <w:sz w:val="22"/>
          <w:szCs w:val="22"/>
          <w:lang w:eastAsia="zh-CN"/>
        </w:rPr>
        <w:t>amount</w:t>
      </w:r>
      <w:proofErr w:type="gramEnd"/>
      <w:r>
        <w:rPr>
          <w:bCs/>
          <w:sz w:val="22"/>
          <w:szCs w:val="22"/>
          <w:lang w:eastAsia="zh-CN"/>
        </w:rPr>
        <w:t xml:space="preserve"> of fields and validations that will need to be performed. Therefore, </w:t>
      </w:r>
      <w:proofErr w:type="gramStart"/>
      <w:r>
        <w:rPr>
          <w:bCs/>
          <w:sz w:val="22"/>
          <w:szCs w:val="22"/>
          <w:lang w:eastAsia="zh-CN"/>
        </w:rPr>
        <w:t>despite the fact that</w:t>
      </w:r>
      <w:proofErr w:type="gramEnd"/>
      <w:r>
        <w:rPr>
          <w:bCs/>
          <w:sz w:val="22"/>
          <w:szCs w:val="22"/>
          <w:lang w:eastAsia="zh-CN"/>
        </w:rPr>
        <w:t xml:space="preserve"> m</w:t>
      </w:r>
      <w:r w:rsidRPr="00034DC0">
        <w:rPr>
          <w:bCs/>
          <w:sz w:val="22"/>
          <w:szCs w:val="22"/>
          <w:lang w:eastAsia="zh-CN"/>
        </w:rPr>
        <w:t>oving all regulatory reporting under one mandate would ease the reporting burden on firms it would increase complexity considerably.</w:t>
      </w:r>
      <w:r>
        <w:rPr>
          <w:bCs/>
          <w:sz w:val="22"/>
          <w:szCs w:val="22"/>
          <w:lang w:eastAsia="zh-CN"/>
        </w:rPr>
        <w:t xml:space="preserve"> Furthermore, implementation of option 2b would take much longer. </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64B8C06A" w14:textId="77777777" w:rsidR="00277057" w:rsidRPr="007072B1" w:rsidRDefault="00277057" w:rsidP="00277057">
      <w:pPr>
        <w:jc w:val="both"/>
        <w:rPr>
          <w:sz w:val="22"/>
          <w:szCs w:val="22"/>
          <w:lang w:eastAsia="zh-CN"/>
        </w:rPr>
      </w:pPr>
      <w:permStart w:id="1489376342" w:edGrp="everyone"/>
      <w:r>
        <w:rPr>
          <w:bCs/>
          <w:sz w:val="22"/>
          <w:szCs w:val="22"/>
          <w:lang w:eastAsia="zh-CN"/>
        </w:rPr>
        <w:t xml:space="preserve">We find that both </w:t>
      </w:r>
      <w:r w:rsidRPr="00980043">
        <w:rPr>
          <w:bCs/>
          <w:sz w:val="22"/>
          <w:szCs w:val="22"/>
          <w:lang w:eastAsia="zh-CN"/>
        </w:rPr>
        <w:t>2a and 2b will take longer to come to fruition. Implementation</w:t>
      </w:r>
      <w:r>
        <w:rPr>
          <w:bCs/>
          <w:sz w:val="22"/>
          <w:szCs w:val="22"/>
          <w:lang w:eastAsia="zh-CN"/>
        </w:rPr>
        <w:t>, in line with our response to question 12 would take longer. Therefore, w</w:t>
      </w:r>
      <w:r w:rsidRPr="00980043">
        <w:rPr>
          <w:bCs/>
          <w:sz w:val="22"/>
          <w:szCs w:val="22"/>
          <w:lang w:eastAsia="zh-CN"/>
        </w:rPr>
        <w:t xml:space="preserve">e will not see any proposed benefits for </w:t>
      </w:r>
      <w:r>
        <w:rPr>
          <w:bCs/>
          <w:sz w:val="22"/>
          <w:szCs w:val="22"/>
          <w:lang w:eastAsia="zh-CN"/>
        </w:rPr>
        <w:t xml:space="preserve">a </w:t>
      </w:r>
      <w:r w:rsidRPr="00980043">
        <w:rPr>
          <w:bCs/>
          <w:sz w:val="22"/>
          <w:szCs w:val="22"/>
          <w:lang w:eastAsia="zh-CN"/>
        </w:rPr>
        <w:t>much longer</w:t>
      </w:r>
      <w:r>
        <w:rPr>
          <w:bCs/>
          <w:sz w:val="22"/>
          <w:szCs w:val="22"/>
          <w:lang w:eastAsia="zh-CN"/>
        </w:rPr>
        <w:t xml:space="preserve"> </w:t>
      </w:r>
      <w:proofErr w:type="gramStart"/>
      <w:r>
        <w:rPr>
          <w:bCs/>
          <w:sz w:val="22"/>
          <w:szCs w:val="22"/>
          <w:lang w:eastAsia="zh-CN"/>
        </w:rPr>
        <w:t>period of time</w:t>
      </w:r>
      <w:proofErr w:type="gramEnd"/>
      <w:r>
        <w:rPr>
          <w:bCs/>
          <w:sz w:val="22"/>
          <w:szCs w:val="22"/>
          <w:lang w:eastAsia="zh-CN"/>
        </w:rPr>
        <w:t xml:space="preserve"> when comparing it with </w:t>
      </w:r>
      <w:r w:rsidRPr="00980043">
        <w:rPr>
          <w:bCs/>
          <w:sz w:val="22"/>
          <w:szCs w:val="22"/>
          <w:lang w:eastAsia="zh-CN"/>
        </w:rPr>
        <w:t xml:space="preserve">option 1. </w:t>
      </w:r>
    </w:p>
    <w:p w14:paraId="1EBA972C" w14:textId="77777777" w:rsidR="00277057" w:rsidRDefault="00277057" w:rsidP="00277057">
      <w:pPr>
        <w:jc w:val="both"/>
        <w:rPr>
          <w:bCs/>
          <w:sz w:val="22"/>
          <w:szCs w:val="22"/>
          <w:lang w:eastAsia="zh-CN"/>
        </w:rPr>
      </w:pPr>
    </w:p>
    <w:p w14:paraId="774645B4" w14:textId="77777777" w:rsidR="00277057" w:rsidRPr="00B00781" w:rsidRDefault="00277057" w:rsidP="00277057">
      <w:pPr>
        <w:jc w:val="both"/>
        <w:rPr>
          <w:b/>
          <w:bCs/>
          <w:color w:val="44546A" w:themeColor="text2"/>
          <w:u w:val="single"/>
        </w:rPr>
      </w:pPr>
      <w:r>
        <w:rPr>
          <w:bCs/>
          <w:sz w:val="22"/>
          <w:szCs w:val="22"/>
          <w:lang w:eastAsia="zh-CN"/>
        </w:rPr>
        <w:t>In addition, w</w:t>
      </w:r>
      <w:r w:rsidRPr="002E170F">
        <w:rPr>
          <w:bCs/>
          <w:sz w:val="22"/>
          <w:szCs w:val="22"/>
          <w:lang w:eastAsia="zh-CN"/>
        </w:rPr>
        <w:t xml:space="preserve">e </w:t>
      </w:r>
      <w:r>
        <w:rPr>
          <w:bCs/>
          <w:sz w:val="22"/>
          <w:szCs w:val="22"/>
          <w:lang w:eastAsia="zh-CN"/>
        </w:rPr>
        <w:t>find the following limitations and potential risks associated with option 2b.</w:t>
      </w:r>
    </w:p>
    <w:p w14:paraId="5DECF89C" w14:textId="77777777" w:rsidR="00277057" w:rsidRPr="007072B1" w:rsidRDefault="00277057" w:rsidP="00277057">
      <w:pPr>
        <w:numPr>
          <w:ilvl w:val="1"/>
          <w:numId w:val="38"/>
        </w:numPr>
        <w:spacing w:after="160" w:line="259" w:lineRule="auto"/>
        <w:jc w:val="both"/>
        <w:rPr>
          <w:sz w:val="22"/>
          <w:szCs w:val="22"/>
        </w:rPr>
      </w:pPr>
      <w:r w:rsidRPr="007072B1">
        <w:rPr>
          <w:sz w:val="22"/>
          <w:szCs w:val="22"/>
        </w:rPr>
        <w:t>Different regulatory reporting regimes have different purposes. For example, AIFMD is a periodic disclosure report. It would be very challenging to incorporate that into daily reporting.</w:t>
      </w:r>
    </w:p>
    <w:p w14:paraId="670A5A00" w14:textId="77777777" w:rsidR="00277057" w:rsidRPr="007072B1" w:rsidRDefault="00277057" w:rsidP="00277057">
      <w:pPr>
        <w:numPr>
          <w:ilvl w:val="1"/>
          <w:numId w:val="38"/>
        </w:numPr>
        <w:spacing w:after="160" w:line="259" w:lineRule="auto"/>
        <w:jc w:val="both"/>
        <w:rPr>
          <w:sz w:val="22"/>
          <w:szCs w:val="22"/>
        </w:rPr>
      </w:pPr>
      <w:r w:rsidRPr="007072B1">
        <w:rPr>
          <w:sz w:val="22"/>
          <w:szCs w:val="22"/>
        </w:rPr>
        <w:t>Transparency directive is an aggregated holding on specific ISIN through all subsidiaries and into the group with alert thresholds at each level. This would be very difficult to manage in the same way as EMIR reports as the LEI does not hold the hierarchy of entitles in this manner.</w:t>
      </w:r>
    </w:p>
    <w:p w14:paraId="132BB055" w14:textId="77777777" w:rsidR="00277057" w:rsidRDefault="00277057" w:rsidP="00277057">
      <w:pPr>
        <w:numPr>
          <w:ilvl w:val="1"/>
          <w:numId w:val="38"/>
        </w:numPr>
        <w:spacing w:after="160" w:line="259" w:lineRule="auto"/>
        <w:jc w:val="both"/>
        <w:rPr>
          <w:sz w:val="22"/>
          <w:szCs w:val="22"/>
        </w:rPr>
      </w:pPr>
      <w:r w:rsidRPr="007072B1">
        <w:rPr>
          <w:sz w:val="22"/>
          <w:szCs w:val="22"/>
        </w:rPr>
        <w:t>The complexities of each reporting regime would need to be analysed to ensure that the purpose could be met with a single report whilst not adding a disproportionate reporting burden overall</w:t>
      </w:r>
    </w:p>
    <w:p w14:paraId="0E1869CD" w14:textId="77777777" w:rsidR="00277057" w:rsidRPr="007072B1" w:rsidRDefault="00277057" w:rsidP="00277057">
      <w:pPr>
        <w:numPr>
          <w:ilvl w:val="1"/>
          <w:numId w:val="38"/>
        </w:numPr>
        <w:spacing w:after="160" w:line="259" w:lineRule="auto"/>
        <w:jc w:val="both"/>
        <w:rPr>
          <w:sz w:val="22"/>
          <w:szCs w:val="22"/>
        </w:rPr>
      </w:pPr>
      <w:r w:rsidRPr="007072B1">
        <w:rPr>
          <w:sz w:val="22"/>
          <w:szCs w:val="22"/>
        </w:rPr>
        <w:t>With regards to implementation, the burden in cost and complexity may outweigh the benefit of migrating some existing regimes</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F07C137" w14:textId="77777777" w:rsidR="00C02C03" w:rsidRPr="007072B1" w:rsidRDefault="00C02C03" w:rsidP="00C02C03">
      <w:pPr>
        <w:jc w:val="both"/>
        <w:rPr>
          <w:sz w:val="22"/>
          <w:szCs w:val="22"/>
          <w:lang w:eastAsia="zh-CN"/>
        </w:rPr>
      </w:pPr>
      <w:permStart w:id="1849847968" w:edGrp="everyone"/>
      <w:r w:rsidRPr="007072B1">
        <w:rPr>
          <w:bCs/>
          <w:sz w:val="22"/>
          <w:szCs w:val="22"/>
          <w:lang w:eastAsia="zh-CN"/>
        </w:rPr>
        <w:t>Please see response to question 11.</w:t>
      </w:r>
    </w:p>
    <w:permEnd w:id="1849847968"/>
    <w:p w14:paraId="754DFA86" w14:textId="77777777" w:rsidR="00926BDA" w:rsidRDefault="00926BDA" w:rsidP="00926BDA">
      <w:r>
        <w:lastRenderedPageBreak/>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522987D8" w14:textId="77777777" w:rsidR="009108C3" w:rsidRDefault="009108C3" w:rsidP="009108C3">
      <w:pPr>
        <w:jc w:val="both"/>
        <w:rPr>
          <w:sz w:val="22"/>
          <w:szCs w:val="22"/>
          <w:lang w:eastAsia="zh-CN"/>
        </w:rPr>
      </w:pPr>
      <w:permStart w:id="695482675" w:edGrp="everyone"/>
      <w:r w:rsidRPr="1D40E646">
        <w:rPr>
          <w:sz w:val="22"/>
          <w:szCs w:val="22"/>
          <w:lang w:eastAsia="zh-CN"/>
        </w:rPr>
        <w:t xml:space="preserve">LSEG believes that, from the proposed options, option 1a should be prioritised with continued focus on harmonisations across required attributes and definitions. We feel that all options require some amendments in consultation with the industry, despite 1a being the preferred one. </w:t>
      </w:r>
    </w:p>
    <w:p w14:paraId="2B1637DA" w14:textId="77777777" w:rsidR="0026254E" w:rsidRDefault="0026254E" w:rsidP="009108C3">
      <w:pPr>
        <w:jc w:val="both"/>
        <w:rPr>
          <w:sz w:val="22"/>
          <w:szCs w:val="22"/>
          <w:lang w:eastAsia="zh-CN"/>
        </w:rPr>
      </w:pPr>
    </w:p>
    <w:p w14:paraId="1E4D518C" w14:textId="77777777" w:rsidR="009108C3" w:rsidRPr="002C7D21" w:rsidRDefault="009108C3" w:rsidP="009108C3">
      <w:pPr>
        <w:jc w:val="both"/>
        <w:rPr>
          <w:sz w:val="22"/>
          <w:szCs w:val="22"/>
          <w:lang w:eastAsia="zh-CN"/>
        </w:rPr>
      </w:pPr>
      <w:r>
        <w:rPr>
          <w:sz w:val="22"/>
          <w:szCs w:val="22"/>
          <w:lang w:eastAsia="zh-CN"/>
        </w:rPr>
        <w:t>Option 1a represents the least amount of regulatory change for</w:t>
      </w:r>
      <w:r w:rsidRPr="00E83E80">
        <w:rPr>
          <w:sz w:val="22"/>
          <w:szCs w:val="22"/>
          <w:lang w:eastAsia="zh-CN"/>
        </w:rPr>
        <w:t xml:space="preserve"> </w:t>
      </w:r>
      <w:r>
        <w:rPr>
          <w:sz w:val="22"/>
          <w:szCs w:val="22"/>
          <w:lang w:eastAsia="zh-CN"/>
        </w:rPr>
        <w:t>market participants and market infrastructure.  Significant regulatory change projects are costly for firms and will often see resources diverted away from strategic initiatives that lead to improved operational processes that increase the quality of reporting.  Without the significant regulatory change project that is required to deliver option 1a, reporting firms will still benefit from a reduction in overall reporting volumes through the reduction in the duplication of reporting derivative instruments.</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2313C040" w14:textId="77777777" w:rsidR="00DA6313" w:rsidRDefault="00DA6313" w:rsidP="00DA6313">
      <w:pPr>
        <w:jc w:val="both"/>
        <w:rPr>
          <w:bCs/>
          <w:sz w:val="22"/>
          <w:szCs w:val="22"/>
          <w:lang w:eastAsia="zh-CN"/>
        </w:rPr>
      </w:pPr>
      <w:permStart w:id="1784418006" w:edGrp="everyone"/>
      <w:r w:rsidRPr="00EF6A17">
        <w:rPr>
          <w:bCs/>
          <w:sz w:val="22"/>
          <w:szCs w:val="22"/>
          <w:lang w:eastAsia="zh-CN"/>
        </w:rPr>
        <w:t>From the options provided by ESMA in this call for evidence, sub-option 1a is most favourable.  However, any change in the established reporting frameworks is likely to impact different sectors of the industry differently, with no one solution having a positive impact for all market participants.   Each option outlined will bring some benefit to the industry, and the potential to bring some negative impact too.  Negative impacts such as 1) Increasing the number of reportable fields, and 2) Extending the reporting obligation for some firms.  This will mean that the benefits of a significant change to the current reporting framework will be limited and will be outweighed by the cost of that change.  The cost of regulatory change negatively impacts the industry as a whole and disproportionately impacts smaller businesses. </w:t>
      </w:r>
    </w:p>
    <w:p w14:paraId="7C647A8D" w14:textId="63AA2D96" w:rsidR="0026254E" w:rsidRPr="00EF6A17" w:rsidRDefault="0026254E" w:rsidP="00DA6313">
      <w:pPr>
        <w:jc w:val="both"/>
        <w:rPr>
          <w:bCs/>
          <w:sz w:val="22"/>
          <w:szCs w:val="22"/>
          <w:lang w:eastAsia="zh-CN"/>
        </w:rPr>
      </w:pPr>
    </w:p>
    <w:p w14:paraId="47C3154A" w14:textId="77777777" w:rsidR="00DA6313" w:rsidRPr="00EF6A17" w:rsidRDefault="00DA6313" w:rsidP="00DA6313">
      <w:pPr>
        <w:jc w:val="both"/>
        <w:rPr>
          <w:bCs/>
          <w:sz w:val="22"/>
          <w:szCs w:val="22"/>
          <w:lang w:eastAsia="zh-CN"/>
        </w:rPr>
      </w:pPr>
      <w:r w:rsidRPr="00EF6A17">
        <w:rPr>
          <w:bCs/>
          <w:sz w:val="22"/>
          <w:szCs w:val="22"/>
          <w:lang w:eastAsia="zh-CN"/>
        </w:rPr>
        <w:t xml:space="preserve">Firms that we engage with are less concerned around the structure of the current reporting framework, but they are mostly concerned around the burden the number of fields and reference data points (ISIN, CFI code etc) that are required under each reporting regime.   We note the number of reportable fields and reference data points required under EMIR is greater than under similar G20 derivative reporting regimes.  We would support a review of the current reportable fields under EMIR, and </w:t>
      </w:r>
      <w:proofErr w:type="spellStart"/>
      <w:r w:rsidRPr="00EF6A17">
        <w:rPr>
          <w:bCs/>
          <w:sz w:val="22"/>
          <w:szCs w:val="22"/>
          <w:lang w:eastAsia="zh-CN"/>
        </w:rPr>
        <w:t>MiFIR</w:t>
      </w:r>
      <w:proofErr w:type="spellEnd"/>
      <w:r w:rsidRPr="00EF6A17">
        <w:rPr>
          <w:bCs/>
          <w:sz w:val="22"/>
          <w:szCs w:val="22"/>
          <w:lang w:eastAsia="zh-CN"/>
        </w:rPr>
        <w:t>, and where the cost of providing the data in a field outweighs its usefulness the field should be removed. </w:t>
      </w:r>
    </w:p>
    <w:p w14:paraId="2214A102" w14:textId="77777777" w:rsidR="00DA6313" w:rsidRDefault="00DA6313" w:rsidP="00DA6313">
      <w:pPr>
        <w:jc w:val="both"/>
        <w:rPr>
          <w:bCs/>
          <w:sz w:val="22"/>
          <w:szCs w:val="22"/>
          <w:lang w:eastAsia="zh-CN"/>
        </w:rPr>
      </w:pPr>
    </w:p>
    <w:p w14:paraId="0C719D80" w14:textId="77777777" w:rsidR="00DA6313" w:rsidRPr="00EF6A17" w:rsidRDefault="00DA6313" w:rsidP="00DA6313">
      <w:pPr>
        <w:jc w:val="both"/>
        <w:rPr>
          <w:bCs/>
          <w:sz w:val="22"/>
          <w:szCs w:val="22"/>
          <w:lang w:eastAsia="zh-CN"/>
        </w:rPr>
      </w:pPr>
      <w:r w:rsidRPr="00EF6A17">
        <w:rPr>
          <w:bCs/>
          <w:sz w:val="22"/>
          <w:szCs w:val="22"/>
          <w:lang w:eastAsia="zh-CN"/>
        </w:rPr>
        <w:t>We would also like to suggest the below points under each regime. </w:t>
      </w:r>
    </w:p>
    <w:p w14:paraId="7DB3EDD2" w14:textId="77777777" w:rsidR="00DA6313" w:rsidRPr="00EF6A17" w:rsidRDefault="00DA6313" w:rsidP="00DA6313">
      <w:pPr>
        <w:jc w:val="both"/>
        <w:rPr>
          <w:bCs/>
          <w:sz w:val="22"/>
          <w:szCs w:val="22"/>
          <w:lang w:eastAsia="zh-CN"/>
        </w:rPr>
      </w:pPr>
      <w:r w:rsidRPr="00EF6A17">
        <w:rPr>
          <w:bCs/>
          <w:sz w:val="22"/>
          <w:szCs w:val="22"/>
          <w:lang w:eastAsia="zh-CN"/>
        </w:rPr>
        <w:t> </w:t>
      </w:r>
    </w:p>
    <w:p w14:paraId="7AB78593" w14:textId="77777777" w:rsidR="00DA6313" w:rsidRPr="00EF6A17" w:rsidRDefault="00DA6313" w:rsidP="00DA6313">
      <w:pPr>
        <w:jc w:val="both"/>
        <w:rPr>
          <w:bCs/>
          <w:sz w:val="22"/>
          <w:szCs w:val="22"/>
          <w:lang w:eastAsia="zh-CN"/>
        </w:rPr>
      </w:pPr>
      <w:r w:rsidRPr="00EF6A17">
        <w:rPr>
          <w:bCs/>
          <w:sz w:val="22"/>
          <w:szCs w:val="22"/>
          <w:u w:val="single"/>
          <w:lang w:eastAsia="zh-CN"/>
        </w:rPr>
        <w:t>EMIR </w:t>
      </w:r>
      <w:r w:rsidRPr="00EF6A17">
        <w:rPr>
          <w:bCs/>
          <w:sz w:val="22"/>
          <w:szCs w:val="22"/>
          <w:lang w:eastAsia="zh-CN"/>
        </w:rPr>
        <w:t> </w:t>
      </w:r>
    </w:p>
    <w:p w14:paraId="6D8C5501" w14:textId="77777777" w:rsidR="00DA6313" w:rsidRPr="00EF6A17" w:rsidRDefault="00DA6313" w:rsidP="00DA6313">
      <w:pPr>
        <w:numPr>
          <w:ilvl w:val="0"/>
          <w:numId w:val="39"/>
        </w:numPr>
        <w:spacing w:after="120"/>
        <w:jc w:val="both"/>
        <w:rPr>
          <w:bCs/>
          <w:sz w:val="22"/>
          <w:szCs w:val="22"/>
          <w:lang w:eastAsia="zh-CN"/>
        </w:rPr>
      </w:pPr>
      <w:r w:rsidRPr="00EF6A17">
        <w:rPr>
          <w:bCs/>
          <w:sz w:val="22"/>
          <w:szCs w:val="22"/>
          <w:lang w:eastAsia="zh-CN"/>
        </w:rPr>
        <w:t>Remove ETDs from the EMIR reporting obligation. </w:t>
      </w:r>
    </w:p>
    <w:p w14:paraId="3BA60A43" w14:textId="77777777" w:rsidR="00DA6313" w:rsidRPr="00EF6A17" w:rsidRDefault="00DA6313" w:rsidP="00DA6313">
      <w:pPr>
        <w:numPr>
          <w:ilvl w:val="0"/>
          <w:numId w:val="40"/>
        </w:numPr>
        <w:spacing w:after="120"/>
        <w:jc w:val="both"/>
        <w:rPr>
          <w:bCs/>
          <w:sz w:val="22"/>
          <w:szCs w:val="22"/>
          <w:lang w:eastAsia="zh-CN"/>
        </w:rPr>
      </w:pPr>
      <w:r w:rsidRPr="00EF6A17">
        <w:rPr>
          <w:bCs/>
          <w:sz w:val="22"/>
          <w:szCs w:val="22"/>
          <w:lang w:eastAsia="zh-CN"/>
        </w:rPr>
        <w:lastRenderedPageBreak/>
        <w:t>Review of the number of reporting fields required to understand if the usefulness of the field outweighs the cost of the providing the data point.  Further harmonisation with similar G20 derivative reporting regimes would be beneficial for reporting firms with a global reporting obligation.  </w:t>
      </w:r>
    </w:p>
    <w:p w14:paraId="6BE492C4" w14:textId="77777777" w:rsidR="00DA6313" w:rsidRPr="00EF6A17" w:rsidRDefault="00DA6313" w:rsidP="00DA6313">
      <w:pPr>
        <w:numPr>
          <w:ilvl w:val="0"/>
          <w:numId w:val="41"/>
        </w:numPr>
        <w:spacing w:after="120"/>
        <w:jc w:val="both"/>
        <w:rPr>
          <w:bCs/>
          <w:sz w:val="22"/>
          <w:szCs w:val="22"/>
          <w:lang w:eastAsia="zh-CN"/>
        </w:rPr>
      </w:pPr>
      <w:r w:rsidRPr="00EF6A17">
        <w:rPr>
          <w:bCs/>
          <w:sz w:val="22"/>
          <w:szCs w:val="22"/>
          <w:lang w:eastAsia="zh-CN"/>
        </w:rPr>
        <w:t>Review of the reconciliation process.  The pairing and matching process is a useful tool to monitor the data quality of reports; however, the number of fields that are required to match disproportionately increases the burden of this exercise.  A further review of the matching fields is required.  We note the number of fields that are required to match will increase in April 2026, we suggest that this next phase is paused until ESMA completes its review on transaction reporting. </w:t>
      </w:r>
    </w:p>
    <w:p w14:paraId="3ADF4EA8" w14:textId="77777777" w:rsidR="00DA6313" w:rsidRPr="00EF6A17" w:rsidRDefault="00DA6313" w:rsidP="00DA6313">
      <w:pPr>
        <w:jc w:val="both"/>
        <w:rPr>
          <w:bCs/>
          <w:sz w:val="22"/>
          <w:szCs w:val="22"/>
          <w:lang w:eastAsia="zh-CN"/>
        </w:rPr>
      </w:pPr>
      <w:r w:rsidRPr="00EF6A17">
        <w:rPr>
          <w:bCs/>
          <w:sz w:val="22"/>
          <w:szCs w:val="22"/>
          <w:lang w:eastAsia="zh-CN"/>
        </w:rPr>
        <w:t> </w:t>
      </w:r>
    </w:p>
    <w:p w14:paraId="23D95AC6" w14:textId="77777777" w:rsidR="00DA6313" w:rsidRPr="00EF6A17" w:rsidRDefault="00DA6313" w:rsidP="00DA6313">
      <w:pPr>
        <w:jc w:val="both"/>
        <w:rPr>
          <w:bCs/>
          <w:sz w:val="22"/>
          <w:szCs w:val="22"/>
          <w:lang w:eastAsia="zh-CN"/>
        </w:rPr>
      </w:pPr>
      <w:proofErr w:type="spellStart"/>
      <w:r w:rsidRPr="00EF6A17">
        <w:rPr>
          <w:bCs/>
          <w:sz w:val="22"/>
          <w:szCs w:val="22"/>
          <w:u w:val="single"/>
          <w:lang w:eastAsia="zh-CN"/>
        </w:rPr>
        <w:t>MiFIR</w:t>
      </w:r>
      <w:proofErr w:type="spellEnd"/>
      <w:r w:rsidRPr="00EF6A17">
        <w:rPr>
          <w:bCs/>
          <w:sz w:val="22"/>
          <w:szCs w:val="22"/>
          <w:lang w:eastAsia="zh-CN"/>
        </w:rPr>
        <w:t> </w:t>
      </w:r>
    </w:p>
    <w:p w14:paraId="647C2C4E" w14:textId="77777777" w:rsidR="00DA6313" w:rsidRPr="00EF6A17" w:rsidRDefault="00DA6313" w:rsidP="00DA6313">
      <w:pPr>
        <w:numPr>
          <w:ilvl w:val="0"/>
          <w:numId w:val="42"/>
        </w:numPr>
        <w:spacing w:after="120"/>
        <w:jc w:val="both"/>
        <w:rPr>
          <w:bCs/>
          <w:sz w:val="22"/>
          <w:szCs w:val="22"/>
          <w:lang w:eastAsia="zh-CN"/>
        </w:rPr>
      </w:pPr>
      <w:r w:rsidRPr="00EF6A17">
        <w:rPr>
          <w:bCs/>
          <w:sz w:val="22"/>
          <w:szCs w:val="22"/>
          <w:lang w:eastAsia="zh-CN"/>
        </w:rPr>
        <w:t xml:space="preserve">Review of the number of reporting fields required to understand if the usefulness of the field outweighs the cost of the providing the data point.  Further assess if the additional fields proposed in </w:t>
      </w:r>
      <w:proofErr w:type="spellStart"/>
      <w:r w:rsidRPr="00EF6A17">
        <w:rPr>
          <w:bCs/>
          <w:sz w:val="22"/>
          <w:szCs w:val="22"/>
          <w:lang w:eastAsia="zh-CN"/>
        </w:rPr>
        <w:t>MiFIR</w:t>
      </w:r>
      <w:proofErr w:type="spellEnd"/>
      <w:r w:rsidRPr="00EF6A17">
        <w:rPr>
          <w:bCs/>
          <w:sz w:val="22"/>
          <w:szCs w:val="22"/>
          <w:lang w:eastAsia="zh-CN"/>
        </w:rPr>
        <w:t xml:space="preserve"> review are required. </w:t>
      </w:r>
    </w:p>
    <w:p w14:paraId="0ABC8607" w14:textId="77777777" w:rsidR="00DA6313" w:rsidRPr="00EF6A17" w:rsidRDefault="00DA6313" w:rsidP="00DA6313">
      <w:pPr>
        <w:numPr>
          <w:ilvl w:val="0"/>
          <w:numId w:val="43"/>
        </w:numPr>
        <w:spacing w:after="120"/>
        <w:jc w:val="both"/>
        <w:rPr>
          <w:bCs/>
          <w:sz w:val="22"/>
          <w:szCs w:val="22"/>
          <w:lang w:eastAsia="zh-CN"/>
        </w:rPr>
      </w:pPr>
      <w:r w:rsidRPr="00EF6A17">
        <w:rPr>
          <w:bCs/>
          <w:sz w:val="22"/>
          <w:szCs w:val="22"/>
          <w:lang w:eastAsia="zh-CN"/>
        </w:rPr>
        <w:t>Simplify the reporting of OTC instruments by providing additional guidance on the OTC identifiers and the eligibility of OTC instruments. Simplify the underlying reporting fields to reduce the reporting burden where OTC instruments are reported. </w:t>
      </w:r>
    </w:p>
    <w:p w14:paraId="7D6E7E46" w14:textId="77777777" w:rsidR="00DA6313" w:rsidRPr="00EF6A17" w:rsidRDefault="00DA6313" w:rsidP="00DA6313">
      <w:pPr>
        <w:numPr>
          <w:ilvl w:val="0"/>
          <w:numId w:val="44"/>
        </w:numPr>
        <w:spacing w:after="120"/>
        <w:jc w:val="both"/>
        <w:rPr>
          <w:bCs/>
          <w:sz w:val="22"/>
          <w:szCs w:val="22"/>
          <w:lang w:eastAsia="zh-CN"/>
        </w:rPr>
      </w:pPr>
      <w:r w:rsidRPr="00EF6A17">
        <w:rPr>
          <w:bCs/>
          <w:sz w:val="22"/>
          <w:szCs w:val="22"/>
          <w:lang w:eastAsia="zh-CN"/>
        </w:rPr>
        <w:t xml:space="preserve">Not increase the scope of reportable OTC to align with the clearing obligation in EMIR as suggested in the </w:t>
      </w:r>
      <w:proofErr w:type="spellStart"/>
      <w:r w:rsidRPr="00EF6A17">
        <w:rPr>
          <w:bCs/>
          <w:sz w:val="22"/>
          <w:szCs w:val="22"/>
          <w:lang w:eastAsia="zh-CN"/>
        </w:rPr>
        <w:t>MiFIR</w:t>
      </w:r>
      <w:proofErr w:type="spellEnd"/>
      <w:r w:rsidRPr="00EF6A17">
        <w:rPr>
          <w:bCs/>
          <w:sz w:val="22"/>
          <w:szCs w:val="22"/>
          <w:lang w:eastAsia="zh-CN"/>
        </w:rPr>
        <w:t xml:space="preserve"> Review consultation. </w:t>
      </w:r>
    </w:p>
    <w:p w14:paraId="12EF4B6D" w14:textId="77777777" w:rsidR="00DA6313" w:rsidRPr="00067EC6" w:rsidRDefault="00DA6313" w:rsidP="00DA6313">
      <w:pPr>
        <w:jc w:val="both"/>
        <w:rPr>
          <w:b/>
          <w:sz w:val="22"/>
          <w:szCs w:val="22"/>
          <w:lang w:eastAsia="zh-CN"/>
        </w:rPr>
      </w:pPr>
      <w:r w:rsidRPr="00067EC6">
        <w:rPr>
          <w:b/>
          <w:sz w:val="22"/>
          <w:szCs w:val="22"/>
          <w:lang w:eastAsia="zh-CN"/>
        </w:rPr>
        <w:t> </w:t>
      </w:r>
    </w:p>
    <w:p w14:paraId="012D6227" w14:textId="77777777" w:rsidR="00DA6313" w:rsidRPr="00F162BD" w:rsidRDefault="00DA6313" w:rsidP="00DA6313">
      <w:pPr>
        <w:jc w:val="both"/>
        <w:rPr>
          <w:bCs/>
          <w:sz w:val="22"/>
          <w:szCs w:val="22"/>
          <w:lang w:eastAsia="zh-CN"/>
        </w:rPr>
      </w:pPr>
      <w:r>
        <w:rPr>
          <w:bCs/>
          <w:sz w:val="22"/>
          <w:szCs w:val="22"/>
          <w:lang w:eastAsia="zh-CN"/>
        </w:rPr>
        <w:t>Furthermore, w</w:t>
      </w:r>
      <w:r w:rsidRPr="007072B1">
        <w:rPr>
          <w:bCs/>
          <w:sz w:val="22"/>
          <w:szCs w:val="22"/>
          <w:lang w:eastAsia="zh-CN"/>
        </w:rPr>
        <w:t xml:space="preserve">e believe that </w:t>
      </w:r>
      <w:r>
        <w:rPr>
          <w:bCs/>
          <w:sz w:val="22"/>
          <w:szCs w:val="22"/>
          <w:lang w:eastAsia="zh-CN"/>
        </w:rPr>
        <w:t>cancelling</w:t>
      </w:r>
      <w:r w:rsidRPr="00F162BD">
        <w:rPr>
          <w:bCs/>
          <w:sz w:val="22"/>
          <w:szCs w:val="22"/>
          <w:lang w:eastAsia="zh-CN"/>
        </w:rPr>
        <w:t xml:space="preserve"> the introduction of further matching fields in April 2026 and consult on the removal of some existing matching fields</w:t>
      </w:r>
      <w:r>
        <w:rPr>
          <w:bCs/>
          <w:sz w:val="22"/>
          <w:szCs w:val="22"/>
          <w:lang w:eastAsia="zh-CN"/>
        </w:rPr>
        <w:t xml:space="preserve"> could be potential intermediate solutions</w:t>
      </w:r>
      <w:r w:rsidRPr="00F162BD">
        <w:rPr>
          <w:bCs/>
          <w:sz w:val="22"/>
          <w:szCs w:val="22"/>
          <w:lang w:eastAsia="zh-CN"/>
        </w:rPr>
        <w:t>. This would immediately reduce the burden on post submission activities and the cost associated to those activities. This approach will have little cost to data submitters and minor cost to those trade repositories.</w:t>
      </w:r>
    </w:p>
    <w:p w14:paraId="451B2592" w14:textId="77777777" w:rsidR="00DA6313" w:rsidRPr="00F162BD" w:rsidRDefault="00DA6313" w:rsidP="00DA6313">
      <w:pPr>
        <w:jc w:val="both"/>
        <w:rPr>
          <w:bCs/>
          <w:sz w:val="22"/>
          <w:szCs w:val="22"/>
          <w:lang w:eastAsia="zh-CN"/>
        </w:rPr>
      </w:pPr>
      <w:r w:rsidRPr="00F162BD">
        <w:rPr>
          <w:bCs/>
          <w:sz w:val="22"/>
          <w:szCs w:val="22"/>
          <w:lang w:eastAsia="zh-CN"/>
        </w:rPr>
        <w:t xml:space="preserve">An example is the lookup for an ISIN is very complex commonly result in breaks even though the core </w:t>
      </w:r>
      <w:proofErr w:type="gramStart"/>
      <w:r w:rsidRPr="00F162BD">
        <w:rPr>
          <w:bCs/>
          <w:sz w:val="22"/>
          <w:szCs w:val="22"/>
          <w:lang w:eastAsia="zh-CN"/>
        </w:rPr>
        <w:t>economics’</w:t>
      </w:r>
      <w:proofErr w:type="gramEnd"/>
      <w:r w:rsidRPr="00F162BD">
        <w:rPr>
          <w:bCs/>
          <w:sz w:val="22"/>
          <w:szCs w:val="22"/>
          <w:lang w:eastAsia="zh-CN"/>
        </w:rPr>
        <w:t xml:space="preserve"> of the trade are identical</w:t>
      </w:r>
      <w:r>
        <w:rPr>
          <w:bCs/>
          <w:sz w:val="22"/>
          <w:szCs w:val="22"/>
          <w:lang w:eastAsia="zh-CN"/>
        </w:rPr>
        <w:t>.</w:t>
      </w:r>
    </w:p>
    <w:p w14:paraId="3D7D1CBF" w14:textId="77777777" w:rsidR="00DA6313" w:rsidRPr="00F162BD" w:rsidRDefault="00DA6313" w:rsidP="00DA6313">
      <w:pPr>
        <w:jc w:val="both"/>
        <w:rPr>
          <w:bCs/>
          <w:sz w:val="22"/>
          <w:szCs w:val="22"/>
          <w:lang w:eastAsia="zh-CN"/>
        </w:rPr>
      </w:pPr>
      <w:r w:rsidRPr="00F162BD">
        <w:rPr>
          <w:bCs/>
          <w:sz w:val="22"/>
          <w:szCs w:val="22"/>
          <w:lang w:eastAsia="zh-CN"/>
        </w:rPr>
        <w:t xml:space="preserve">Alternatively, or in addition to the above, validation rules could be simplified, removing the need to report certain attributes or simplifying the definition of others which typically result in breaks. </w:t>
      </w:r>
    </w:p>
    <w:p w14:paraId="03C48E01" w14:textId="77777777" w:rsidR="00DA6313" w:rsidRPr="00F162BD" w:rsidRDefault="00DA6313" w:rsidP="00DA6313">
      <w:pPr>
        <w:jc w:val="both"/>
        <w:rPr>
          <w:bCs/>
          <w:sz w:val="22"/>
          <w:szCs w:val="22"/>
          <w:lang w:eastAsia="zh-CN"/>
        </w:rPr>
      </w:pPr>
      <w:r w:rsidRPr="00F162BD">
        <w:rPr>
          <w:bCs/>
          <w:sz w:val="22"/>
          <w:szCs w:val="22"/>
          <w:lang w:eastAsia="zh-CN"/>
        </w:rPr>
        <w:t>An example of this is the inter-dependencies on attributes due to validation rules on Delivery Type, ISIN, UPI and venue of execution.</w:t>
      </w:r>
    </w:p>
    <w:p w14:paraId="26885BD6" w14:textId="77777777" w:rsidR="00DA6313" w:rsidRPr="00F162BD" w:rsidRDefault="00DA6313" w:rsidP="00DA6313">
      <w:pPr>
        <w:jc w:val="both"/>
        <w:rPr>
          <w:bCs/>
          <w:sz w:val="22"/>
          <w:szCs w:val="22"/>
          <w:lang w:eastAsia="zh-CN"/>
        </w:rPr>
      </w:pPr>
      <w:r w:rsidRPr="00F162BD">
        <w:rPr>
          <w:bCs/>
          <w:sz w:val="22"/>
          <w:szCs w:val="22"/>
          <w:lang w:eastAsia="zh-CN"/>
        </w:rPr>
        <w:t xml:space="preserve">One party may choose to report a trade with a delivery type of Cash and the other Physical. This is common in the Interest rates asset class. This one difference will lead to a different ISIN being created or looked up, and if </w:t>
      </w:r>
      <w:r w:rsidRPr="083B7A57">
        <w:rPr>
          <w:sz w:val="22"/>
          <w:szCs w:val="22"/>
          <w:lang w:eastAsia="zh-CN"/>
        </w:rPr>
        <w:t>traded</w:t>
      </w:r>
      <w:r w:rsidRPr="00F162BD">
        <w:rPr>
          <w:bCs/>
          <w:sz w:val="22"/>
          <w:szCs w:val="22"/>
          <w:lang w:eastAsia="zh-CN"/>
        </w:rPr>
        <w:t xml:space="preserve"> off venue and one ISIN is </w:t>
      </w:r>
      <w:proofErr w:type="spellStart"/>
      <w:r w:rsidRPr="00F162BD">
        <w:rPr>
          <w:bCs/>
          <w:sz w:val="22"/>
          <w:szCs w:val="22"/>
          <w:lang w:eastAsia="zh-CN"/>
        </w:rPr>
        <w:t>ToTV</w:t>
      </w:r>
      <w:proofErr w:type="spellEnd"/>
      <w:r w:rsidRPr="00F162BD">
        <w:rPr>
          <w:bCs/>
          <w:sz w:val="22"/>
          <w:szCs w:val="22"/>
          <w:lang w:eastAsia="zh-CN"/>
        </w:rPr>
        <w:t xml:space="preserve"> and the other not resulting in a value of XOFF vs XXXX for Venue and finally </w:t>
      </w:r>
      <w:proofErr w:type="gramStart"/>
      <w:r w:rsidRPr="00F162BD">
        <w:rPr>
          <w:bCs/>
          <w:sz w:val="22"/>
          <w:szCs w:val="22"/>
          <w:lang w:eastAsia="zh-CN"/>
        </w:rPr>
        <w:t>one party</w:t>
      </w:r>
      <w:proofErr w:type="gramEnd"/>
      <w:r w:rsidRPr="00F162BD">
        <w:rPr>
          <w:bCs/>
          <w:sz w:val="22"/>
          <w:szCs w:val="22"/>
          <w:lang w:eastAsia="zh-CN"/>
        </w:rPr>
        <w:t xml:space="preserve"> reporting ISIN and the other reporting UPI, with all fields breaking.  </w:t>
      </w:r>
    </w:p>
    <w:p w14:paraId="5837DF4E" w14:textId="77777777" w:rsidR="00DA6313" w:rsidRDefault="00DA6313" w:rsidP="00DA6313">
      <w:pPr>
        <w:jc w:val="both"/>
        <w:rPr>
          <w:bCs/>
          <w:sz w:val="22"/>
          <w:szCs w:val="22"/>
          <w:lang w:eastAsia="zh-CN"/>
        </w:rPr>
      </w:pPr>
      <w:r w:rsidRPr="00F162BD">
        <w:rPr>
          <w:bCs/>
          <w:sz w:val="22"/>
          <w:szCs w:val="22"/>
          <w:lang w:eastAsia="zh-CN"/>
        </w:rPr>
        <w:t>Submissions could be made simpler by removing complexity, in the above scenario, remove the need to report delivery type as its part of the ISIN and UPI definition, allow for ISIN to be reported if a match is identified, same true or UPI and for Venue report a single code to denote OTC. If this was applied to the scenario UPI and ISIN would break and the others match.</w:t>
      </w:r>
      <w:r>
        <w:rPr>
          <w:bCs/>
          <w:sz w:val="22"/>
          <w:szCs w:val="22"/>
          <w:lang w:eastAsia="zh-CN"/>
        </w:rPr>
        <w:t xml:space="preserve"> </w:t>
      </w:r>
    </w:p>
    <w:p w14:paraId="727EA6DF" w14:textId="77777777" w:rsidR="00DA6313" w:rsidRPr="007072B1" w:rsidRDefault="00DA6313" w:rsidP="00DA6313">
      <w:pPr>
        <w:jc w:val="both"/>
        <w:rPr>
          <w:bCs/>
          <w:sz w:val="22"/>
          <w:szCs w:val="22"/>
          <w:lang w:eastAsia="zh-CN"/>
        </w:rPr>
      </w:pPr>
      <w:r>
        <w:rPr>
          <w:bCs/>
          <w:sz w:val="22"/>
          <w:szCs w:val="22"/>
          <w:lang w:eastAsia="zh-CN"/>
        </w:rPr>
        <w:t xml:space="preserve">Finally, removing OTC from the </w:t>
      </w:r>
      <w:proofErr w:type="spellStart"/>
      <w:r>
        <w:rPr>
          <w:bCs/>
          <w:sz w:val="22"/>
          <w:szCs w:val="22"/>
          <w:lang w:eastAsia="zh-CN"/>
        </w:rPr>
        <w:t>MiFIR</w:t>
      </w:r>
      <w:proofErr w:type="spellEnd"/>
      <w:r>
        <w:rPr>
          <w:bCs/>
          <w:sz w:val="22"/>
          <w:szCs w:val="22"/>
          <w:lang w:eastAsia="zh-CN"/>
        </w:rPr>
        <w:t xml:space="preserve"> reporting scope.</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lastRenderedPageBreak/>
        <w:t>&lt;ESMA_QUESTION_CASR_17&gt;</w:t>
      </w:r>
    </w:p>
    <w:p w14:paraId="2732893D" w14:textId="77777777" w:rsidR="00D830D8" w:rsidRPr="007072B1" w:rsidRDefault="00D830D8" w:rsidP="00D830D8">
      <w:pPr>
        <w:jc w:val="both"/>
        <w:rPr>
          <w:bCs/>
          <w:sz w:val="22"/>
          <w:szCs w:val="22"/>
          <w:lang w:eastAsia="zh-CN"/>
        </w:rPr>
      </w:pPr>
      <w:permStart w:id="1438851636" w:edGrp="everyone"/>
      <w:r w:rsidRPr="007072B1">
        <w:rPr>
          <w:bCs/>
          <w:sz w:val="22"/>
          <w:szCs w:val="22"/>
          <w:lang w:eastAsia="zh-CN"/>
        </w:rPr>
        <w:t>In addition to our response to question 16, we believe that the use of Approved Reporting Mechanisms (ARMs) and Trade Repositories (TRs) supports consistent and accurate reporting by validating and enriching data before it is submitted or made available to the relevant authorities. This pre-submission quality control is essential for maintaining high data standards across the reporting landscape</w:t>
      </w:r>
      <w:r>
        <w:rPr>
          <w:bCs/>
          <w:sz w:val="22"/>
          <w:szCs w:val="22"/>
          <w:lang w:eastAsia="zh-CN"/>
        </w:rPr>
        <w:t>.</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25C849BC" w14:textId="77777777" w:rsidR="00E843DC" w:rsidRPr="007072B1" w:rsidRDefault="00E843DC" w:rsidP="00E843DC">
      <w:pPr>
        <w:jc w:val="both"/>
        <w:rPr>
          <w:bCs/>
          <w:sz w:val="22"/>
          <w:szCs w:val="22"/>
          <w:lang w:eastAsia="zh-CN"/>
        </w:rPr>
      </w:pPr>
      <w:permStart w:id="1962436404" w:edGrp="everyone"/>
      <w:r w:rsidRPr="007072B1">
        <w:rPr>
          <w:bCs/>
          <w:sz w:val="22"/>
          <w:szCs w:val="22"/>
          <w:lang w:eastAsia="zh-CN"/>
        </w:rPr>
        <w:t xml:space="preserve">We find that transferring the reporting of on-venue transactions under </w:t>
      </w:r>
      <w:proofErr w:type="spellStart"/>
      <w:r w:rsidRPr="007072B1">
        <w:rPr>
          <w:bCs/>
          <w:sz w:val="22"/>
          <w:szCs w:val="22"/>
          <w:lang w:eastAsia="zh-CN"/>
        </w:rPr>
        <w:t>MiFIR</w:t>
      </w:r>
      <w:proofErr w:type="spellEnd"/>
      <w:r w:rsidRPr="007072B1">
        <w:rPr>
          <w:bCs/>
          <w:sz w:val="22"/>
          <w:szCs w:val="22"/>
          <w:lang w:eastAsia="zh-CN"/>
        </w:rPr>
        <w:t xml:space="preserve"> and EMIR to trading venues will be challenging</w:t>
      </w:r>
      <w:r>
        <w:rPr>
          <w:b/>
          <w:sz w:val="22"/>
          <w:szCs w:val="22"/>
          <w:lang w:eastAsia="zh-CN"/>
        </w:rPr>
        <w:t xml:space="preserve"> </w:t>
      </w:r>
      <w:r w:rsidRPr="007072B1">
        <w:rPr>
          <w:bCs/>
          <w:sz w:val="22"/>
          <w:szCs w:val="22"/>
          <w:lang w:eastAsia="zh-CN"/>
        </w:rPr>
        <w:t>since</w:t>
      </w:r>
      <w:r>
        <w:rPr>
          <w:b/>
          <w:sz w:val="22"/>
          <w:szCs w:val="22"/>
          <w:lang w:eastAsia="zh-CN"/>
        </w:rPr>
        <w:t xml:space="preserve"> </w:t>
      </w:r>
      <w:r w:rsidRPr="007072B1">
        <w:rPr>
          <w:bCs/>
          <w:sz w:val="22"/>
          <w:szCs w:val="22"/>
          <w:lang w:eastAsia="zh-CN"/>
        </w:rPr>
        <w:t>trading venues do not hold all data required under the current EMIR and MIFID/R regimes. Any change in reporting would require industry to agree and align the required fields to be reported and shared in advance of reporting to the regulator</w:t>
      </w:r>
      <w:r>
        <w:rPr>
          <w:bCs/>
          <w:sz w:val="22"/>
          <w:szCs w:val="22"/>
          <w:lang w:eastAsia="zh-CN"/>
        </w:rPr>
        <w:t>.</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684CFF92" w14:textId="77777777" w:rsidR="007F4A99" w:rsidRPr="007072B1" w:rsidRDefault="007F4A99" w:rsidP="007F4A99">
      <w:pPr>
        <w:jc w:val="both"/>
        <w:rPr>
          <w:sz w:val="22"/>
          <w:szCs w:val="22"/>
          <w:lang w:eastAsia="zh-CN"/>
        </w:rPr>
      </w:pPr>
      <w:permStart w:id="105197077" w:edGrp="everyone"/>
      <w:r w:rsidRPr="007072B1">
        <w:rPr>
          <w:sz w:val="22"/>
          <w:szCs w:val="22"/>
          <w:lang w:eastAsia="zh-CN"/>
        </w:rPr>
        <w:t xml:space="preserve">ARM’s and </w:t>
      </w:r>
      <w:r>
        <w:rPr>
          <w:bCs/>
          <w:sz w:val="22"/>
          <w:szCs w:val="22"/>
          <w:lang w:eastAsia="zh-CN"/>
        </w:rPr>
        <w:t>TRs</w:t>
      </w:r>
      <w:r w:rsidRPr="007072B1">
        <w:rPr>
          <w:sz w:val="22"/>
          <w:szCs w:val="22"/>
          <w:lang w:eastAsia="zh-CN"/>
        </w:rPr>
        <w:t xml:space="preserve"> provide </w:t>
      </w:r>
      <w:proofErr w:type="gramStart"/>
      <w:r w:rsidRPr="007072B1">
        <w:rPr>
          <w:sz w:val="22"/>
          <w:szCs w:val="22"/>
          <w:lang w:eastAsia="zh-CN"/>
        </w:rPr>
        <w:t>a number of</w:t>
      </w:r>
      <w:proofErr w:type="gramEnd"/>
      <w:r w:rsidRPr="007072B1">
        <w:rPr>
          <w:sz w:val="22"/>
          <w:szCs w:val="22"/>
          <w:lang w:eastAsia="zh-CN"/>
        </w:rPr>
        <w:t xml:space="preserve"> benefits to ESMA, the NCA’s and reporting firms that </w:t>
      </w:r>
      <w:r w:rsidRPr="2D61F05B">
        <w:rPr>
          <w:sz w:val="22"/>
          <w:szCs w:val="22"/>
          <w:lang w:eastAsia="zh-CN"/>
        </w:rPr>
        <w:t>may</w:t>
      </w:r>
      <w:r w:rsidRPr="007072B1">
        <w:rPr>
          <w:sz w:val="22"/>
          <w:szCs w:val="22"/>
          <w:lang w:eastAsia="zh-CN"/>
        </w:rPr>
        <w:t xml:space="preserve"> be lost </w:t>
      </w:r>
      <w:r w:rsidRPr="0D87F3D7">
        <w:rPr>
          <w:sz w:val="22"/>
          <w:szCs w:val="22"/>
          <w:lang w:eastAsia="zh-CN"/>
        </w:rPr>
        <w:t>in their current form if</w:t>
      </w:r>
      <w:r w:rsidRPr="007072B1">
        <w:rPr>
          <w:sz w:val="22"/>
          <w:szCs w:val="22"/>
          <w:lang w:eastAsia="zh-CN"/>
        </w:rPr>
        <w:t xml:space="preserve"> firms report directly to ESMA.  The benefits include:</w:t>
      </w:r>
    </w:p>
    <w:p w14:paraId="6CF58211" w14:textId="77777777" w:rsidR="007F4A99" w:rsidRPr="007072B1" w:rsidRDefault="007F4A99" w:rsidP="007F4A99">
      <w:pPr>
        <w:numPr>
          <w:ilvl w:val="1"/>
          <w:numId w:val="38"/>
        </w:numPr>
        <w:spacing w:after="160" w:line="259" w:lineRule="auto"/>
        <w:jc w:val="both"/>
        <w:rPr>
          <w:sz w:val="22"/>
          <w:szCs w:val="22"/>
        </w:rPr>
      </w:pPr>
      <w:r w:rsidRPr="007072B1">
        <w:rPr>
          <w:sz w:val="22"/>
          <w:szCs w:val="22"/>
        </w:rPr>
        <w:t>Support and guidance for reporting firms (onboarding, connectivity and regulatory updates), ARM’s and TR’s have dedicated teams to assist firms to meet their reporting obligations.</w:t>
      </w:r>
    </w:p>
    <w:p w14:paraId="218BB3F3" w14:textId="77777777" w:rsidR="007F4A99" w:rsidRPr="007072B1" w:rsidRDefault="007F4A99" w:rsidP="007F4A99">
      <w:pPr>
        <w:numPr>
          <w:ilvl w:val="1"/>
          <w:numId w:val="38"/>
        </w:numPr>
        <w:spacing w:after="160" w:line="259" w:lineRule="auto"/>
        <w:jc w:val="both"/>
        <w:rPr>
          <w:sz w:val="22"/>
          <w:szCs w:val="22"/>
        </w:rPr>
      </w:pPr>
      <w:r w:rsidRPr="007072B1">
        <w:rPr>
          <w:sz w:val="22"/>
          <w:szCs w:val="22"/>
        </w:rPr>
        <w:t>Data quality and security:  ARMs and TR’s have data quality checks and controls that ensure the consistency and quality of data submitted to ESMA.</w:t>
      </w:r>
    </w:p>
    <w:p w14:paraId="078328CE" w14:textId="77777777" w:rsidR="007F4A99" w:rsidRPr="007072B1" w:rsidRDefault="007F4A99" w:rsidP="007F4A99">
      <w:pPr>
        <w:numPr>
          <w:ilvl w:val="1"/>
          <w:numId w:val="38"/>
        </w:numPr>
        <w:spacing w:after="160" w:line="259" w:lineRule="auto"/>
        <w:jc w:val="both"/>
        <w:rPr>
          <w:sz w:val="22"/>
          <w:szCs w:val="22"/>
        </w:rPr>
      </w:pPr>
      <w:r w:rsidRPr="007072B1">
        <w:rPr>
          <w:sz w:val="22"/>
          <w:szCs w:val="22"/>
        </w:rPr>
        <w:t xml:space="preserve">Robust exception management:  An ARM enables pre-reporting checks and validations, ensuring firms have the capability to resolve errors before the data is submitted to </w:t>
      </w:r>
      <w:proofErr w:type="gramStart"/>
      <w:r w:rsidRPr="007072B1">
        <w:rPr>
          <w:sz w:val="22"/>
          <w:szCs w:val="22"/>
        </w:rPr>
        <w:t>a</w:t>
      </w:r>
      <w:proofErr w:type="gramEnd"/>
      <w:r w:rsidRPr="007072B1">
        <w:rPr>
          <w:sz w:val="22"/>
          <w:szCs w:val="22"/>
        </w:rPr>
        <w:t xml:space="preserve"> NCA. This reduces the numbers of errors that an NCA will be exposed to by reporting firms.</w:t>
      </w:r>
    </w:p>
    <w:p w14:paraId="4DC10ACD" w14:textId="77777777" w:rsidR="007F4A99" w:rsidRPr="007072B1" w:rsidRDefault="007F4A99" w:rsidP="007F4A99">
      <w:pPr>
        <w:numPr>
          <w:ilvl w:val="1"/>
          <w:numId w:val="38"/>
        </w:numPr>
        <w:spacing w:after="160" w:line="259" w:lineRule="auto"/>
        <w:jc w:val="both"/>
        <w:rPr>
          <w:sz w:val="22"/>
          <w:szCs w:val="22"/>
        </w:rPr>
      </w:pPr>
      <w:r w:rsidRPr="007072B1">
        <w:rPr>
          <w:sz w:val="22"/>
          <w:szCs w:val="22"/>
        </w:rPr>
        <w:t>Data security:  ARMs include built in functionality to allow reporting firms to manage PII data in a secure manner.</w:t>
      </w:r>
    </w:p>
    <w:p w14:paraId="01C83B82" w14:textId="77777777" w:rsidR="007F4A99" w:rsidRPr="007072B1" w:rsidRDefault="007F4A99" w:rsidP="007F4A99">
      <w:pPr>
        <w:numPr>
          <w:ilvl w:val="1"/>
          <w:numId w:val="38"/>
        </w:numPr>
        <w:spacing w:after="160" w:line="259" w:lineRule="auto"/>
        <w:jc w:val="both"/>
        <w:rPr>
          <w:sz w:val="22"/>
          <w:szCs w:val="22"/>
        </w:rPr>
      </w:pPr>
      <w:r w:rsidRPr="007072B1">
        <w:rPr>
          <w:sz w:val="22"/>
          <w:szCs w:val="22"/>
        </w:rPr>
        <w:t xml:space="preserve">Value-add services:  ARM’s offer </w:t>
      </w:r>
      <w:proofErr w:type="gramStart"/>
      <w:r w:rsidRPr="007072B1">
        <w:rPr>
          <w:sz w:val="22"/>
          <w:szCs w:val="22"/>
        </w:rPr>
        <w:t>a number of</w:t>
      </w:r>
      <w:proofErr w:type="gramEnd"/>
      <w:r w:rsidRPr="007072B1">
        <w:rPr>
          <w:sz w:val="22"/>
          <w:szCs w:val="22"/>
        </w:rPr>
        <w:t xml:space="preserve"> ancillary services to reduce NCA rejections, assist firms with their data quality monitoring and allow firms to reuse the data for market surveillance. </w:t>
      </w:r>
    </w:p>
    <w:p w14:paraId="799FA651" w14:textId="77777777" w:rsidR="007F4A99" w:rsidRPr="007072B1" w:rsidRDefault="007F4A99" w:rsidP="007F4A99">
      <w:pPr>
        <w:jc w:val="both"/>
        <w:rPr>
          <w:sz w:val="22"/>
          <w:szCs w:val="22"/>
          <w:lang w:eastAsia="zh-CN"/>
        </w:rPr>
      </w:pPr>
      <w:r w:rsidRPr="007072B1">
        <w:rPr>
          <w:sz w:val="22"/>
          <w:szCs w:val="22"/>
          <w:lang w:eastAsia="zh-CN"/>
        </w:rPr>
        <w:t xml:space="preserve">With the decommissioning of FITRS, and the reuse of transaction reporting data for transparency and DVCAP calculations the need for high quality data is high.   As mentioned above an ARM </w:t>
      </w:r>
      <w:proofErr w:type="gramStart"/>
      <w:r w:rsidRPr="007072B1">
        <w:rPr>
          <w:sz w:val="22"/>
          <w:szCs w:val="22"/>
          <w:lang w:eastAsia="zh-CN"/>
        </w:rPr>
        <w:t xml:space="preserve">has  </w:t>
      </w:r>
      <w:r w:rsidRPr="007072B1">
        <w:rPr>
          <w:sz w:val="22"/>
          <w:szCs w:val="22"/>
          <w:lang w:eastAsia="zh-CN"/>
        </w:rPr>
        <w:lastRenderedPageBreak/>
        <w:t>mechanisms</w:t>
      </w:r>
      <w:proofErr w:type="gramEnd"/>
      <w:r w:rsidRPr="007072B1">
        <w:rPr>
          <w:sz w:val="22"/>
          <w:szCs w:val="22"/>
          <w:lang w:eastAsia="zh-CN"/>
        </w:rPr>
        <w:t xml:space="preserve"> to ensure the quality of data of transactions reports remans high and consistent amongst firms reporting through them as its core function</w:t>
      </w:r>
      <w:r>
        <w:rPr>
          <w:sz w:val="22"/>
          <w:szCs w:val="22"/>
          <w:lang w:eastAsia="zh-CN"/>
        </w:rPr>
        <w:t xml:space="preserve">, consequently we would support a model where all reporting </w:t>
      </w:r>
      <w:proofErr w:type="gramStart"/>
      <w:r>
        <w:rPr>
          <w:sz w:val="22"/>
          <w:szCs w:val="22"/>
          <w:lang w:eastAsia="zh-CN"/>
        </w:rPr>
        <w:t>participant</w:t>
      </w:r>
      <w:proofErr w:type="gramEnd"/>
      <w:r>
        <w:rPr>
          <w:sz w:val="22"/>
          <w:szCs w:val="22"/>
          <w:lang w:eastAsia="zh-CN"/>
        </w:rPr>
        <w:t xml:space="preserve"> are required to report through an ARM</w:t>
      </w:r>
      <w:r w:rsidRPr="007072B1">
        <w:rPr>
          <w:sz w:val="22"/>
          <w:szCs w:val="22"/>
          <w:lang w:eastAsia="zh-CN"/>
        </w:rPr>
        <w:t xml:space="preserve">.  ARMs </w:t>
      </w:r>
      <w:r w:rsidRPr="4A318F36">
        <w:rPr>
          <w:sz w:val="22"/>
          <w:szCs w:val="22"/>
          <w:lang w:eastAsia="zh-CN"/>
        </w:rPr>
        <w:t>may also</w:t>
      </w:r>
      <w:r w:rsidRPr="007072B1">
        <w:rPr>
          <w:sz w:val="22"/>
          <w:szCs w:val="22"/>
          <w:lang w:eastAsia="zh-CN"/>
        </w:rPr>
        <w:t xml:space="preserve"> </w:t>
      </w:r>
      <w:r w:rsidRPr="6C52CD29">
        <w:rPr>
          <w:sz w:val="22"/>
          <w:szCs w:val="22"/>
          <w:lang w:eastAsia="zh-CN"/>
        </w:rPr>
        <w:t>offer</w:t>
      </w:r>
      <w:r w:rsidRPr="007072B1">
        <w:rPr>
          <w:sz w:val="22"/>
          <w:szCs w:val="22"/>
          <w:lang w:eastAsia="zh-CN"/>
        </w:rPr>
        <w:t xml:space="preserve"> additional ancillary services to reduce rejections and increase data quality.</w:t>
      </w:r>
    </w:p>
    <w:p w14:paraId="7CBC6530" w14:textId="77777777" w:rsidR="007F4A99" w:rsidRPr="00302965" w:rsidRDefault="007F4A99" w:rsidP="007F4A99">
      <w:pPr>
        <w:jc w:val="both"/>
        <w:rPr>
          <w:rFonts w:ascii="Aptos" w:eastAsia="Aptos" w:hAnsi="Aptos" w:cs="Aptos"/>
          <w:color w:val="44546A" w:themeColor="text2"/>
        </w:rPr>
      </w:pPr>
    </w:p>
    <w:p w14:paraId="6282EBA1" w14:textId="77777777" w:rsidR="007F4A99" w:rsidRPr="007072B1" w:rsidRDefault="007F4A99" w:rsidP="007F4A99">
      <w:pPr>
        <w:numPr>
          <w:ilvl w:val="1"/>
          <w:numId w:val="38"/>
        </w:numPr>
        <w:spacing w:after="160" w:line="259" w:lineRule="auto"/>
        <w:jc w:val="both"/>
        <w:rPr>
          <w:sz w:val="22"/>
          <w:szCs w:val="22"/>
        </w:rPr>
      </w:pPr>
      <w:r w:rsidRPr="007072B1">
        <w:rPr>
          <w:sz w:val="22"/>
          <w:szCs w:val="22"/>
        </w:rPr>
        <w:t>In a competitive environment, ARMs and TRs drive innovation and offer cost-effective solutions, benefiting reporting firms and enhancing data quality.</w:t>
      </w:r>
    </w:p>
    <w:p w14:paraId="53966FCE" w14:textId="77777777" w:rsidR="007F4A99" w:rsidRPr="007072B1" w:rsidRDefault="007F4A99" w:rsidP="007F4A99">
      <w:pPr>
        <w:numPr>
          <w:ilvl w:val="1"/>
          <w:numId w:val="38"/>
        </w:numPr>
        <w:spacing w:after="160" w:line="259" w:lineRule="auto"/>
        <w:jc w:val="both"/>
        <w:rPr>
          <w:sz w:val="22"/>
          <w:szCs w:val="22"/>
        </w:rPr>
      </w:pPr>
      <w:r w:rsidRPr="007072B1">
        <w:rPr>
          <w:sz w:val="22"/>
          <w:szCs w:val="22"/>
        </w:rPr>
        <w:t>Should ESMA take on the role of ARM/TR, it would need to replicate the fully supported service model currently provided by these entities.</w:t>
      </w:r>
    </w:p>
    <w:p w14:paraId="4D4C1664" w14:textId="77777777" w:rsidR="007F4A99" w:rsidRPr="007072B1" w:rsidRDefault="007F4A99" w:rsidP="007F4A99">
      <w:pPr>
        <w:numPr>
          <w:ilvl w:val="1"/>
          <w:numId w:val="38"/>
        </w:numPr>
        <w:spacing w:after="160" w:line="259" w:lineRule="auto"/>
        <w:jc w:val="both"/>
        <w:rPr>
          <w:sz w:val="22"/>
          <w:szCs w:val="22"/>
        </w:rPr>
      </w:pPr>
      <w:r w:rsidRPr="007072B1">
        <w:rPr>
          <w:sz w:val="22"/>
          <w:szCs w:val="22"/>
        </w:rPr>
        <w:t>ARMs and TRs not only deliver comprehensive support but also contribute financially to supervisory authorities, a responsibility that would need to be addressed under any new model.</w:t>
      </w:r>
    </w:p>
    <w:p w14:paraId="7B03CB06" w14:textId="77777777" w:rsidR="007F4A99" w:rsidRPr="007072B1" w:rsidRDefault="007F4A99" w:rsidP="007F4A99">
      <w:pPr>
        <w:spacing w:after="160" w:line="259" w:lineRule="auto"/>
        <w:jc w:val="both"/>
        <w:rPr>
          <w:bCs/>
          <w:sz w:val="22"/>
          <w:szCs w:val="22"/>
          <w:lang w:eastAsia="zh-CN"/>
        </w:rPr>
      </w:pPr>
      <w:r w:rsidRPr="007072B1">
        <w:rPr>
          <w:bCs/>
          <w:sz w:val="22"/>
          <w:szCs w:val="22"/>
          <w:lang w:eastAsia="zh-CN"/>
        </w:rPr>
        <w:t xml:space="preserve">From a CCP perspective, LCH makes submissions direct to regulators and </w:t>
      </w:r>
      <w:r>
        <w:rPr>
          <w:bCs/>
          <w:sz w:val="22"/>
          <w:szCs w:val="22"/>
          <w:lang w:eastAsia="zh-CN"/>
        </w:rPr>
        <w:t>TRs</w:t>
      </w:r>
      <w:r w:rsidRPr="007072B1">
        <w:rPr>
          <w:bCs/>
          <w:sz w:val="22"/>
          <w:szCs w:val="22"/>
          <w:lang w:eastAsia="zh-CN"/>
        </w:rPr>
        <w:t xml:space="preserve">. Where submissions are limited to snapshots of data i.e. a view or open risk at end of day, the submission and response process is efficient and successful. Submissions of events is very different. The </w:t>
      </w:r>
      <w:r>
        <w:rPr>
          <w:bCs/>
          <w:sz w:val="22"/>
          <w:szCs w:val="22"/>
          <w:lang w:eastAsia="zh-CN"/>
        </w:rPr>
        <w:t>TRs</w:t>
      </w:r>
      <w:r w:rsidRPr="007072B1">
        <w:rPr>
          <w:bCs/>
          <w:sz w:val="22"/>
          <w:szCs w:val="22"/>
          <w:lang w:eastAsia="zh-CN"/>
        </w:rPr>
        <w:t xml:space="preserve"> offer a much better experience. With multiple reports and interfaces allowing for post submission checks such as comparing our open trades with the trade state report. </w:t>
      </w:r>
    </w:p>
    <w:p w14:paraId="5B909712" w14:textId="77777777" w:rsidR="007F4A99" w:rsidRPr="007072B1" w:rsidRDefault="007F4A99" w:rsidP="007F4A99">
      <w:pPr>
        <w:spacing w:after="160" w:line="259" w:lineRule="auto"/>
        <w:jc w:val="both"/>
        <w:rPr>
          <w:bCs/>
          <w:sz w:val="22"/>
          <w:szCs w:val="22"/>
          <w:lang w:eastAsia="zh-CN"/>
        </w:rPr>
      </w:pPr>
      <w:r w:rsidRPr="007072B1">
        <w:rPr>
          <w:bCs/>
          <w:sz w:val="22"/>
          <w:szCs w:val="22"/>
          <w:lang w:eastAsia="zh-CN"/>
        </w:rPr>
        <w:t>TRs also often provide a similar reporting experience across regimes allowing for synergies in operational processes to review and fix exceptions.</w:t>
      </w:r>
    </w:p>
    <w:p w14:paraId="55006AF9" w14:textId="77777777" w:rsidR="007F4A99" w:rsidRDefault="007F4A99" w:rsidP="007F4A99">
      <w:pPr>
        <w:spacing w:after="160" w:line="259" w:lineRule="auto"/>
        <w:jc w:val="both"/>
      </w:pPr>
      <w:r w:rsidRPr="007072B1">
        <w:rPr>
          <w:bCs/>
          <w:sz w:val="22"/>
          <w:szCs w:val="22"/>
          <w:lang w:eastAsia="zh-CN"/>
        </w:rPr>
        <w:t xml:space="preserve">TRs also often offer a global support team and a high level of availability and resilience. With other global regulators such as JFSA adopting TRs its LCHs opinion that removing TRs for </w:t>
      </w:r>
      <w:proofErr w:type="spellStart"/>
      <w:r w:rsidRPr="007072B1">
        <w:rPr>
          <w:bCs/>
          <w:sz w:val="22"/>
          <w:szCs w:val="22"/>
          <w:lang w:eastAsia="zh-CN"/>
        </w:rPr>
        <w:t>MiFIR</w:t>
      </w:r>
      <w:proofErr w:type="spellEnd"/>
      <w:r w:rsidRPr="007072B1">
        <w:rPr>
          <w:bCs/>
          <w:sz w:val="22"/>
          <w:szCs w:val="22"/>
          <w:lang w:eastAsia="zh-CN"/>
        </w:rPr>
        <w:t>, ESMA and SFTR will only lead to further complexity which is likely to outweigh the fees charged by the TRs</w:t>
      </w:r>
      <w:r>
        <w:rPr>
          <w:bCs/>
          <w:sz w:val="22"/>
          <w:szCs w:val="22"/>
          <w:lang w:eastAsia="zh-CN"/>
        </w:rPr>
        <w:t>.</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594E2208" w14:textId="77777777" w:rsidR="0012646F" w:rsidRDefault="0012646F" w:rsidP="00926BDA">
      <w:pPr>
        <w:rPr>
          <w:bCs/>
          <w:sz w:val="22"/>
          <w:szCs w:val="22"/>
          <w:lang w:eastAsia="zh-CN"/>
        </w:rPr>
      </w:pPr>
      <w:permStart w:id="817709938" w:edGrp="everyone"/>
      <w:r w:rsidRPr="007072B1">
        <w:rPr>
          <w:bCs/>
          <w:sz w:val="22"/>
          <w:szCs w:val="22"/>
          <w:lang w:eastAsia="zh-CN"/>
        </w:rPr>
        <w:t>See question 19</w:t>
      </w:r>
      <w:r>
        <w:rPr>
          <w:bCs/>
          <w:sz w:val="22"/>
          <w:szCs w:val="22"/>
          <w:lang w:eastAsia="zh-CN"/>
        </w:rPr>
        <w:t>.</w:t>
      </w:r>
    </w:p>
    <w:permEnd w:id="817709938"/>
    <w:p w14:paraId="7B80CF14" w14:textId="2AA6BA84"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4F0EB282" w14:textId="77777777" w:rsidR="00627859" w:rsidRDefault="00627859" w:rsidP="00926BDA">
      <w:pPr>
        <w:rPr>
          <w:bCs/>
          <w:sz w:val="22"/>
          <w:szCs w:val="22"/>
          <w:lang w:eastAsia="zh-CN"/>
        </w:rPr>
      </w:pPr>
      <w:permStart w:id="993723206" w:edGrp="everyone"/>
      <w:r w:rsidRPr="007072B1">
        <w:rPr>
          <w:bCs/>
          <w:sz w:val="22"/>
          <w:szCs w:val="22"/>
          <w:lang w:eastAsia="zh-CN"/>
        </w:rPr>
        <w:t>We believe that these technologies should not be forced upon firms. If they are adopted as part of the core functions of the business they could then be utilised, but if this is forced on market participants then this would likely negatively impact the smaller firms. And for the larger firm it would shift complexity from a post execution activity to one at time of execution which without a business benefit for the core functions would be more costly than the current estate</w:t>
      </w:r>
      <w:r>
        <w:rPr>
          <w:bCs/>
          <w:sz w:val="22"/>
          <w:szCs w:val="22"/>
          <w:lang w:eastAsia="zh-CN"/>
        </w:rPr>
        <w:t>.</w:t>
      </w:r>
    </w:p>
    <w:permEnd w:id="993723206"/>
    <w:p w14:paraId="145462DA" w14:textId="32FA8009"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1D71A3EE" w14:textId="77777777" w:rsidR="00AE00B5" w:rsidRPr="007072B1" w:rsidRDefault="00AE00B5" w:rsidP="00AE00B5">
      <w:pPr>
        <w:jc w:val="both"/>
        <w:rPr>
          <w:bCs/>
          <w:sz w:val="22"/>
          <w:szCs w:val="22"/>
          <w:lang w:eastAsia="zh-CN"/>
        </w:rPr>
      </w:pPr>
      <w:permStart w:id="1652326327" w:edGrp="everyone"/>
      <w:r w:rsidRPr="007072B1">
        <w:rPr>
          <w:bCs/>
          <w:sz w:val="22"/>
          <w:szCs w:val="22"/>
          <w:lang w:eastAsia="zh-CN"/>
        </w:rPr>
        <w:t xml:space="preserve">From a CCP perspective, the cost </w:t>
      </w:r>
      <w:r w:rsidRPr="001B6EC3">
        <w:rPr>
          <w:bCs/>
          <w:sz w:val="22"/>
          <w:szCs w:val="22"/>
          <w:lang w:eastAsia="zh-CN"/>
        </w:rPr>
        <w:t>exists</w:t>
      </w:r>
      <w:r w:rsidRPr="007072B1">
        <w:rPr>
          <w:bCs/>
          <w:sz w:val="22"/>
          <w:szCs w:val="22"/>
          <w:lang w:eastAsia="zh-CN"/>
        </w:rPr>
        <w:t xml:space="preserve"> in the matching and pairing process. We report under both dual and single sided regimes and where possible the controls such as daily reconciliations are consistent across submissions. </w:t>
      </w:r>
      <w:r w:rsidRPr="001B6EC3">
        <w:rPr>
          <w:bCs/>
          <w:sz w:val="22"/>
          <w:szCs w:val="22"/>
          <w:lang w:eastAsia="zh-CN"/>
        </w:rPr>
        <w:t>Therefore,</w:t>
      </w:r>
      <w:r w:rsidRPr="007072B1">
        <w:rPr>
          <w:bCs/>
          <w:sz w:val="22"/>
          <w:szCs w:val="22"/>
          <w:lang w:eastAsia="zh-CN"/>
        </w:rPr>
        <w:t xml:space="preserve"> the matching process is purely additional </w:t>
      </w:r>
      <w:r>
        <w:rPr>
          <w:bCs/>
          <w:sz w:val="22"/>
          <w:szCs w:val="22"/>
          <w:lang w:eastAsia="zh-CN"/>
        </w:rPr>
        <w:t>cost</w:t>
      </w:r>
      <w:r w:rsidRPr="007072B1">
        <w:rPr>
          <w:bCs/>
          <w:sz w:val="22"/>
          <w:szCs w:val="22"/>
          <w:lang w:eastAsia="zh-CN"/>
        </w:rPr>
        <w:t xml:space="preserve"> for us.</w:t>
      </w:r>
    </w:p>
    <w:p w14:paraId="2BAA9670" w14:textId="77777777" w:rsidR="00AE00B5" w:rsidRPr="007072B1" w:rsidRDefault="00AE00B5" w:rsidP="00AE00B5">
      <w:pPr>
        <w:jc w:val="both"/>
        <w:rPr>
          <w:bCs/>
          <w:sz w:val="22"/>
          <w:szCs w:val="22"/>
          <w:lang w:eastAsia="zh-CN"/>
        </w:rPr>
      </w:pPr>
      <w:r w:rsidRPr="007072B1">
        <w:rPr>
          <w:bCs/>
          <w:sz w:val="22"/>
          <w:szCs w:val="22"/>
          <w:lang w:eastAsia="zh-CN"/>
        </w:rPr>
        <w:t>The matching and pairing process does have some advantages. While submissions from one regime to another are different despite the recent harmonisation, there remains a difference in interpretation or fields. The matching and pairing process highlights this to all participants.</w:t>
      </w:r>
    </w:p>
    <w:p w14:paraId="4A5A0A46" w14:textId="77777777" w:rsidR="00AE00B5" w:rsidRPr="007072B1" w:rsidRDefault="00AE00B5" w:rsidP="00AE00B5">
      <w:pPr>
        <w:jc w:val="both"/>
        <w:rPr>
          <w:bCs/>
          <w:sz w:val="22"/>
          <w:szCs w:val="22"/>
          <w:lang w:eastAsia="zh-CN"/>
        </w:rPr>
      </w:pPr>
      <w:proofErr w:type="gramStart"/>
      <w:r>
        <w:rPr>
          <w:bCs/>
          <w:sz w:val="22"/>
          <w:szCs w:val="22"/>
          <w:lang w:eastAsia="zh-CN"/>
        </w:rPr>
        <w:t>A</w:t>
      </w:r>
      <w:r w:rsidRPr="007072B1">
        <w:rPr>
          <w:bCs/>
          <w:sz w:val="22"/>
          <w:szCs w:val="22"/>
          <w:lang w:eastAsia="zh-CN"/>
        </w:rPr>
        <w:t xml:space="preserve"> number of</w:t>
      </w:r>
      <w:proofErr w:type="gramEnd"/>
      <w:r w:rsidRPr="007072B1">
        <w:rPr>
          <w:bCs/>
          <w:sz w:val="22"/>
          <w:szCs w:val="22"/>
          <w:lang w:eastAsia="zh-CN"/>
        </w:rPr>
        <w:t xml:space="preserve"> the G20 regulators now host workshops to discuss issues or changes. Receiving live feedback on proposals, as well as allowing for market participants to clarify the interpretation and in doing so creating a more uniform interpretation of what is expected.</w:t>
      </w:r>
    </w:p>
    <w:p w14:paraId="7B48F31F" w14:textId="77777777" w:rsidR="00AE00B5" w:rsidRPr="007072B1" w:rsidRDefault="00AE00B5" w:rsidP="00AE00B5">
      <w:pPr>
        <w:jc w:val="both"/>
        <w:rPr>
          <w:bCs/>
          <w:sz w:val="22"/>
          <w:szCs w:val="22"/>
          <w:lang w:eastAsia="zh-CN"/>
        </w:rPr>
      </w:pPr>
      <w:r w:rsidRPr="007072B1">
        <w:rPr>
          <w:bCs/>
          <w:sz w:val="22"/>
          <w:szCs w:val="22"/>
          <w:lang w:eastAsia="zh-CN"/>
        </w:rPr>
        <w:t xml:space="preserve">The second is through mandated less frequent (monthly) detailed attribute reconciliation on not just your submissions but those made on your behalf i.e. where you are party to the trade. </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36955F30" w14:textId="77777777" w:rsidR="00C47053" w:rsidRPr="007072B1" w:rsidRDefault="00C47053" w:rsidP="00C47053">
      <w:pPr>
        <w:jc w:val="both"/>
        <w:rPr>
          <w:bCs/>
          <w:sz w:val="22"/>
          <w:szCs w:val="22"/>
          <w:lang w:eastAsia="zh-CN"/>
        </w:rPr>
      </w:pPr>
      <w:permStart w:id="806124853" w:edGrp="everyone"/>
      <w:r w:rsidRPr="007072B1">
        <w:rPr>
          <w:bCs/>
          <w:sz w:val="22"/>
          <w:szCs w:val="22"/>
          <w:lang w:eastAsia="zh-CN"/>
        </w:rPr>
        <w:t xml:space="preserve">We believe that end of day reporting is consistent with other </w:t>
      </w:r>
      <w:r>
        <w:rPr>
          <w:bCs/>
          <w:sz w:val="22"/>
          <w:szCs w:val="22"/>
          <w:lang w:eastAsia="zh-CN"/>
        </w:rPr>
        <w:t>reporting</w:t>
      </w:r>
      <w:r w:rsidRPr="007072B1">
        <w:rPr>
          <w:bCs/>
          <w:sz w:val="22"/>
          <w:szCs w:val="22"/>
          <w:lang w:eastAsia="zh-CN"/>
        </w:rPr>
        <w:t xml:space="preserve"> regulations, therefore, divergency from this would only add cost and complexity.</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496D4D3C" w14:textId="77777777" w:rsidR="00926BDA" w:rsidRDefault="00926BDA" w:rsidP="00926BDA">
      <w:permStart w:id="1360161894" w:edGrp="everyone"/>
      <w:r>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 xml:space="preserve">Question for reporting entities under EMIR: what is the one-off cost of implementing EMIR requirements to date? This cost should include all cost lines, such as familiarisation with obligations, staff recruitment, training, legal </w:t>
      </w:r>
      <w:r>
        <w:lastRenderedPageBreak/>
        <w:t>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77777777" w:rsidR="00926BDA" w:rsidRDefault="00926BDA" w:rsidP="00926BDA">
      <w:permStart w:id="1181963014" w:edGrp="everyone"/>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77777777" w:rsidR="00926BDA" w:rsidRDefault="00926BDA" w:rsidP="00926BDA">
      <w:permStart w:id="1743740379" w:edGrp="everyone"/>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77777777" w:rsidR="00926BDA" w:rsidRDefault="00926BDA" w:rsidP="00926BDA">
      <w:permStart w:id="1620378332" w:edGrp="everyone"/>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77777777" w:rsidR="00926BDA" w:rsidRDefault="00926BDA" w:rsidP="00926BDA">
      <w:permStart w:id="443381358" w:edGrp="everyone"/>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77777777" w:rsidR="00926BDA" w:rsidRDefault="00926BDA" w:rsidP="00926BDA">
      <w:permStart w:id="1172965324" w:edGrp="everyone"/>
      <w:r>
        <w:lastRenderedPageBreak/>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77777777" w:rsidR="00926BDA" w:rsidRDefault="00926BDA" w:rsidP="00926BDA">
      <w:permStart w:id="34827801" w:edGrp="everyone"/>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8256" w14:textId="77777777" w:rsidR="005E3669" w:rsidRDefault="005E3669" w:rsidP="007E7997">
      <w:r>
        <w:separator/>
      </w:r>
    </w:p>
  </w:endnote>
  <w:endnote w:type="continuationSeparator" w:id="0">
    <w:p w14:paraId="770C5C33" w14:textId="77777777" w:rsidR="005E3669" w:rsidRDefault="005E3669" w:rsidP="007E7997">
      <w:r>
        <w:continuationSeparator/>
      </w:r>
    </w:p>
  </w:endnote>
  <w:endnote w:type="continuationNotice" w:id="1">
    <w:p w14:paraId="3D6FF564" w14:textId="77777777" w:rsidR="005E3669" w:rsidRDefault="005E3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4026" w14:textId="77777777" w:rsidR="005E3669" w:rsidRDefault="005E3669" w:rsidP="007E7997">
      <w:r>
        <w:separator/>
      </w:r>
    </w:p>
  </w:footnote>
  <w:footnote w:type="continuationSeparator" w:id="0">
    <w:p w14:paraId="3C868D00" w14:textId="77777777" w:rsidR="005E3669" w:rsidRDefault="005E3669" w:rsidP="007E7997">
      <w:r>
        <w:continuationSeparator/>
      </w:r>
    </w:p>
  </w:footnote>
  <w:footnote w:type="continuationNotice" w:id="1">
    <w:p w14:paraId="6247DC41" w14:textId="77777777" w:rsidR="005E3669" w:rsidRDefault="005E3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E77"/>
    <w:multiLevelType w:val="multilevel"/>
    <w:tmpl w:val="F9B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3647D"/>
    <w:multiLevelType w:val="multilevel"/>
    <w:tmpl w:val="DCB6C6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650FCC"/>
    <w:multiLevelType w:val="multilevel"/>
    <w:tmpl w:val="8B6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01CF0"/>
    <w:multiLevelType w:val="multilevel"/>
    <w:tmpl w:val="B73E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B95A51"/>
    <w:multiLevelType w:val="multilevel"/>
    <w:tmpl w:val="9B34C7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C082AF5"/>
    <w:multiLevelType w:val="multilevel"/>
    <w:tmpl w:val="6380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AE1E55"/>
    <w:multiLevelType w:val="multilevel"/>
    <w:tmpl w:val="D4A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0E4B6B"/>
    <w:multiLevelType w:val="multilevel"/>
    <w:tmpl w:val="1B5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975619">
    <w:abstractNumId w:val="5"/>
  </w:num>
  <w:num w:numId="2" w16cid:durableId="1495532731">
    <w:abstractNumId w:val="5"/>
  </w:num>
  <w:num w:numId="3" w16cid:durableId="994409496">
    <w:abstractNumId w:val="29"/>
  </w:num>
  <w:num w:numId="4" w16cid:durableId="1880320868">
    <w:abstractNumId w:val="6"/>
  </w:num>
  <w:num w:numId="5" w16cid:durableId="290864581">
    <w:abstractNumId w:val="16"/>
  </w:num>
  <w:num w:numId="6" w16cid:durableId="952590553">
    <w:abstractNumId w:val="32"/>
  </w:num>
  <w:num w:numId="7" w16cid:durableId="1159686949">
    <w:abstractNumId w:val="15"/>
  </w:num>
  <w:num w:numId="8" w16cid:durableId="765269892">
    <w:abstractNumId w:val="8"/>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4"/>
  </w:num>
  <w:num w:numId="15" w16cid:durableId="986476960">
    <w:abstractNumId w:val="26"/>
  </w:num>
  <w:num w:numId="16" w16cid:durableId="398749299">
    <w:abstractNumId w:val="31"/>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7"/>
  </w:num>
  <w:num w:numId="19" w16cid:durableId="558588771">
    <w:abstractNumId w:val="32"/>
  </w:num>
  <w:num w:numId="20" w16cid:durableId="1306933315">
    <w:abstractNumId w:val="13"/>
  </w:num>
  <w:num w:numId="21" w16cid:durableId="1623876054">
    <w:abstractNumId w:val="28"/>
  </w:num>
  <w:num w:numId="22" w16cid:durableId="783383837">
    <w:abstractNumId w:val="17"/>
  </w:num>
  <w:num w:numId="23" w16cid:durableId="2112964618">
    <w:abstractNumId w:val="25"/>
  </w:num>
  <w:num w:numId="24" w16cid:durableId="1958565453">
    <w:abstractNumId w:val="2"/>
  </w:num>
  <w:num w:numId="25" w16cid:durableId="1372725395">
    <w:abstractNumId w:val="23"/>
  </w:num>
  <w:num w:numId="26" w16cid:durableId="1686445133">
    <w:abstractNumId w:val="19"/>
  </w:num>
  <w:num w:numId="27" w16cid:durableId="1247768697">
    <w:abstractNumId w:val="12"/>
  </w:num>
  <w:num w:numId="28" w16cid:durableId="954170948">
    <w:abstractNumId w:val="3"/>
  </w:num>
  <w:num w:numId="29" w16cid:durableId="837424337">
    <w:abstractNumId w:val="22"/>
  </w:num>
  <w:num w:numId="30" w16cid:durableId="299657983">
    <w:abstractNumId w:val="7"/>
  </w:num>
  <w:num w:numId="31" w16cid:durableId="699822250">
    <w:abstractNumId w:val="18"/>
  </w:num>
  <w:num w:numId="32" w16cid:durableId="730466929">
    <w:abstractNumId w:val="14"/>
    <w:lvlOverride w:ilvl="0">
      <w:startOverride w:val="1"/>
    </w:lvlOverride>
  </w:num>
  <w:num w:numId="33" w16cid:durableId="552498262">
    <w:abstractNumId w:val="24"/>
  </w:num>
  <w:num w:numId="34" w16cid:durableId="1829132647">
    <w:abstractNumId w:val="14"/>
    <w:lvlOverride w:ilvl="0">
      <w:startOverride w:val="1"/>
    </w:lvlOverride>
  </w:num>
  <w:num w:numId="35" w16cid:durableId="1915964461">
    <w:abstractNumId w:val="14"/>
    <w:lvlOverride w:ilvl="0">
      <w:startOverride w:val="1"/>
    </w:lvlOverride>
  </w:num>
  <w:num w:numId="36" w16cid:durableId="1385182617">
    <w:abstractNumId w:val="14"/>
    <w:lvlOverride w:ilvl="0">
      <w:startOverride w:val="1"/>
    </w:lvlOverride>
  </w:num>
  <w:num w:numId="37" w16cid:durableId="1841772149">
    <w:abstractNumId w:val="1"/>
  </w:num>
  <w:num w:numId="38" w16cid:durableId="709456198">
    <w:abstractNumId w:val="21"/>
  </w:num>
  <w:num w:numId="39" w16cid:durableId="568417661">
    <w:abstractNumId w:val="4"/>
  </w:num>
  <w:num w:numId="40" w16cid:durableId="1871841080">
    <w:abstractNumId w:val="30"/>
  </w:num>
  <w:num w:numId="41" w16cid:durableId="40592400">
    <w:abstractNumId w:val="33"/>
  </w:num>
  <w:num w:numId="42" w16cid:durableId="1081483856">
    <w:abstractNumId w:val="35"/>
  </w:num>
  <w:num w:numId="43" w16cid:durableId="697780932">
    <w:abstractNumId w:val="20"/>
  </w:num>
  <w:num w:numId="44" w16cid:durableId="37500937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520D"/>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646F"/>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2FBB"/>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54E"/>
    <w:rsid w:val="00262E56"/>
    <w:rsid w:val="002630C0"/>
    <w:rsid w:val="0026332A"/>
    <w:rsid w:val="002645A8"/>
    <w:rsid w:val="0026493B"/>
    <w:rsid w:val="00265566"/>
    <w:rsid w:val="00265F44"/>
    <w:rsid w:val="002665E3"/>
    <w:rsid w:val="0027199C"/>
    <w:rsid w:val="00272C4E"/>
    <w:rsid w:val="002751FC"/>
    <w:rsid w:val="002753BD"/>
    <w:rsid w:val="00277057"/>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4F8F"/>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27859"/>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4FD0"/>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017A"/>
    <w:rsid w:val="007D7A59"/>
    <w:rsid w:val="007E0E75"/>
    <w:rsid w:val="007E53F5"/>
    <w:rsid w:val="007E6E9E"/>
    <w:rsid w:val="007E7637"/>
    <w:rsid w:val="007E7997"/>
    <w:rsid w:val="007F014A"/>
    <w:rsid w:val="007F04EF"/>
    <w:rsid w:val="007F0763"/>
    <w:rsid w:val="007F1DE9"/>
    <w:rsid w:val="007F25C2"/>
    <w:rsid w:val="007F4A99"/>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08C3"/>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5C2"/>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2C3E"/>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0B5"/>
    <w:rsid w:val="00AE0286"/>
    <w:rsid w:val="00AE247F"/>
    <w:rsid w:val="00AE3656"/>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2149"/>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3CF5"/>
    <w:rsid w:val="00BE567F"/>
    <w:rsid w:val="00BF0A29"/>
    <w:rsid w:val="00BF25CD"/>
    <w:rsid w:val="00BF5553"/>
    <w:rsid w:val="00BF75CD"/>
    <w:rsid w:val="00BF7E68"/>
    <w:rsid w:val="00C00D4F"/>
    <w:rsid w:val="00C00F1C"/>
    <w:rsid w:val="00C02C03"/>
    <w:rsid w:val="00C0346D"/>
    <w:rsid w:val="00C0358F"/>
    <w:rsid w:val="00C03BB0"/>
    <w:rsid w:val="00C041CF"/>
    <w:rsid w:val="00C0696A"/>
    <w:rsid w:val="00C11CFA"/>
    <w:rsid w:val="00C12034"/>
    <w:rsid w:val="00C1396B"/>
    <w:rsid w:val="00C14C1E"/>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4705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0DDD"/>
    <w:rsid w:val="00CA112D"/>
    <w:rsid w:val="00CA1F9F"/>
    <w:rsid w:val="00CA2179"/>
    <w:rsid w:val="00CA3D8A"/>
    <w:rsid w:val="00CA4A87"/>
    <w:rsid w:val="00CA4EBA"/>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776"/>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30D8"/>
    <w:rsid w:val="00D84C2A"/>
    <w:rsid w:val="00D9064B"/>
    <w:rsid w:val="00D95D17"/>
    <w:rsid w:val="00D978C6"/>
    <w:rsid w:val="00DA03F6"/>
    <w:rsid w:val="00DA134A"/>
    <w:rsid w:val="00DA1A2E"/>
    <w:rsid w:val="00DA3413"/>
    <w:rsid w:val="00DA426E"/>
    <w:rsid w:val="00DA4339"/>
    <w:rsid w:val="00DA462C"/>
    <w:rsid w:val="00DA4B1B"/>
    <w:rsid w:val="00DA4EFC"/>
    <w:rsid w:val="00DA6313"/>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39CD"/>
    <w:rsid w:val="00E66134"/>
    <w:rsid w:val="00E6699F"/>
    <w:rsid w:val="00E67845"/>
    <w:rsid w:val="00E67B40"/>
    <w:rsid w:val="00E703AE"/>
    <w:rsid w:val="00E72373"/>
    <w:rsid w:val="00E72C92"/>
    <w:rsid w:val="00E74A40"/>
    <w:rsid w:val="00E76AF9"/>
    <w:rsid w:val="00E843DC"/>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094"/>
    <w:rsid w:val="00F146BE"/>
    <w:rsid w:val="00F22013"/>
    <w:rsid w:val="00F22356"/>
    <w:rsid w:val="00F226E0"/>
    <w:rsid w:val="00F2522F"/>
    <w:rsid w:val="00F25B7F"/>
    <w:rsid w:val="00F30180"/>
    <w:rsid w:val="00F31A29"/>
    <w:rsid w:val="00F3279A"/>
    <w:rsid w:val="00F37236"/>
    <w:rsid w:val="00F409F0"/>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5988"/>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37F5EE-E87B-49CE-96B5-F95CE63A0DF2}">
  <ds:schemaRefs>
    <ds:schemaRef ds:uri="http://schemas.openxmlformats.org/package/2006/metadata/core-properties"/>
    <ds:schemaRef ds:uri="http://purl.org/dc/terms/"/>
    <ds:schemaRef ds:uri="d0fb0f98-34f9-4d57-9559-eb8efd17aa5e"/>
    <ds:schemaRef ds:uri="http://purl.org/dc/elements/1.1/"/>
    <ds:schemaRef ds:uri="http://schemas.microsoft.com/office/infopath/2007/PartnerControls"/>
    <ds:schemaRef ds:uri="865d8a05-f056-4017-b8dd-1de195fc3e2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4FBC0C5A-5A55-4279-A037-D43AA8D968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14</TotalTime>
  <Pages>18</Pages>
  <Words>5619</Words>
  <Characters>32031</Characters>
  <Application>Microsoft Office Word</Application>
  <DocSecurity>8</DocSecurity>
  <Lines>266</Lines>
  <Paragraphs>75</Paragraphs>
  <ScaleCrop>false</ScaleCrop>
  <Company>ESMA</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Kagiaras, Thanos</cp:lastModifiedBy>
  <cp:revision>30</cp:revision>
  <cp:lastPrinted>2017-07-24T14:47:00Z</cp:lastPrinted>
  <dcterms:created xsi:type="dcterms:W3CDTF">2025-09-19T07:36:00Z</dcterms:created>
  <dcterms:modified xsi:type="dcterms:W3CDTF">2025-09-19T11:59:00Z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MSIP_Label_16ffedc7-8dd7-4346-b906-eaa072ee5258_Enabled">
    <vt:lpwstr>true</vt:lpwstr>
  </property>
  <property fmtid="{D5CDD505-2E9C-101B-9397-08002B2CF9AE}" pid="29" name="MSIP_Label_16ffedc7-8dd7-4346-b906-eaa072ee5258_SetDate">
    <vt:lpwstr>2025-09-19T07:36:00Z</vt:lpwstr>
  </property>
  <property fmtid="{D5CDD505-2E9C-101B-9397-08002B2CF9AE}" pid="30" name="MSIP_Label_16ffedc7-8dd7-4346-b906-eaa072ee5258_Method">
    <vt:lpwstr>Standard</vt:lpwstr>
  </property>
  <property fmtid="{D5CDD505-2E9C-101B-9397-08002B2CF9AE}" pid="31" name="MSIP_Label_16ffedc7-8dd7-4346-b906-eaa072ee5258_Name">
    <vt:lpwstr>Corporate</vt:lpwstr>
  </property>
  <property fmtid="{D5CDD505-2E9C-101B-9397-08002B2CF9AE}" pid="32" name="MSIP_Label_16ffedc7-8dd7-4346-b906-eaa072ee5258_SiteId">
    <vt:lpwstr>287e9f0e-91ec-4cf0-b7a4-c63898072181</vt:lpwstr>
  </property>
  <property fmtid="{D5CDD505-2E9C-101B-9397-08002B2CF9AE}" pid="33" name="MSIP_Label_16ffedc7-8dd7-4346-b906-eaa072ee5258_ActionId">
    <vt:lpwstr>1e1faeb0-c85a-4b78-b735-54c7b43a0704</vt:lpwstr>
  </property>
  <property fmtid="{D5CDD505-2E9C-101B-9397-08002B2CF9AE}" pid="34" name="MSIP_Label_16ffedc7-8dd7-4346-b906-eaa072ee5258_ContentBits">
    <vt:lpwstr>1</vt:lpwstr>
  </property>
</Properties>
</file>