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30384"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6"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7"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8"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tcPr>
              <w:p w14:paraId="1B67440D" w14:textId="5B71E19C" w:rsidR="00C85C8B" w:rsidRPr="00B16706" w:rsidRDefault="006745B0" w:rsidP="00C85C8B">
                <w:pPr>
                  <w:rPr>
                    <w:rFonts w:ascii="Arial" w:hAnsi="Arial" w:cs="Arial"/>
                    <w:color w:val="808080"/>
                    <w:sz w:val="16"/>
                    <w:szCs w:val="20"/>
                    <w:lang w:eastAsia="de-DE"/>
                  </w:rPr>
                </w:pPr>
                <w:r>
                  <w:rPr>
                    <w:rFonts w:ascii="Arial" w:hAnsi="Arial" w:cs="Arial"/>
                    <w:color w:val="808080"/>
                    <w:sz w:val="16"/>
                    <w:szCs w:val="20"/>
                    <w:lang w:eastAsia="de-DE"/>
                  </w:rPr>
                  <w:t>The Investment Association</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07E403DB"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6745B0">
                  <w:rPr>
                    <w:rFonts w:ascii="Arial" w:hAnsi="Arial" w:cs="Arial"/>
                    <w:sz w:val="16"/>
                    <w:szCs w:val="20"/>
                    <w:lang w:eastAsia="de-DE"/>
                  </w:rPr>
                  <w:t>Investment Services</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Content>
            <w:tc>
              <w:tcPr>
                <w:tcW w:w="5595" w:type="dxa"/>
              </w:tcPr>
              <w:p w14:paraId="6C4423E1" w14:textId="688B78C4" w:rsidR="00C85C8B" w:rsidRPr="00B16706" w:rsidRDefault="006745B0"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082656BF" w14:textId="2C3ABDE3" w:rsidR="00C85C8B" w:rsidRPr="00B16706" w:rsidRDefault="006745B0" w:rsidP="00C85C8B">
                <w:pPr>
                  <w:rPr>
                    <w:rFonts w:ascii="Arial" w:hAnsi="Arial" w:cs="Arial"/>
                    <w:sz w:val="16"/>
                    <w:szCs w:val="20"/>
                    <w:lang w:eastAsia="de-DE"/>
                  </w:rPr>
                </w:pPr>
                <w:r>
                  <w:rPr>
                    <w:rFonts w:ascii="Arial" w:hAnsi="Arial" w:cs="Arial"/>
                    <w:sz w:val="16"/>
                    <w:szCs w:val="20"/>
                    <w:lang w:eastAsia="de-DE"/>
                  </w:rPr>
                  <w:t>UK</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3285680E" w14:textId="77777777" w:rsidR="00575100" w:rsidRDefault="00575100" w:rsidP="00575100">
      <w:permStart w:id="785210304" w:edGrp="everyone"/>
      <w:r>
        <w:t xml:space="preserve">The Investment Association (IA) champions the interests of the UK-based investment </w:t>
      </w:r>
    </w:p>
    <w:p w14:paraId="42F5A233" w14:textId="77777777" w:rsidR="00575100" w:rsidRDefault="00575100" w:rsidP="00575100">
      <w:r>
        <w:t xml:space="preserve">management industry. We represent 250 investment managers, a third of which are </w:t>
      </w:r>
    </w:p>
    <w:p w14:paraId="645C5DF2" w14:textId="77777777" w:rsidR="00575100" w:rsidRDefault="00575100" w:rsidP="00575100">
      <w:r>
        <w:t>headquartered in the EU and who collectively operate from 642 offices across the EU.</w:t>
      </w:r>
    </w:p>
    <w:p w14:paraId="468D0626" w14:textId="77777777" w:rsidR="00575100" w:rsidRDefault="00575100" w:rsidP="00575100">
      <w:r>
        <w:t xml:space="preserve">Our members put €10.6 trillion to work in the economy, representing 37% of the €28.6 trillion of </w:t>
      </w:r>
    </w:p>
    <w:p w14:paraId="2B31B599" w14:textId="77777777" w:rsidR="00575100" w:rsidRDefault="00575100" w:rsidP="00575100">
      <w:r>
        <w:t xml:space="preserve">assets managed in Europe. They manage €2.5 trillion for Europeans and invested €843 billion </w:t>
      </w:r>
    </w:p>
    <w:p w14:paraId="2D108799" w14:textId="77777777" w:rsidR="00575100" w:rsidRDefault="00575100" w:rsidP="00575100">
      <w:r>
        <w:t xml:space="preserve">into EU businesses and projects last year while providing access to global investment </w:t>
      </w:r>
    </w:p>
    <w:p w14:paraId="0F35E9FD" w14:textId="6E2ECA54" w:rsidR="0038635D" w:rsidRDefault="00575100" w:rsidP="00575100">
      <w:r>
        <w:t>opportunities.</w:t>
      </w:r>
    </w:p>
    <w:p w14:paraId="155F1F0E" w14:textId="77777777" w:rsidR="0038635D" w:rsidRDefault="0038635D" w:rsidP="00926BDA"/>
    <w:p w14:paraId="565D1D3D" w14:textId="1B15454B" w:rsidR="00DE2696" w:rsidRDefault="00DE2696" w:rsidP="00926BDA">
      <w:r>
        <w:t>We agree with the description of challenges outlined above</w:t>
      </w:r>
      <w:r w:rsidR="00BD69C6">
        <w:t>, particularly s</w:t>
      </w:r>
      <w:r>
        <w:t>trongly so in terms of frequent regulatory changes, duplication and inconsistencies across regimes.</w:t>
      </w:r>
    </w:p>
    <w:p w14:paraId="43712397" w14:textId="77777777" w:rsidR="0038635D" w:rsidRDefault="0038635D" w:rsidP="00926BDA"/>
    <w:p w14:paraId="2A0CBD2A" w14:textId="2605154A" w:rsidR="0038635D" w:rsidRPr="0038635D" w:rsidRDefault="00DE2696" w:rsidP="0038635D">
      <w:r>
        <w:t>In addition, t</w:t>
      </w:r>
      <w:r w:rsidR="0038635D" w:rsidRPr="0038635D">
        <w:t>he current MiFIR transaction reporting regime presents several challenges for investment firms, particularly in terms of proportionality, complexity,</w:t>
      </w:r>
      <w:r>
        <w:t xml:space="preserve"> costs</w:t>
      </w:r>
      <w:r w:rsidR="0038635D" w:rsidRPr="0038635D">
        <w:t xml:space="preserve"> and operational burden:</w:t>
      </w:r>
    </w:p>
    <w:p w14:paraId="45C1AAE1" w14:textId="69013981" w:rsidR="0038635D" w:rsidRPr="0038635D" w:rsidRDefault="0038635D" w:rsidP="0038635D">
      <w:pPr>
        <w:numPr>
          <w:ilvl w:val="0"/>
          <w:numId w:val="37"/>
        </w:numPr>
      </w:pPr>
      <w:r w:rsidRPr="0038635D">
        <w:rPr>
          <w:b/>
          <w:bCs/>
        </w:rPr>
        <w:t>Disproportionate Cost Impact on Smal</w:t>
      </w:r>
      <w:r>
        <w:rPr>
          <w:b/>
          <w:bCs/>
        </w:rPr>
        <w:t>l to Medium</w:t>
      </w:r>
      <w:r w:rsidR="00BD69C6">
        <w:rPr>
          <w:b/>
          <w:bCs/>
        </w:rPr>
        <w:t>-Sized</w:t>
      </w:r>
      <w:r w:rsidRPr="0038635D">
        <w:rPr>
          <w:b/>
          <w:bCs/>
        </w:rPr>
        <w:t xml:space="preserve"> Firms</w:t>
      </w:r>
      <w:r>
        <w:rPr>
          <w:b/>
          <w:bCs/>
        </w:rPr>
        <w:t>:</w:t>
      </w:r>
      <w:r w:rsidRPr="0038635D">
        <w:br/>
        <w:t>Firms with lower trading volumes often face minimum charges or higher per-trade fees, which limits their ability to benefit from volume-based pricing. This creates a disproportionate cost burden compared to larger firms and is not typically seen in other operational areas.</w:t>
      </w:r>
    </w:p>
    <w:p w14:paraId="31C5638A" w14:textId="77777777" w:rsidR="0038635D" w:rsidRPr="0038635D" w:rsidRDefault="0038635D" w:rsidP="0038635D">
      <w:pPr>
        <w:numPr>
          <w:ilvl w:val="0"/>
          <w:numId w:val="37"/>
        </w:numPr>
      </w:pPr>
      <w:r w:rsidRPr="0038635D">
        <w:rPr>
          <w:b/>
          <w:bCs/>
        </w:rPr>
        <w:t>Complexity and Duplication in Dual-Sided Reporting</w:t>
      </w:r>
      <w:r w:rsidRPr="0038635D">
        <w:br/>
        <w:t>Dual-sided reporting introduces reconciliation challenges, especially when counterparties are located in different jurisdictions. The lack of harmonisation across regimes increases the risk of mismatches and operational inefficiencies. There is broad support for simplifying the regime through single-sided or venue-led reporting, provided it is implemented consistently across jurisdictions.</w:t>
      </w:r>
    </w:p>
    <w:p w14:paraId="7C886AE3" w14:textId="77777777" w:rsidR="0038635D" w:rsidRPr="0038635D" w:rsidRDefault="0038635D" w:rsidP="0038635D">
      <w:pPr>
        <w:numPr>
          <w:ilvl w:val="0"/>
          <w:numId w:val="37"/>
        </w:numPr>
      </w:pPr>
      <w:r w:rsidRPr="0038635D">
        <w:rPr>
          <w:b/>
          <w:bCs/>
        </w:rPr>
        <w:t>Regulatory Overlap and Fragmentation</w:t>
      </w:r>
      <w:r w:rsidRPr="0038635D">
        <w:br/>
        <w:t>The overlap between MiFIR and EMIR creates confusion and duplication. A clearer delineation—such as MiFIR covering exchange-traded derivatives and EMIR covering OTC derivatives—would help streamline compliance and reduce reporting burdens.</w:t>
      </w:r>
    </w:p>
    <w:p w14:paraId="18798ACA" w14:textId="39FC731F" w:rsidR="0038635D" w:rsidRPr="0038635D" w:rsidRDefault="0038635D" w:rsidP="0038635D">
      <w:pPr>
        <w:numPr>
          <w:ilvl w:val="0"/>
          <w:numId w:val="37"/>
        </w:numPr>
      </w:pPr>
      <w:r w:rsidRPr="0038635D">
        <w:rPr>
          <w:b/>
          <w:bCs/>
        </w:rPr>
        <w:t>Limited Vendor Competition</w:t>
      </w:r>
      <w:r w:rsidRPr="0038635D">
        <w:br/>
        <w:t xml:space="preserve">The concentration of Approved Reporting Mechanisms (ARMs) and the complexity of reporting rules limit competition and innovation in the vendor space. Members suggest </w:t>
      </w:r>
      <w:r w:rsidRPr="0038635D">
        <w:lastRenderedPageBreak/>
        <w:t>that simplification of the regime could encourage new entrants and reduce dependency on a few providers</w:t>
      </w:r>
    </w:p>
    <w:p w14:paraId="09CE38D5" w14:textId="77777777" w:rsidR="0038635D" w:rsidRPr="0038635D" w:rsidRDefault="0038635D" w:rsidP="0038635D">
      <w:pPr>
        <w:numPr>
          <w:ilvl w:val="0"/>
          <w:numId w:val="37"/>
        </w:numPr>
      </w:pPr>
      <w:r w:rsidRPr="0038635D">
        <w:rPr>
          <w:b/>
          <w:bCs/>
        </w:rPr>
        <w:t>Lack of Access to Counterparty Data</w:t>
      </w:r>
      <w:r w:rsidRPr="0038635D">
        <w:br/>
        <w:t>In the current dual-sided model, firms often lack visibility into the data submitted by their counterparties, making it difficult to validate or reconcile reports. Any move to single-sided reporting would need to address this gap to ensure firms can maintain effective oversight and control frameworks.</w:t>
      </w:r>
    </w:p>
    <w:p w14:paraId="51A758C9" w14:textId="77777777" w:rsidR="0038635D" w:rsidRDefault="0038635D" w:rsidP="00926BDA"/>
    <w:permEnd w:id="785210304"/>
    <w:p w14:paraId="3867BD88" w14:textId="7D37096A"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250960F4" w14:textId="7B4418B8" w:rsidR="0092505F" w:rsidRDefault="0092505F" w:rsidP="0092505F">
      <w:permStart w:id="545925079" w:edGrp="everyone"/>
      <w:r>
        <w:t>We support ESMA’s principles (</w:t>
      </w:r>
      <w:r w:rsidR="005A71C4">
        <w:t xml:space="preserve">namely to </w:t>
      </w:r>
      <w:r>
        <w:t xml:space="preserve">preserve information scope, reduce overlaps, ensure global alignment, </w:t>
      </w:r>
      <w:r w:rsidR="00821313">
        <w:t xml:space="preserve">and ensure a </w:t>
      </w:r>
      <w:r>
        <w:t xml:space="preserve">balance </w:t>
      </w:r>
      <w:r w:rsidR="00821313">
        <w:t xml:space="preserve">of </w:t>
      </w:r>
      <w:r>
        <w:t>cost/benefit). We recommend adding:</w:t>
      </w:r>
    </w:p>
    <w:p w14:paraId="73D93E6A" w14:textId="77777777" w:rsidR="0092505F" w:rsidRDefault="0092505F" w:rsidP="0092505F"/>
    <w:p w14:paraId="703C572D" w14:textId="3B6D5B83" w:rsidR="0092505F" w:rsidRDefault="0092505F" w:rsidP="002B1BC6">
      <w:pPr>
        <w:pStyle w:val="ListParagraph"/>
      </w:pPr>
      <w:r>
        <w:t>An explicit EU competitiveness principle and cross</w:t>
      </w:r>
      <w:r w:rsidRPr="00821313">
        <w:rPr>
          <w:rFonts w:ascii="Cambria Math" w:hAnsi="Cambria Math" w:cs="Cambria Math"/>
        </w:rPr>
        <w:t>‑</w:t>
      </w:r>
      <w:r>
        <w:t>jurisdictional alignment (especially</w:t>
      </w:r>
      <w:r w:rsidR="00821313">
        <w:t xml:space="preserve"> </w:t>
      </w:r>
      <w:r>
        <w:t>with the UK FCA) to avoid structural disadvantages for EU firms.</w:t>
      </w:r>
    </w:p>
    <w:p w14:paraId="55E93E20" w14:textId="77777777" w:rsidR="0092505F" w:rsidRDefault="0092505F" w:rsidP="002B1BC6">
      <w:pPr>
        <w:pStyle w:val="ListParagraph"/>
      </w:pPr>
      <w:r>
        <w:t>A “data used” test—collect only fields demonstrably used by authorities.</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10DC617E" w14:textId="77777777" w:rsidR="00EB2602" w:rsidRDefault="00EB2602" w:rsidP="00926BDA">
      <w:permStart w:id="666895774" w:edGrp="everyone"/>
      <w:r w:rsidRPr="00EB2602">
        <w:t>Option 1a delivers immediate overlap removal (ETD under MiFIR; OTC under EMIR) with lower implementation risk than wholesale redesign. It is the most practical vehicle to implement single‑sided reporting quickly, because it limits change to scope delineation and assurance rather than building an entirely new framework</w:t>
      </w:r>
      <w:r>
        <w:t xml:space="preserve">. </w:t>
      </w:r>
    </w:p>
    <w:p w14:paraId="780A539F" w14:textId="77777777" w:rsidR="00EB2602" w:rsidRDefault="00EB2602" w:rsidP="00926BDA"/>
    <w:p w14:paraId="6D0251D2" w14:textId="72A187A2" w:rsidR="00926BDA" w:rsidRDefault="00EB2602" w:rsidP="00926BDA">
      <w:r w:rsidRPr="00EB2602">
        <w:t>Removing duplications helps reduce the volume of data that firms must process and reconcile, which in turn lowers compliance costs. This is especially important for smaller firms that face disproportionate burdens under the current regime.</w:t>
      </w:r>
      <w:r w:rsidR="0078616E">
        <w:t xml:space="preserve"> </w:t>
      </w:r>
      <w:permEnd w:id="666895774"/>
      <w:r w:rsidR="00926BDA">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6C74C030" w14:textId="77777777" w:rsidR="00EA18E0" w:rsidRPr="001E49B0" w:rsidRDefault="00EA18E0" w:rsidP="00EA18E0">
      <w:pPr>
        <w:rPr>
          <w:b/>
          <w:bCs/>
        </w:rPr>
      </w:pPr>
      <w:permStart w:id="1901729855" w:edGrp="everyone"/>
      <w:r w:rsidRPr="001E49B0">
        <w:rPr>
          <w:b/>
          <w:bCs/>
        </w:rPr>
        <w:t>Risk of Oversimplification</w:t>
      </w:r>
    </w:p>
    <w:p w14:paraId="55FDE593" w14:textId="17D20628" w:rsidR="00EA18E0" w:rsidRDefault="00EA18E0" w:rsidP="00EA18E0">
      <w:r>
        <w:t xml:space="preserve">A </w:t>
      </w:r>
      <w:r w:rsidR="001D3625">
        <w:t>fixed</w:t>
      </w:r>
      <w:r>
        <w:t xml:space="preserve"> separation by instrument type may not fully account for complex or hybrid instruments that share characteristics of both OTC and exchange-traded derivatives. This could lead to gaps or inconsistencies in reporting coverage.</w:t>
      </w:r>
    </w:p>
    <w:p w14:paraId="085D273A" w14:textId="77777777" w:rsidR="00EA18E0" w:rsidRDefault="00EA18E0" w:rsidP="00EA18E0"/>
    <w:p w14:paraId="78B681FB" w14:textId="77777777" w:rsidR="00EA18E0" w:rsidRDefault="00EA18E0" w:rsidP="00EA18E0">
      <w:r w:rsidRPr="001E49B0">
        <w:rPr>
          <w:b/>
          <w:bCs/>
        </w:rPr>
        <w:lastRenderedPageBreak/>
        <w:t>Mitigation</w:t>
      </w:r>
      <w:r>
        <w:t>: Clear definitions and guidance should be provided to ensure consistent classification of instruments. A mechanism for handling edge cases or exceptions should be built into the framework.</w:t>
      </w:r>
    </w:p>
    <w:p w14:paraId="0CA576F1" w14:textId="77777777" w:rsidR="00EA18E0" w:rsidRDefault="00EA18E0" w:rsidP="00EA18E0"/>
    <w:p w14:paraId="42D0BFA9" w14:textId="07382A53" w:rsidR="00EA18E0" w:rsidRPr="001508EB" w:rsidRDefault="00EA18E0" w:rsidP="00EA18E0">
      <w:pPr>
        <w:rPr>
          <w:b/>
          <w:bCs/>
        </w:rPr>
      </w:pPr>
      <w:r w:rsidRPr="001508EB">
        <w:rPr>
          <w:b/>
          <w:bCs/>
        </w:rPr>
        <w:t>Jurisdictional Misalignment</w:t>
      </w:r>
    </w:p>
    <w:p w14:paraId="5D559481" w14:textId="77777777" w:rsidR="00EA18E0" w:rsidRDefault="00EA18E0" w:rsidP="00EA18E0">
      <w:r>
        <w:t>If Option 1a is not adopted uniformly across EU member states or aligned with third-country regimes, firms operating cross-border may face conflicting requirements or duplicative obligations.</w:t>
      </w:r>
    </w:p>
    <w:p w14:paraId="372EF819" w14:textId="77777777" w:rsidR="00EA18E0" w:rsidRDefault="00EA18E0" w:rsidP="00EA18E0"/>
    <w:p w14:paraId="7F8727B6" w14:textId="77777777" w:rsidR="00EA18E0" w:rsidRDefault="00EA18E0" w:rsidP="00926BDA">
      <w:r w:rsidRPr="001508EB">
        <w:rPr>
          <w:b/>
          <w:bCs/>
        </w:rPr>
        <w:t>Mitigation</w:t>
      </w:r>
      <w:r>
        <w:t>: ESMA should coordinate with national competent authorities and international regulators to promote harmonised implementation and mutual recognition of reporting responsibilities</w:t>
      </w:r>
    </w:p>
    <w:p w14:paraId="7529A6FB" w14:textId="77777777" w:rsidR="00EA18E0" w:rsidRDefault="00EA18E0" w:rsidP="00926BDA"/>
    <w:p w14:paraId="6B1ECCBA" w14:textId="3EA575E4" w:rsidR="001D3625" w:rsidRDefault="001D3625" w:rsidP="00926BDA">
      <w:r w:rsidRPr="001508EB">
        <w:rPr>
          <w:b/>
          <w:bCs/>
        </w:rPr>
        <w:t>Surveillance</w:t>
      </w:r>
      <w:r w:rsidR="00EA18E0" w:rsidRPr="00EA18E0">
        <w:t xml:space="preserve">: </w:t>
      </w:r>
      <w:r>
        <w:t>E</w:t>
      </w:r>
      <w:r w:rsidR="00EA18E0" w:rsidRPr="00EA18E0">
        <w:t xml:space="preserve">nsuring market‑abuse surveillance remains effective where relevant data points shift under EMIR. </w:t>
      </w:r>
    </w:p>
    <w:p w14:paraId="14388014" w14:textId="77777777" w:rsidR="001D3625" w:rsidRDefault="001D3625" w:rsidP="00926BDA"/>
    <w:p w14:paraId="7EE99C37" w14:textId="68B366F1" w:rsidR="00926BDA" w:rsidRDefault="00EA18E0" w:rsidP="00926BDA">
      <w:r w:rsidRPr="001508EB">
        <w:rPr>
          <w:b/>
          <w:bCs/>
        </w:rPr>
        <w:t>Mitigation</w:t>
      </w:r>
      <w:r w:rsidRPr="00EA18E0">
        <w:t>: a narrowly‑scoped, common data dictionary and calibrated assurance (audit) measures so single‑sided reporting preserves information scope without re‑creating dual collection through reconciliation</w:t>
      </w:r>
      <w:r>
        <w:t>.</w:t>
      </w:r>
      <w:r w:rsidR="00311373">
        <w:t xml:space="preserve"> </w:t>
      </w:r>
      <w:permEnd w:id="1901729855"/>
      <w:r w:rsidR="00926BDA">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556C53A1" w14:textId="3BCBA906" w:rsidR="00926BDA" w:rsidRDefault="001D3625" w:rsidP="00926BDA">
      <w:permStart w:id="1034637762" w:edGrp="everyone"/>
      <w:r>
        <w:t>1.</w:t>
      </w:r>
      <w:r w:rsidRPr="001D3625">
        <w:t xml:space="preserve"> An industry‑standard data dictionary to align terminology/fields; </w:t>
      </w:r>
      <w:r>
        <w:t>2.</w:t>
      </w:r>
      <w:r w:rsidRPr="001D3625">
        <w:t xml:space="preserve"> a clear assurance model (audits, quality metrics, supervisory follow‑ups) to replace inter‑counterparty reconciliation; </w:t>
      </w:r>
      <w:r>
        <w:t>3.</w:t>
      </w:r>
      <w:r w:rsidRPr="001D3625">
        <w:t xml:space="preserve"> a UK alignment plan to avoid cross‑border frictions. All three enable single‑sided to work at scale.</w:t>
      </w:r>
      <w:r w:rsidR="00DE7D8F">
        <w:t xml:space="preserve"> 4.</w:t>
      </w:r>
      <w:r w:rsidR="00922543">
        <w:t xml:space="preserve"> </w:t>
      </w:r>
      <w:r w:rsidR="00995AED" w:rsidRPr="00995AED">
        <w:rPr>
          <w:color w:val="000000"/>
        </w:rPr>
        <w:t>Establish a process that enables Non-EU sell-side participants to independently register their reporting obligations, thereby supporting an open and efficient capital market without unnecessary barriers.</w:t>
      </w:r>
      <w:r w:rsidR="00995AED">
        <w:rPr>
          <w:color w:val="000000"/>
        </w:rPr>
        <w:t xml:space="preserve"> </w:t>
      </w:r>
      <w:r w:rsidR="00DE7D8F">
        <w:t xml:space="preserve"> </w:t>
      </w:r>
      <w:r w:rsidR="00922543">
        <w:t xml:space="preserve">5. </w:t>
      </w:r>
      <w:r w:rsidR="00DE7D8F">
        <w:t>Continued support for OTC ISIN</w:t>
      </w:r>
      <w:r w:rsidR="00770EB0">
        <w:t>.</w:t>
      </w:r>
      <w:r w:rsidR="00DE7D8F">
        <w:t xml:space="preserve"> </w:t>
      </w:r>
      <w:r w:rsidR="00770EB0">
        <w:t>OTC ISIN</w:t>
      </w:r>
      <w:r w:rsidR="00014CE3">
        <w:t xml:space="preserve"> includes </w:t>
      </w:r>
      <w:r w:rsidR="00253B19">
        <w:t xml:space="preserve">high quality data which could reduce the </w:t>
      </w:r>
      <w:r w:rsidR="000E4451">
        <w:t xml:space="preserve">number of </w:t>
      </w:r>
      <w:r w:rsidR="00253B19">
        <w:t>reporting field</w:t>
      </w:r>
      <w:r w:rsidR="000E4451">
        <w:t xml:space="preserve">s and </w:t>
      </w:r>
      <w:r w:rsidR="0079574F">
        <w:t xml:space="preserve">which ESMA has shown </w:t>
      </w:r>
      <w:r w:rsidR="000E4451">
        <w:t>increase</w:t>
      </w:r>
      <w:r w:rsidR="00AD75B0">
        <w:t>s</w:t>
      </w:r>
      <w:r w:rsidR="000E4451">
        <w:t xml:space="preserve"> data accuracy</w:t>
      </w:r>
      <w:r w:rsidR="00AD75B0">
        <w:t>.</w:t>
      </w:r>
      <w:r w:rsidR="000E4451">
        <w:t xml:space="preserve"> </w:t>
      </w:r>
      <w:r w:rsidR="00A31C23">
        <w:t xml:space="preserve"> </w:t>
      </w:r>
      <w:permEnd w:id="1034637762"/>
      <w:r w:rsidR="00926BDA">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5FF8B2C2" w14:textId="5411C851" w:rsidR="00926BDA" w:rsidRDefault="00B238BE" w:rsidP="00926BDA">
      <w:permStart w:id="276758894" w:edGrp="everyone"/>
      <w:r w:rsidRPr="00B238BE">
        <w:t>We do not support 1b.</w:t>
      </w:r>
      <w:r w:rsidR="005F0681">
        <w:t xml:space="preserve"> See Q7</w:t>
      </w:r>
      <w:permEnd w:id="276758894"/>
      <w:r w:rsidR="00926BDA">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1CFEB751" w14:textId="2A465019" w:rsidR="00926BDA" w:rsidRDefault="005D7EA7" w:rsidP="00926BDA">
      <w:permStart w:id="1327239170" w:edGrp="everyone"/>
      <w:r>
        <w:t>While i</w:t>
      </w:r>
      <w:r w:rsidRPr="00B238BE">
        <w:t xml:space="preserve">n theory it reduces overlap; in practice it complicates workflows and weakens the </w:t>
      </w:r>
      <w:r>
        <w:t>structure</w:t>
      </w:r>
      <w:r w:rsidRPr="00B238BE">
        <w:t xml:space="preserve"> for single‑sided </w:t>
      </w:r>
      <w:r>
        <w:t>reporting where multiple reports will be required</w:t>
      </w:r>
      <w:r w:rsidRPr="00B238BE">
        <w:t xml:space="preserve">. </w:t>
      </w:r>
      <w:r w:rsidR="00B238BE">
        <w:t>We do not support 1b</w:t>
      </w:r>
    </w:p>
    <w:permEnd w:id="1327239170"/>
    <w:p w14:paraId="72CB5113" w14:textId="77777777" w:rsidR="00926BDA" w:rsidRDefault="00926BDA" w:rsidP="00926BDA">
      <w:r>
        <w:lastRenderedPageBreak/>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156B7223" w14:textId="4CC48630" w:rsidR="00926BDA" w:rsidRDefault="00B238BE" w:rsidP="00926BDA">
      <w:permStart w:id="275065348" w:edGrp="everyone"/>
      <w:r w:rsidRPr="00B238BE">
        <w:t>We do not support 1b</w:t>
      </w:r>
      <w:r w:rsidR="00C150FC">
        <w:t>. See Q7</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5A8801BA" w14:textId="2F4B16D7" w:rsidR="00926BDA" w:rsidRDefault="00084EA4" w:rsidP="00926BDA">
      <w:permStart w:id="1249454344" w:edGrp="everyone"/>
      <w:r w:rsidRPr="00084EA4">
        <w:t>Option 2a — the “report once” principle — offers a transformative approach to transaction reporting</w:t>
      </w:r>
      <w:r w:rsidR="006D4A25">
        <w:t>. In particular:</w:t>
      </w:r>
    </w:p>
    <w:p w14:paraId="7E27FCA1" w14:textId="77777777" w:rsidR="00084EA4" w:rsidRDefault="00084EA4" w:rsidP="00926BDA"/>
    <w:p w14:paraId="502B6A5B" w14:textId="77777777" w:rsidR="007927E6" w:rsidRDefault="00084EA4" w:rsidP="002B1BC6">
      <w:pPr>
        <w:pStyle w:val="ListParagraph"/>
      </w:pPr>
      <w:r w:rsidRPr="00084EA4">
        <w:t xml:space="preserve">Elimination of Duplication Across Frameworks, </w:t>
      </w:r>
    </w:p>
    <w:p w14:paraId="775231F0" w14:textId="77777777" w:rsidR="007927E6" w:rsidRDefault="00084EA4" w:rsidP="002B1BC6">
      <w:pPr>
        <w:pStyle w:val="ListParagraph"/>
      </w:pPr>
      <w:r w:rsidRPr="00084EA4">
        <w:t xml:space="preserve">Improved Efficiency and Cost Reduction, </w:t>
      </w:r>
    </w:p>
    <w:p w14:paraId="2EAC51D6" w14:textId="77777777" w:rsidR="007927E6" w:rsidRDefault="00084EA4" w:rsidP="002B1BC6">
      <w:pPr>
        <w:pStyle w:val="ListParagraph"/>
      </w:pPr>
      <w:r w:rsidRPr="00084EA4">
        <w:t xml:space="preserve">Enhanced Data Consistency, </w:t>
      </w:r>
    </w:p>
    <w:p w14:paraId="2ADFD492" w14:textId="77777777" w:rsidR="007927E6" w:rsidRDefault="00084EA4" w:rsidP="002B1BC6">
      <w:pPr>
        <w:pStyle w:val="ListParagraph"/>
      </w:pPr>
      <w:r w:rsidRPr="00084EA4">
        <w:t xml:space="preserve">Harmonisation and Integration, </w:t>
      </w:r>
    </w:p>
    <w:p w14:paraId="5426DAFA" w14:textId="66860B4B" w:rsidR="00084EA4" w:rsidRDefault="006D4A25" w:rsidP="002B1BC6">
      <w:pPr>
        <w:pStyle w:val="ListParagraph"/>
      </w:pPr>
      <w:r>
        <w:t>It p</w:t>
      </w:r>
      <w:r w:rsidR="00084EA4" w:rsidRPr="00084EA4">
        <w:t>romotes Innovation and Vendor Competition</w:t>
      </w:r>
      <w:r w:rsidR="00084EA4">
        <w:t>.</w:t>
      </w:r>
    </w:p>
    <w:p w14:paraId="50C322C7" w14:textId="77777777" w:rsidR="00084EA4" w:rsidRDefault="00084EA4" w:rsidP="00926BDA"/>
    <w:p w14:paraId="2F462434" w14:textId="22DAE1C1" w:rsidR="00084EA4" w:rsidRPr="00084EA4" w:rsidRDefault="00084EA4" w:rsidP="00926BDA">
      <w:r>
        <w:t>Option 2a offers a drastic solution to many systemic issues identifie</w:t>
      </w:r>
      <w:r w:rsidR="006C3B5A">
        <w:t>d</w:t>
      </w:r>
      <w:r>
        <w:t xml:space="preserve"> in section 3. Successfully implementing it would take a large effort from all parties and robust frameworks would need implementing with heavy engagement from the industry. </w:t>
      </w:r>
      <w:r w:rsidR="006C3B5A">
        <w:t>However,</w:t>
      </w:r>
      <w:r>
        <w:t xml:space="preserve"> the potential benefits are substantial.</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767C2DD7" w14:textId="77777777" w:rsidR="002B1BC6" w:rsidRDefault="002B1BC6" w:rsidP="00926BDA">
      <w:permStart w:id="199837036" w:edGrp="everyone"/>
      <w:r>
        <w:t>These include:</w:t>
      </w:r>
    </w:p>
    <w:p w14:paraId="2557FD6D" w14:textId="77777777" w:rsidR="002B1BC6" w:rsidRDefault="00084EA4" w:rsidP="002B1BC6">
      <w:pPr>
        <w:pStyle w:val="ListParagraph"/>
      </w:pPr>
      <w:r w:rsidRPr="00084EA4">
        <w:t xml:space="preserve">High implementation cost, </w:t>
      </w:r>
    </w:p>
    <w:p w14:paraId="51181A52" w14:textId="13B02B35" w:rsidR="002B1BC6" w:rsidRDefault="008D5D4A" w:rsidP="002B1BC6">
      <w:pPr>
        <w:pStyle w:val="ListParagraph"/>
      </w:pPr>
      <w:r>
        <w:t>M</w:t>
      </w:r>
      <w:r w:rsidR="00084EA4" w:rsidRPr="00084EA4">
        <w:t>ulti</w:t>
      </w:r>
      <w:r w:rsidR="00084EA4" w:rsidRPr="00084EA4">
        <w:rPr>
          <w:rFonts w:ascii="Cambria Math" w:hAnsi="Cambria Math" w:cs="Cambria Math"/>
        </w:rPr>
        <w:t>‑</w:t>
      </w:r>
      <w:r w:rsidR="00084EA4" w:rsidRPr="00084EA4">
        <w:t xml:space="preserve">regime legal change, </w:t>
      </w:r>
    </w:p>
    <w:p w14:paraId="0CA26723" w14:textId="1B8A14B0" w:rsidR="002B1BC6" w:rsidRDefault="008D5D4A" w:rsidP="002B1BC6">
      <w:pPr>
        <w:pStyle w:val="ListParagraph"/>
      </w:pPr>
      <w:r>
        <w:t>L</w:t>
      </w:r>
      <w:r w:rsidR="00084EA4" w:rsidRPr="00084EA4">
        <w:t>ong timelines and potential data gaps (e.g., NFC</w:t>
      </w:r>
      <w:r w:rsidR="00084EA4" w:rsidRPr="00084EA4">
        <w:rPr>
          <w:rFonts w:ascii="Arial" w:hAnsi="Arial" w:cs="Arial"/>
        </w:rPr>
        <w:t>–</w:t>
      </w:r>
      <w:r w:rsidR="00084EA4" w:rsidRPr="00084EA4">
        <w:t>NFC)</w:t>
      </w:r>
      <w:r w:rsidR="00084EA4">
        <w:t xml:space="preserve">, </w:t>
      </w:r>
    </w:p>
    <w:p w14:paraId="4510129A" w14:textId="4184ECB9" w:rsidR="002B1BC6" w:rsidRDefault="008D5D4A" w:rsidP="002B1BC6">
      <w:pPr>
        <w:pStyle w:val="ListParagraph"/>
      </w:pPr>
      <w:r>
        <w:t>R</w:t>
      </w:r>
      <w:r w:rsidR="00084EA4">
        <w:t>isk of misalignment across jurisdictions.</w:t>
      </w:r>
      <w:r w:rsidR="00084EA4" w:rsidRPr="00084EA4">
        <w:t xml:space="preserve"> </w:t>
      </w:r>
    </w:p>
    <w:p w14:paraId="51DB055B" w14:textId="77777777" w:rsidR="002B1BC6" w:rsidRDefault="002B1BC6" w:rsidP="002B1BC6">
      <w:pPr>
        <w:pStyle w:val="ListParagraph"/>
        <w:numPr>
          <w:ilvl w:val="0"/>
          <w:numId w:val="0"/>
        </w:numPr>
        <w:ind w:left="720"/>
      </w:pPr>
    </w:p>
    <w:p w14:paraId="42AA92D4" w14:textId="14A67B75" w:rsidR="00084EA4" w:rsidRDefault="00084EA4" w:rsidP="002B1BC6">
      <w:r w:rsidRPr="00084EA4">
        <w:t>Single</w:t>
      </w:r>
      <w:r w:rsidRPr="002B1BC6">
        <w:rPr>
          <w:rFonts w:ascii="Cambria Math" w:hAnsi="Cambria Math" w:cs="Cambria Math"/>
        </w:rPr>
        <w:t>‑</w:t>
      </w:r>
      <w:r w:rsidRPr="00084EA4">
        <w:t>sided under 1a offers earlier, safer net benefits.</w:t>
      </w:r>
      <w:r>
        <w:t xml:space="preserve"> </w:t>
      </w:r>
    </w:p>
    <w:p w14:paraId="56C38C26" w14:textId="558E851A" w:rsidR="00926BDA" w:rsidRDefault="00084EA4" w:rsidP="00926BDA">
      <w:r>
        <w:t>A key concern would be the loss of granularity within each regime, especially within SFTs. All participants would need heavy engagement to ensure all instances are covered</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lastRenderedPageBreak/>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0EFAC59B" w14:textId="77777777" w:rsidR="006A386E" w:rsidRPr="001D1C6C" w:rsidRDefault="006A386E" w:rsidP="006A386E">
      <w:pPr>
        <w:rPr>
          <w:b/>
          <w:bCs/>
        </w:rPr>
      </w:pPr>
      <w:permStart w:id="2123508368" w:edGrp="everyone"/>
      <w:r w:rsidRPr="001D1C6C">
        <w:rPr>
          <w:b/>
          <w:bCs/>
        </w:rPr>
        <w:t>Loss of Control and Oversight</w:t>
      </w:r>
    </w:p>
    <w:p w14:paraId="457B72B9" w14:textId="77777777" w:rsidR="006A386E" w:rsidRDefault="006A386E" w:rsidP="006A386E">
      <w:r>
        <w:t>Delegating reporting responsibilities to counterparties (e.g. brokers or trading venues) may result in asset managers losing visibility over the data submitted on their behalf. This undermines firms’ ability to maintain robust control frameworks and meet accountability requirements.</w:t>
      </w:r>
    </w:p>
    <w:p w14:paraId="2BECEB84" w14:textId="77777777" w:rsidR="006A386E" w:rsidRDefault="006A386E" w:rsidP="006A386E"/>
    <w:p w14:paraId="3B13E54B" w14:textId="77777777" w:rsidR="006A386E" w:rsidRDefault="006A386E" w:rsidP="006A386E">
      <w:r w:rsidRPr="001D1C6C">
        <w:rPr>
          <w:b/>
          <w:bCs/>
        </w:rPr>
        <w:t>Mitigation</w:t>
      </w:r>
      <w:r>
        <w:t>: Firms should retain access to the full dataset submitted by the delegate, with clear audit trails and validation mechanisms. Regulatory guidance should clarify the accountability model and minimum oversight standards.</w:t>
      </w:r>
    </w:p>
    <w:p w14:paraId="05504CE2" w14:textId="77777777" w:rsidR="006A386E" w:rsidRDefault="006A386E" w:rsidP="006A386E"/>
    <w:p w14:paraId="74A23D62" w14:textId="77777777" w:rsidR="006A386E" w:rsidRPr="001D1C6C" w:rsidRDefault="006A386E" w:rsidP="006A386E">
      <w:pPr>
        <w:rPr>
          <w:b/>
          <w:bCs/>
        </w:rPr>
      </w:pPr>
      <w:r w:rsidRPr="001D1C6C">
        <w:rPr>
          <w:b/>
          <w:bCs/>
        </w:rPr>
        <w:t>Inconsistent Data Quality and Interpretation</w:t>
      </w:r>
    </w:p>
    <w:p w14:paraId="0F19DD27" w14:textId="77777777" w:rsidR="006A386E" w:rsidRDefault="006A386E" w:rsidP="006A386E">
      <w:r>
        <w:t>Delegates may lack the necessary context to accurately report certain fields, particularly those relating to investment decisions or internal processes. This can lead to misreporting or incomplete submissions.</w:t>
      </w:r>
    </w:p>
    <w:p w14:paraId="6E45E114" w14:textId="77777777" w:rsidR="006A386E" w:rsidRDefault="006A386E" w:rsidP="006A386E"/>
    <w:p w14:paraId="09D8BA26" w14:textId="0587132A" w:rsidR="006A386E" w:rsidRDefault="006A386E" w:rsidP="006A386E">
      <w:r w:rsidRPr="001D1C6C">
        <w:rPr>
          <w:b/>
          <w:bCs/>
        </w:rPr>
        <w:t>Mitigation</w:t>
      </w:r>
      <w:r>
        <w:t xml:space="preserve">: ESMA should define a minimum set of fields that must be provided by the delegating </w:t>
      </w:r>
      <w:r w:rsidR="00311373">
        <w:t>firm and</w:t>
      </w:r>
      <w:r>
        <w:t xml:space="preserve"> offer standardised templates to ensure consistency. Training and certification for delegates may also help improve data quality.</w:t>
      </w:r>
    </w:p>
    <w:p w14:paraId="5A69FD46" w14:textId="77777777" w:rsidR="006A386E" w:rsidRDefault="006A386E" w:rsidP="006A386E"/>
    <w:p w14:paraId="2F264C7C" w14:textId="77777777" w:rsidR="006A386E" w:rsidRPr="001D1C6C" w:rsidRDefault="006A386E" w:rsidP="006A386E">
      <w:pPr>
        <w:rPr>
          <w:b/>
          <w:bCs/>
        </w:rPr>
      </w:pPr>
      <w:r w:rsidRPr="001D1C6C">
        <w:rPr>
          <w:b/>
          <w:bCs/>
        </w:rPr>
        <w:t>Operational Readiness and Market Fragmentation</w:t>
      </w:r>
    </w:p>
    <w:p w14:paraId="6B50F3A8" w14:textId="77777777" w:rsidR="006A386E" w:rsidRDefault="006A386E" w:rsidP="006A386E">
      <w:r>
        <w:t>Not all counterparties may be willing or able to take on delegated reporting responsibilities, especially across different jurisdictions. This could lead to fragmentation and inconsistent adoption of the model.</w:t>
      </w:r>
    </w:p>
    <w:p w14:paraId="1BA0603B" w14:textId="77777777" w:rsidR="006A386E" w:rsidRDefault="006A386E" w:rsidP="006A386E"/>
    <w:p w14:paraId="729875FF" w14:textId="77777777" w:rsidR="006A386E" w:rsidRDefault="006A386E" w:rsidP="006A386E">
      <w:r w:rsidRPr="001D1C6C">
        <w:rPr>
          <w:b/>
          <w:bCs/>
        </w:rPr>
        <w:t>Mitigation</w:t>
      </w:r>
      <w:r>
        <w:t>: ESMA should consult with market participants to assess readiness and provide transitional support. A phased rollout with optional delegation may help ease adoption.</w:t>
      </w:r>
    </w:p>
    <w:p w14:paraId="5DF3AB2D" w14:textId="77777777" w:rsidR="006A386E" w:rsidRDefault="006A386E" w:rsidP="006A386E"/>
    <w:p w14:paraId="67FABAC8" w14:textId="77777777" w:rsidR="006A386E" w:rsidRPr="001D1C6C" w:rsidRDefault="006A386E" w:rsidP="006A386E">
      <w:pPr>
        <w:rPr>
          <w:b/>
          <w:bCs/>
        </w:rPr>
      </w:pPr>
      <w:r w:rsidRPr="001D1C6C">
        <w:rPr>
          <w:b/>
          <w:bCs/>
        </w:rPr>
        <w:t>Legal and Contractual Complexity</w:t>
      </w:r>
    </w:p>
    <w:p w14:paraId="18DC77E8" w14:textId="77777777" w:rsidR="006A386E" w:rsidRDefault="006A386E" w:rsidP="006A386E">
      <w:r>
        <w:t>Delegation introduces legal and contractual obligations that may be difficult to negotiate, particularly where liability and data ownership are concerned.</w:t>
      </w:r>
    </w:p>
    <w:p w14:paraId="5CF0AC50" w14:textId="77777777" w:rsidR="006A386E" w:rsidRDefault="006A386E" w:rsidP="006A386E"/>
    <w:p w14:paraId="180F5946" w14:textId="77777777" w:rsidR="006A386E" w:rsidRDefault="006A386E" w:rsidP="006A386E">
      <w:r w:rsidRPr="001D1C6C">
        <w:rPr>
          <w:b/>
          <w:bCs/>
        </w:rPr>
        <w:t>Mitigation</w:t>
      </w:r>
      <w:r>
        <w:t>: ESMA should provide model clauses and guidance on delegation agreements, including liability, data access, and dispute resolution.</w:t>
      </w:r>
    </w:p>
    <w:p w14:paraId="1FE08E99" w14:textId="77777777" w:rsidR="006A386E" w:rsidRDefault="006A386E" w:rsidP="006A386E"/>
    <w:p w14:paraId="04CB57F5" w14:textId="77777777" w:rsidR="006A386E" w:rsidRPr="001D1C6C" w:rsidRDefault="006A386E" w:rsidP="006A386E">
      <w:pPr>
        <w:rPr>
          <w:b/>
          <w:bCs/>
        </w:rPr>
      </w:pPr>
      <w:r w:rsidRPr="001D1C6C">
        <w:rPr>
          <w:b/>
          <w:bCs/>
        </w:rPr>
        <w:t>Regulatory Misalignment</w:t>
      </w:r>
    </w:p>
    <w:p w14:paraId="07F9F35A" w14:textId="77777777" w:rsidR="006A386E" w:rsidRDefault="006A386E" w:rsidP="006A386E">
      <w:r>
        <w:t>If delegation is not recognised or harmonised across EU member states or third-country regimes, firms may face conflicting obligations or duplicative reporting requirements.</w:t>
      </w:r>
    </w:p>
    <w:p w14:paraId="1AF970A8" w14:textId="77777777" w:rsidR="006A386E" w:rsidRDefault="006A386E" w:rsidP="006A386E"/>
    <w:p w14:paraId="04BEB89B" w14:textId="6E638FE8" w:rsidR="00926BDA" w:rsidRDefault="006A386E" w:rsidP="006A386E">
      <w:r w:rsidRPr="001D1C6C">
        <w:rPr>
          <w:b/>
          <w:bCs/>
        </w:rPr>
        <w:t>Mitigation</w:t>
      </w:r>
      <w:r>
        <w:t>: ESMA should work with national regulators and international bodies to promote mutual recognition and alignment of delegation frameworks.</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766D4117" w14:textId="64BD2C17" w:rsidR="00926BDA" w:rsidRDefault="00C24F39" w:rsidP="00926BDA">
      <w:permStart w:id="16780711" w:edGrp="everyone"/>
      <w:r>
        <w:t>While in</w:t>
      </w:r>
      <w:r w:rsidRPr="00C24F39">
        <w:t xml:space="preserve"> theory </w:t>
      </w:r>
      <w:r>
        <w:t>option 2b has the largest</w:t>
      </w:r>
      <w:r w:rsidRPr="00C24F39">
        <w:t xml:space="preserve"> burden reduction, </w:t>
      </w:r>
      <w:r w:rsidR="000A3D94">
        <w:t xml:space="preserve">it comes with a </w:t>
      </w:r>
      <w:r w:rsidRPr="00C24F39">
        <w:t xml:space="preserve">materially higher complexity and risk. </w:t>
      </w:r>
      <w:r w:rsidR="004B6D38">
        <w:t xml:space="preserve">The </w:t>
      </w:r>
      <w:r w:rsidRPr="00C24F39">
        <w:t>IA does not support 2b at this stage.</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4183663D" w14:textId="506620B1" w:rsidR="00926BDA" w:rsidRDefault="00C928E7" w:rsidP="00926BDA">
      <w:permStart w:id="1489376342" w:edGrp="everyone"/>
      <w:r>
        <w:t>Option 2b has a</w:t>
      </w:r>
      <w:r w:rsidR="004B6D38">
        <w:t xml:space="preserve"> ve</w:t>
      </w:r>
      <w:r w:rsidR="00C24F39">
        <w:t xml:space="preserve">ry long time horizon, </w:t>
      </w:r>
      <w:r w:rsidR="004C11B7">
        <w:t xml:space="preserve">is </w:t>
      </w:r>
      <w:r w:rsidR="00C24F39">
        <w:t xml:space="preserve">extremely complex with many touch points, </w:t>
      </w:r>
      <w:r w:rsidR="004C11B7">
        <w:t xml:space="preserve">and would require </w:t>
      </w:r>
      <w:r w:rsidR="00C24F39">
        <w:t>cross regime law changes.</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45234655" w14:textId="5D48CD8A" w:rsidR="00926BDA" w:rsidRDefault="00103DDB" w:rsidP="00926BDA">
      <w:permStart w:id="1849847968" w:edGrp="everyone"/>
      <w:r>
        <w:t>Please see Q12 &amp; Q13</w:t>
      </w:r>
      <w:r w:rsidR="00C24F39" w:rsidRPr="00C24F39">
        <w:t>.</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53069A83" w14:textId="0FC1AE6E" w:rsidR="00926BDA" w:rsidRDefault="00C24F39" w:rsidP="00926BDA">
      <w:permStart w:id="695482675" w:edGrp="everyone"/>
      <w:r w:rsidRPr="00C24F39">
        <w:t xml:space="preserve">Option 1a, with single‑sided reporting, a data dictionary, and a </w:t>
      </w:r>
      <w:r>
        <w:t xml:space="preserve">well structured </w:t>
      </w:r>
      <w:r w:rsidRPr="00C24F39">
        <w:t>model. This path gives the fastest and most certain burden reduction.</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07469BB7" w14:textId="6BBAF700" w:rsidR="00926BDA" w:rsidRDefault="00C24F39" w:rsidP="00926BDA">
      <w:permStart w:id="1784418006" w:edGrp="everyone"/>
      <w:r>
        <w:t xml:space="preserve">The </w:t>
      </w:r>
      <w:r w:rsidRPr="00C24F39">
        <w:t>IA supports a phased pathway to Option 1a first (scope delineation + one‑sided reporting + data dictionary). Once benefits are realised, ESMA could assess further centralisation elements</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lastRenderedPageBreak/>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67546B02" w14:textId="5622239E" w:rsidR="00926BDA" w:rsidRDefault="00176931" w:rsidP="00926BDA">
      <w:permStart w:id="1438851636" w:edGrp="everyone"/>
      <w:r w:rsidRPr="00176931">
        <w:t xml:space="preserve">Yes. </w:t>
      </w:r>
      <w:r>
        <w:t>Under option 1a, a</w:t>
      </w:r>
      <w:r w:rsidRPr="00176931">
        <w:t>fter single‑sided is established, move towards single submission to ESMA with authority access, eliminating multi‑submission. This keeps the operating model simple for firms while preserving information scope</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33B78B8E" w14:textId="39B1985E" w:rsidR="00926BDA" w:rsidRDefault="00176931" w:rsidP="00926BDA">
      <w:permStart w:id="1962436404" w:edGrp="everyone"/>
      <w:r w:rsidRPr="00176931">
        <w:t>Pros: venue data are timely, structured, and could reduce duplication for firms trading on‑venue.</w:t>
      </w:r>
      <w:r>
        <w:t xml:space="preserve"> </w:t>
      </w:r>
    </w:p>
    <w:p w14:paraId="41639185" w14:textId="73973319" w:rsidR="00176931" w:rsidRDefault="00176931" w:rsidP="00926BDA">
      <w:r>
        <w:t>Cons: Cross regime alignment needed. Venue cost increases ultimately paid for by users.</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1A3BE8DE" w14:textId="73700C36" w:rsidR="00926BDA" w:rsidRDefault="00176931" w:rsidP="00926BDA">
      <w:permStart w:id="105197077" w:edGrp="everyone"/>
      <w:r>
        <w:t xml:space="preserve">We support this. </w:t>
      </w:r>
      <w:r w:rsidRPr="00176931">
        <w:t xml:space="preserve">Direct reporting to ESMA with controlled, </w:t>
      </w:r>
      <w:r>
        <w:t>pertinent</w:t>
      </w:r>
      <w:r w:rsidRPr="00176931">
        <w:t xml:space="preserve"> access for EU and national authorities should lower cost, improve consistency, and enhance analytics</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18F148C1" w14:textId="4BFA5028" w:rsidR="00926BDA" w:rsidRDefault="00B8753D" w:rsidP="00926BDA">
      <w:permStart w:id="817709938" w:edGrp="everyone"/>
      <w:r>
        <w:t xml:space="preserve">Any such change should be for the Benefit of a </w:t>
      </w:r>
      <w:r w:rsidR="003B4B6F">
        <w:t xml:space="preserve">Healthy, </w:t>
      </w:r>
      <w:r>
        <w:t>Robust, Streamlined Capital Market.</w:t>
      </w:r>
      <w:r>
        <w:t xml:space="preserve"> </w:t>
      </w:r>
      <w:r w:rsidR="00176931">
        <w:t xml:space="preserve">The solution should bring simplification and reduce complexity. There will be a single known workflow across NCAs, lower duplication, better cross market analysis and reduce costs. Audit assurances and best practice should be implemented across the industry which will reduce the burden of reporting </w:t>
      </w:r>
      <w:r w:rsidR="005C18C6">
        <w:t>and allow firms to rework their systems from the ground up.</w:t>
      </w:r>
      <w:r w:rsidR="005C18C6">
        <w:br/>
      </w:r>
    </w:p>
    <w:p w14:paraId="06EF5D8E" w14:textId="7751F0B4" w:rsidR="005C18C6" w:rsidRDefault="005C18C6" w:rsidP="00926BDA">
      <w:r>
        <w:t xml:space="preserve">Cons include implementation </w:t>
      </w:r>
      <w:r w:rsidR="001F2572">
        <w:t>costs and</w:t>
      </w:r>
      <w:r>
        <w:t xml:space="preserve"> establishing a new technical framework.</w:t>
      </w:r>
      <w:r w:rsidR="002803A9">
        <w:t xml:space="preserve"> </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1E85F6A9" w14:textId="2D28D06B" w:rsidR="00926BDA" w:rsidRDefault="005A13A5" w:rsidP="00926BDA">
      <w:permStart w:id="993723206" w:edGrp="everyone"/>
      <w:r>
        <w:t>The IA has no view</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6E39AACB" w14:textId="24997A21" w:rsidR="00926BDA" w:rsidRDefault="005A13A5" w:rsidP="00926BDA">
      <w:permStart w:id="1652326327" w:edGrp="everyone"/>
      <w:r w:rsidRPr="005A13A5">
        <w:t xml:space="preserve">Costs arise from counterparty reconciliation, failure‑chasing, exception management, and duplicated fixes. </w:t>
      </w:r>
      <w:r w:rsidR="00735CA0">
        <w:t>The IA supports a m</w:t>
      </w:r>
      <w:r w:rsidRPr="005A13A5">
        <w:t>ove to one‑sided reporting with audit‑based controls (as used in other jurisdictions) and supervisory follow‑ups when needed. This reduces cost while maintaining quality; yes, reporting should be strictly one‑sided.</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162ABCEF" w14:textId="5C4D03AC" w:rsidR="00926BDA" w:rsidRDefault="008D4518" w:rsidP="00926BDA">
      <w:permStart w:id="806124853" w:edGrp="everyone"/>
      <w:r>
        <w:t>Adjusting</w:t>
      </w:r>
      <w:r w:rsidR="005A13A5" w:rsidRPr="005A13A5">
        <w:t xml:space="preserve"> frequency to field complexity and proven supervisory use. For complex, low‑volatility fields, lower frequency reduces noise and error rates under a single‑sided model while preserving analytical value.</w:t>
      </w:r>
      <w:r>
        <w:t xml:space="preserve"> Simplicity advocacy is key in this regard.</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0138C76D" w14:textId="29F6D553" w:rsidR="00926BDA" w:rsidRDefault="008D4518" w:rsidP="00926BDA">
      <w:permStart w:id="1360161894" w:edGrp="everyone"/>
      <w:r>
        <w:t>S</w:t>
      </w:r>
      <w:r w:rsidRPr="008D4518">
        <w:t xml:space="preserve">implified templates for low‑risk </w:t>
      </w:r>
      <w:r w:rsidR="00CE47D1" w:rsidRPr="008D4518">
        <w:t>firms or</w:t>
      </w:r>
      <w:r>
        <w:t xml:space="preserve"> remove the reporting requirement entirely for smaller firms</w:t>
      </w:r>
      <w:r w:rsidRPr="008D4518">
        <w:t>. These are most effective when combined with single‑sided to ensure predictability and lower barriers for smaller firms.</w:t>
      </w:r>
      <w:r w:rsidR="00311373">
        <w:t xml:space="preserve"> </w:t>
      </w:r>
      <w:permEnd w:id="1360161894"/>
      <w:r w:rsidR="00926BDA">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lastRenderedPageBreak/>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483C6835" w14:textId="77777777" w:rsidR="00C6383F" w:rsidRDefault="00C6383F" w:rsidP="00C6383F">
      <w:permStart w:id="1181963014" w:edGrp="everyone"/>
      <w:r>
        <w:t>The IA has no view</w:t>
      </w:r>
    </w:p>
    <w:p w14:paraId="7BFB6A77" w14:textId="547FDC89" w:rsidR="00926BDA" w:rsidRDefault="00926BDA" w:rsidP="00926BDA"/>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140104F8" w:rsidR="00926BDA" w:rsidRDefault="00C6383F" w:rsidP="00926BDA">
      <w:permStart w:id="1743740379" w:edGrp="everyone"/>
      <w:r>
        <w:t>The IA has no view</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0BB30347" w14:textId="77777777" w:rsidR="00B27949" w:rsidRDefault="00B27949" w:rsidP="00B27949">
      <w:permStart w:id="1620378332" w:edGrp="everyone"/>
      <w:r>
        <w:t>The IA has no view</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4CA150D7" w:rsidR="00926BDA" w:rsidRDefault="00C6383F" w:rsidP="00926BDA">
      <w:permStart w:id="443381358" w:edGrp="everyone"/>
      <w:r>
        <w:t>The IA has no view</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lastRenderedPageBreak/>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0D39D81F" w14:textId="2B85F6B7" w:rsidR="00926BDA" w:rsidRDefault="00C6383F" w:rsidP="00926BDA">
      <w:permStart w:id="1172965324" w:edGrp="everyone"/>
      <w:r>
        <w:t>The IA has no view</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5F1EAC10" w14:textId="318796C8" w:rsidR="00926BDA" w:rsidRDefault="00C6383F" w:rsidP="00926BDA">
      <w:permStart w:id="34827801" w:edGrp="everyone"/>
      <w:r>
        <w:t>The IA has no view</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499B" w14:textId="77777777" w:rsidR="00851EF9" w:rsidRDefault="00851EF9" w:rsidP="007E7997">
      <w:r>
        <w:separator/>
      </w:r>
    </w:p>
  </w:endnote>
  <w:endnote w:type="continuationSeparator" w:id="0">
    <w:p w14:paraId="3507DD56" w14:textId="77777777" w:rsidR="00851EF9" w:rsidRDefault="00851EF9" w:rsidP="007E7997">
      <w:r>
        <w:continuationSeparator/>
      </w:r>
    </w:p>
  </w:endnote>
  <w:endnote w:type="continuationNotice" w:id="1">
    <w:p w14:paraId="17859F8F" w14:textId="77777777" w:rsidR="00851EF9" w:rsidRDefault="00851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BD037" w14:textId="77777777" w:rsidR="00851EF9" w:rsidRDefault="00851EF9" w:rsidP="007E7997">
      <w:r>
        <w:separator/>
      </w:r>
    </w:p>
  </w:footnote>
  <w:footnote w:type="continuationSeparator" w:id="0">
    <w:p w14:paraId="6462C88C" w14:textId="77777777" w:rsidR="00851EF9" w:rsidRDefault="00851EF9" w:rsidP="007E7997">
      <w:r>
        <w:continuationSeparator/>
      </w:r>
    </w:p>
  </w:footnote>
  <w:footnote w:type="continuationNotice" w:id="1">
    <w:p w14:paraId="745FC257" w14:textId="77777777" w:rsidR="00851EF9" w:rsidRDefault="00851E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AE1F5"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BE0936"/>
    <w:multiLevelType w:val="hybridMultilevel"/>
    <w:tmpl w:val="7020F28A"/>
    <w:lvl w:ilvl="0" w:tplc="4C5A821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2D6126E5"/>
    <w:multiLevelType w:val="multilevel"/>
    <w:tmpl w:val="9BA6B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6"/>
  </w:num>
  <w:num w:numId="4" w16cid:durableId="1880320868">
    <w:abstractNumId w:val="4"/>
  </w:num>
  <w:num w:numId="5" w16cid:durableId="290864581">
    <w:abstractNumId w:val="15"/>
  </w:num>
  <w:num w:numId="6" w16cid:durableId="952590553">
    <w:abstractNumId w:val="28"/>
  </w:num>
  <w:num w:numId="7" w16cid:durableId="1159686949">
    <w:abstractNumId w:val="14"/>
  </w:num>
  <w:num w:numId="8" w16cid:durableId="765269892">
    <w:abstractNumId w:val="6"/>
  </w:num>
  <w:num w:numId="9" w16cid:durableId="1301960395">
    <w:abstractNumId w:val="10"/>
  </w:num>
  <w:num w:numId="10" w16cid:durableId="1228616548">
    <w:abstractNumId w:val="9"/>
  </w:num>
  <w:num w:numId="11" w16cid:durableId="2051027016">
    <w:abstractNumId w:val="8"/>
  </w:num>
  <w:num w:numId="12" w16cid:durableId="83380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9"/>
  </w:num>
  <w:num w:numId="15" w16cid:durableId="986476960">
    <w:abstractNumId w:val="23"/>
  </w:num>
  <w:num w:numId="16" w16cid:durableId="398749299">
    <w:abstractNumId w:val="27"/>
  </w:num>
  <w:num w:numId="17" w16cid:durableId="14076118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4"/>
  </w:num>
  <w:num w:numId="19" w16cid:durableId="558588771">
    <w:abstractNumId w:val="28"/>
  </w:num>
  <w:num w:numId="20" w16cid:durableId="1306933315">
    <w:abstractNumId w:val="12"/>
  </w:num>
  <w:num w:numId="21" w16cid:durableId="1623876054">
    <w:abstractNumId w:val="25"/>
  </w:num>
  <w:num w:numId="22" w16cid:durableId="783383837">
    <w:abstractNumId w:val="16"/>
  </w:num>
  <w:num w:numId="23" w16cid:durableId="2112964618">
    <w:abstractNumId w:val="22"/>
  </w:num>
  <w:num w:numId="24" w16cid:durableId="1958565453">
    <w:abstractNumId w:val="0"/>
  </w:num>
  <w:num w:numId="25" w16cid:durableId="1372725395">
    <w:abstractNumId w:val="20"/>
  </w:num>
  <w:num w:numId="26" w16cid:durableId="1686445133">
    <w:abstractNumId w:val="18"/>
  </w:num>
  <w:num w:numId="27" w16cid:durableId="1247768697">
    <w:abstractNumId w:val="11"/>
  </w:num>
  <w:num w:numId="28" w16cid:durableId="954170948">
    <w:abstractNumId w:val="1"/>
  </w:num>
  <w:num w:numId="29" w16cid:durableId="837424337">
    <w:abstractNumId w:val="19"/>
  </w:num>
  <w:num w:numId="30" w16cid:durableId="299657983">
    <w:abstractNumId w:val="5"/>
  </w:num>
  <w:num w:numId="31" w16cid:durableId="699822250">
    <w:abstractNumId w:val="17"/>
  </w:num>
  <w:num w:numId="32" w16cid:durableId="730466929">
    <w:abstractNumId w:val="13"/>
    <w:lvlOverride w:ilvl="0">
      <w:startOverride w:val="1"/>
    </w:lvlOverride>
  </w:num>
  <w:num w:numId="33" w16cid:durableId="552498262">
    <w:abstractNumId w:val="21"/>
  </w:num>
  <w:num w:numId="34" w16cid:durableId="1829132647">
    <w:abstractNumId w:val="13"/>
    <w:lvlOverride w:ilvl="0">
      <w:startOverride w:val="1"/>
    </w:lvlOverride>
  </w:num>
  <w:num w:numId="35" w16cid:durableId="1915964461">
    <w:abstractNumId w:val="13"/>
    <w:lvlOverride w:ilvl="0">
      <w:startOverride w:val="1"/>
    </w:lvlOverride>
  </w:num>
  <w:num w:numId="36" w16cid:durableId="1385182617">
    <w:abstractNumId w:val="13"/>
    <w:lvlOverride w:ilvl="0">
      <w:startOverride w:val="1"/>
    </w:lvlOverride>
  </w:num>
  <w:num w:numId="37" w16cid:durableId="1891648539">
    <w:abstractNumId w:val="7"/>
  </w:num>
  <w:num w:numId="38" w16cid:durableId="88718421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4CE3"/>
    <w:rsid w:val="0001633D"/>
    <w:rsid w:val="0001726F"/>
    <w:rsid w:val="00020098"/>
    <w:rsid w:val="00020300"/>
    <w:rsid w:val="000207DE"/>
    <w:rsid w:val="00021A9A"/>
    <w:rsid w:val="00022ADA"/>
    <w:rsid w:val="00026327"/>
    <w:rsid w:val="00027EC9"/>
    <w:rsid w:val="000310AB"/>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4EA4"/>
    <w:rsid w:val="00086F71"/>
    <w:rsid w:val="000921E6"/>
    <w:rsid w:val="00092D6C"/>
    <w:rsid w:val="00093239"/>
    <w:rsid w:val="000A03C9"/>
    <w:rsid w:val="000A12CC"/>
    <w:rsid w:val="000A1800"/>
    <w:rsid w:val="000A2738"/>
    <w:rsid w:val="000A2DF1"/>
    <w:rsid w:val="000A3D10"/>
    <w:rsid w:val="000A3D94"/>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4451"/>
    <w:rsid w:val="000E6946"/>
    <w:rsid w:val="000F0169"/>
    <w:rsid w:val="000F0951"/>
    <w:rsid w:val="000F2598"/>
    <w:rsid w:val="000F29C0"/>
    <w:rsid w:val="000F2BE6"/>
    <w:rsid w:val="000F474D"/>
    <w:rsid w:val="000F5C90"/>
    <w:rsid w:val="000F5EA6"/>
    <w:rsid w:val="000F7998"/>
    <w:rsid w:val="001000D7"/>
    <w:rsid w:val="00100ADC"/>
    <w:rsid w:val="00103DDB"/>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06F8"/>
    <w:rsid w:val="001508EB"/>
    <w:rsid w:val="001522DD"/>
    <w:rsid w:val="00155BAB"/>
    <w:rsid w:val="001608B2"/>
    <w:rsid w:val="00160FE0"/>
    <w:rsid w:val="00162574"/>
    <w:rsid w:val="00162722"/>
    <w:rsid w:val="00163AB3"/>
    <w:rsid w:val="00165047"/>
    <w:rsid w:val="00165FF8"/>
    <w:rsid w:val="0016669F"/>
    <w:rsid w:val="00170AD6"/>
    <w:rsid w:val="001735B8"/>
    <w:rsid w:val="00176931"/>
    <w:rsid w:val="00177AA7"/>
    <w:rsid w:val="00180917"/>
    <w:rsid w:val="00180E53"/>
    <w:rsid w:val="00181CB7"/>
    <w:rsid w:val="0018606F"/>
    <w:rsid w:val="001862A5"/>
    <w:rsid w:val="00186A70"/>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19F5"/>
    <w:rsid w:val="001D1C6C"/>
    <w:rsid w:val="001D3625"/>
    <w:rsid w:val="001D385A"/>
    <w:rsid w:val="001D3AC4"/>
    <w:rsid w:val="001D6B39"/>
    <w:rsid w:val="001E1ECD"/>
    <w:rsid w:val="001E3E0D"/>
    <w:rsid w:val="001E49B0"/>
    <w:rsid w:val="001E4A45"/>
    <w:rsid w:val="001E5AB7"/>
    <w:rsid w:val="001E5E30"/>
    <w:rsid w:val="001F0479"/>
    <w:rsid w:val="001F1F10"/>
    <w:rsid w:val="001F23C9"/>
    <w:rsid w:val="001F2572"/>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26E41"/>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3B19"/>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75D8D"/>
    <w:rsid w:val="002803A9"/>
    <w:rsid w:val="00280B40"/>
    <w:rsid w:val="00281456"/>
    <w:rsid w:val="00282B3A"/>
    <w:rsid w:val="00282D38"/>
    <w:rsid w:val="00282FBE"/>
    <w:rsid w:val="00284802"/>
    <w:rsid w:val="00284AF2"/>
    <w:rsid w:val="0028536B"/>
    <w:rsid w:val="00285CED"/>
    <w:rsid w:val="00285EB5"/>
    <w:rsid w:val="00287C8F"/>
    <w:rsid w:val="00290893"/>
    <w:rsid w:val="002917B9"/>
    <w:rsid w:val="00291A55"/>
    <w:rsid w:val="00291D27"/>
    <w:rsid w:val="0029394C"/>
    <w:rsid w:val="002A13B0"/>
    <w:rsid w:val="002A2A39"/>
    <w:rsid w:val="002A2C91"/>
    <w:rsid w:val="002A6C21"/>
    <w:rsid w:val="002A780E"/>
    <w:rsid w:val="002B144C"/>
    <w:rsid w:val="002B1BC6"/>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6279"/>
    <w:rsid w:val="00300F55"/>
    <w:rsid w:val="003013B7"/>
    <w:rsid w:val="00301993"/>
    <w:rsid w:val="00301E55"/>
    <w:rsid w:val="00307397"/>
    <w:rsid w:val="003101EF"/>
    <w:rsid w:val="00311373"/>
    <w:rsid w:val="00312BDD"/>
    <w:rsid w:val="00314117"/>
    <w:rsid w:val="00317EDF"/>
    <w:rsid w:val="00322B55"/>
    <w:rsid w:val="003279E7"/>
    <w:rsid w:val="00327B62"/>
    <w:rsid w:val="00331FE9"/>
    <w:rsid w:val="0033324D"/>
    <w:rsid w:val="0033587C"/>
    <w:rsid w:val="0033696D"/>
    <w:rsid w:val="00336BF9"/>
    <w:rsid w:val="003371E8"/>
    <w:rsid w:val="0033742A"/>
    <w:rsid w:val="00337471"/>
    <w:rsid w:val="00340647"/>
    <w:rsid w:val="0034151D"/>
    <w:rsid w:val="00342B5B"/>
    <w:rsid w:val="00343532"/>
    <w:rsid w:val="0034435C"/>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1FAA"/>
    <w:rsid w:val="00372615"/>
    <w:rsid w:val="00372EA3"/>
    <w:rsid w:val="0037311D"/>
    <w:rsid w:val="0037358E"/>
    <w:rsid w:val="00373A3C"/>
    <w:rsid w:val="00373AB8"/>
    <w:rsid w:val="00373FCF"/>
    <w:rsid w:val="00374193"/>
    <w:rsid w:val="00375491"/>
    <w:rsid w:val="00376233"/>
    <w:rsid w:val="00380B30"/>
    <w:rsid w:val="00381784"/>
    <w:rsid w:val="00381EB0"/>
    <w:rsid w:val="00382A72"/>
    <w:rsid w:val="00382CA6"/>
    <w:rsid w:val="00382EBA"/>
    <w:rsid w:val="0038331A"/>
    <w:rsid w:val="0038635D"/>
    <w:rsid w:val="0039135B"/>
    <w:rsid w:val="00395276"/>
    <w:rsid w:val="003A34E7"/>
    <w:rsid w:val="003A3CB1"/>
    <w:rsid w:val="003A3D55"/>
    <w:rsid w:val="003A5CC4"/>
    <w:rsid w:val="003A73A4"/>
    <w:rsid w:val="003B102E"/>
    <w:rsid w:val="003B26BA"/>
    <w:rsid w:val="003B4B6F"/>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5413"/>
    <w:rsid w:val="0040743A"/>
    <w:rsid w:val="00407623"/>
    <w:rsid w:val="00407751"/>
    <w:rsid w:val="00407A74"/>
    <w:rsid w:val="004114D5"/>
    <w:rsid w:val="00414210"/>
    <w:rsid w:val="00414DB4"/>
    <w:rsid w:val="004159DB"/>
    <w:rsid w:val="004171F5"/>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49F6"/>
    <w:rsid w:val="00465EAA"/>
    <w:rsid w:val="004674CC"/>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B6D38"/>
    <w:rsid w:val="004C0A30"/>
    <w:rsid w:val="004C11B7"/>
    <w:rsid w:val="004C357C"/>
    <w:rsid w:val="004C3D18"/>
    <w:rsid w:val="004D19BD"/>
    <w:rsid w:val="004D2D3F"/>
    <w:rsid w:val="004D42B1"/>
    <w:rsid w:val="004D526F"/>
    <w:rsid w:val="004E0583"/>
    <w:rsid w:val="004E19C0"/>
    <w:rsid w:val="004E1C54"/>
    <w:rsid w:val="004E21FE"/>
    <w:rsid w:val="004E2C37"/>
    <w:rsid w:val="004E5285"/>
    <w:rsid w:val="004F0CF3"/>
    <w:rsid w:val="004F5740"/>
    <w:rsid w:val="004F58C9"/>
    <w:rsid w:val="005028B9"/>
    <w:rsid w:val="00503A3F"/>
    <w:rsid w:val="00505E17"/>
    <w:rsid w:val="00511A59"/>
    <w:rsid w:val="00511C3B"/>
    <w:rsid w:val="00513DA2"/>
    <w:rsid w:val="00514440"/>
    <w:rsid w:val="005166C3"/>
    <w:rsid w:val="00520F7C"/>
    <w:rsid w:val="00523974"/>
    <w:rsid w:val="00526E5D"/>
    <w:rsid w:val="005273F0"/>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100"/>
    <w:rsid w:val="00575DCC"/>
    <w:rsid w:val="00576AAD"/>
    <w:rsid w:val="005821B0"/>
    <w:rsid w:val="0059175F"/>
    <w:rsid w:val="00591AAC"/>
    <w:rsid w:val="00595F08"/>
    <w:rsid w:val="00595FBE"/>
    <w:rsid w:val="005A13A5"/>
    <w:rsid w:val="005A1C55"/>
    <w:rsid w:val="005A4636"/>
    <w:rsid w:val="005A5EF1"/>
    <w:rsid w:val="005A70C8"/>
    <w:rsid w:val="005A71C4"/>
    <w:rsid w:val="005B169D"/>
    <w:rsid w:val="005B467C"/>
    <w:rsid w:val="005B4A69"/>
    <w:rsid w:val="005B4ACA"/>
    <w:rsid w:val="005B6B12"/>
    <w:rsid w:val="005C18C6"/>
    <w:rsid w:val="005C19E9"/>
    <w:rsid w:val="005C2DBC"/>
    <w:rsid w:val="005C5F13"/>
    <w:rsid w:val="005C65F9"/>
    <w:rsid w:val="005C6B0E"/>
    <w:rsid w:val="005C7E1F"/>
    <w:rsid w:val="005D1B9E"/>
    <w:rsid w:val="005D1F6B"/>
    <w:rsid w:val="005D2DE7"/>
    <w:rsid w:val="005D331C"/>
    <w:rsid w:val="005D54DC"/>
    <w:rsid w:val="005D6355"/>
    <w:rsid w:val="005D7AAF"/>
    <w:rsid w:val="005D7EA7"/>
    <w:rsid w:val="005E0C59"/>
    <w:rsid w:val="005E18DE"/>
    <w:rsid w:val="005E1DA3"/>
    <w:rsid w:val="005E306B"/>
    <w:rsid w:val="005E3669"/>
    <w:rsid w:val="005E53D0"/>
    <w:rsid w:val="005E5785"/>
    <w:rsid w:val="005E6098"/>
    <w:rsid w:val="005E7969"/>
    <w:rsid w:val="005F0681"/>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27788"/>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1363"/>
    <w:rsid w:val="00672780"/>
    <w:rsid w:val="00672842"/>
    <w:rsid w:val="006745B0"/>
    <w:rsid w:val="00676CFC"/>
    <w:rsid w:val="00677133"/>
    <w:rsid w:val="00681482"/>
    <w:rsid w:val="00682205"/>
    <w:rsid w:val="00687BF0"/>
    <w:rsid w:val="006904CF"/>
    <w:rsid w:val="006912FB"/>
    <w:rsid w:val="00695AF2"/>
    <w:rsid w:val="00696A2B"/>
    <w:rsid w:val="00696BD5"/>
    <w:rsid w:val="006A04AE"/>
    <w:rsid w:val="006A0AE4"/>
    <w:rsid w:val="006A172D"/>
    <w:rsid w:val="006A23F3"/>
    <w:rsid w:val="006A2CF3"/>
    <w:rsid w:val="006A386E"/>
    <w:rsid w:val="006A5047"/>
    <w:rsid w:val="006A5E48"/>
    <w:rsid w:val="006A7A10"/>
    <w:rsid w:val="006A7E17"/>
    <w:rsid w:val="006B0DA4"/>
    <w:rsid w:val="006B1B6B"/>
    <w:rsid w:val="006B2C57"/>
    <w:rsid w:val="006B391B"/>
    <w:rsid w:val="006B79E0"/>
    <w:rsid w:val="006C0B2D"/>
    <w:rsid w:val="006C1633"/>
    <w:rsid w:val="006C3B5A"/>
    <w:rsid w:val="006C5BF8"/>
    <w:rsid w:val="006C65D9"/>
    <w:rsid w:val="006C791B"/>
    <w:rsid w:val="006C7CCB"/>
    <w:rsid w:val="006D2EE6"/>
    <w:rsid w:val="006D3F14"/>
    <w:rsid w:val="006D3FDF"/>
    <w:rsid w:val="006D4449"/>
    <w:rsid w:val="006D4A25"/>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5CA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0EB0"/>
    <w:rsid w:val="00773465"/>
    <w:rsid w:val="007741C3"/>
    <w:rsid w:val="00777BE0"/>
    <w:rsid w:val="00777CFF"/>
    <w:rsid w:val="00780923"/>
    <w:rsid w:val="00781265"/>
    <w:rsid w:val="0078131F"/>
    <w:rsid w:val="007844C6"/>
    <w:rsid w:val="0078616E"/>
    <w:rsid w:val="007876EF"/>
    <w:rsid w:val="00790306"/>
    <w:rsid w:val="007927E6"/>
    <w:rsid w:val="00793573"/>
    <w:rsid w:val="0079364C"/>
    <w:rsid w:val="00793C6C"/>
    <w:rsid w:val="007942B9"/>
    <w:rsid w:val="0079574F"/>
    <w:rsid w:val="00796C7F"/>
    <w:rsid w:val="00797E0C"/>
    <w:rsid w:val="007A160F"/>
    <w:rsid w:val="007A48BC"/>
    <w:rsid w:val="007A51D4"/>
    <w:rsid w:val="007A5EF0"/>
    <w:rsid w:val="007B0BC1"/>
    <w:rsid w:val="007B354B"/>
    <w:rsid w:val="007B4FC3"/>
    <w:rsid w:val="007B73F3"/>
    <w:rsid w:val="007B7EE5"/>
    <w:rsid w:val="007C1C28"/>
    <w:rsid w:val="007C2A2C"/>
    <w:rsid w:val="007C3577"/>
    <w:rsid w:val="007C5E08"/>
    <w:rsid w:val="007C5F2A"/>
    <w:rsid w:val="007C660A"/>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1970"/>
    <w:rsid w:val="00812BE2"/>
    <w:rsid w:val="00813059"/>
    <w:rsid w:val="008157C8"/>
    <w:rsid w:val="00815C43"/>
    <w:rsid w:val="008173E2"/>
    <w:rsid w:val="008201C3"/>
    <w:rsid w:val="00820422"/>
    <w:rsid w:val="00820655"/>
    <w:rsid w:val="00821313"/>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1EF9"/>
    <w:rsid w:val="00853121"/>
    <w:rsid w:val="008555E4"/>
    <w:rsid w:val="00864124"/>
    <w:rsid w:val="00864E60"/>
    <w:rsid w:val="00866A09"/>
    <w:rsid w:val="00871163"/>
    <w:rsid w:val="00871241"/>
    <w:rsid w:val="008712BF"/>
    <w:rsid w:val="00872209"/>
    <w:rsid w:val="008731EB"/>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3F90"/>
    <w:rsid w:val="008C4B2B"/>
    <w:rsid w:val="008C5E91"/>
    <w:rsid w:val="008C686D"/>
    <w:rsid w:val="008C6B18"/>
    <w:rsid w:val="008C75E6"/>
    <w:rsid w:val="008C767A"/>
    <w:rsid w:val="008C7A73"/>
    <w:rsid w:val="008D0569"/>
    <w:rsid w:val="008D28FD"/>
    <w:rsid w:val="008D4518"/>
    <w:rsid w:val="008D59F9"/>
    <w:rsid w:val="008D5C28"/>
    <w:rsid w:val="008D5D4A"/>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5335"/>
    <w:rsid w:val="00906DC4"/>
    <w:rsid w:val="00911A61"/>
    <w:rsid w:val="00914478"/>
    <w:rsid w:val="0091457F"/>
    <w:rsid w:val="0091729E"/>
    <w:rsid w:val="00922543"/>
    <w:rsid w:val="0092505F"/>
    <w:rsid w:val="00926BDA"/>
    <w:rsid w:val="00931615"/>
    <w:rsid w:val="0093261E"/>
    <w:rsid w:val="00937B82"/>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1BED"/>
    <w:rsid w:val="00992611"/>
    <w:rsid w:val="00994303"/>
    <w:rsid w:val="00995019"/>
    <w:rsid w:val="0099526D"/>
    <w:rsid w:val="00995AED"/>
    <w:rsid w:val="00996C8B"/>
    <w:rsid w:val="009A0054"/>
    <w:rsid w:val="009A0F6E"/>
    <w:rsid w:val="009A2D9C"/>
    <w:rsid w:val="009A38D9"/>
    <w:rsid w:val="009A5548"/>
    <w:rsid w:val="009A72CC"/>
    <w:rsid w:val="009B25C1"/>
    <w:rsid w:val="009B26DB"/>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6579"/>
    <w:rsid w:val="00A22C70"/>
    <w:rsid w:val="00A241CA"/>
    <w:rsid w:val="00A24465"/>
    <w:rsid w:val="00A24843"/>
    <w:rsid w:val="00A25AB7"/>
    <w:rsid w:val="00A26D48"/>
    <w:rsid w:val="00A31C23"/>
    <w:rsid w:val="00A31C7C"/>
    <w:rsid w:val="00A367AA"/>
    <w:rsid w:val="00A378DF"/>
    <w:rsid w:val="00A37AC6"/>
    <w:rsid w:val="00A409C2"/>
    <w:rsid w:val="00A410CC"/>
    <w:rsid w:val="00A42B43"/>
    <w:rsid w:val="00A42BD0"/>
    <w:rsid w:val="00A433DC"/>
    <w:rsid w:val="00A45A57"/>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70EE"/>
    <w:rsid w:val="00A91D91"/>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157"/>
    <w:rsid w:val="00AB7542"/>
    <w:rsid w:val="00AB7B63"/>
    <w:rsid w:val="00AC022D"/>
    <w:rsid w:val="00AC0629"/>
    <w:rsid w:val="00AC70C7"/>
    <w:rsid w:val="00AC79E0"/>
    <w:rsid w:val="00AD32CE"/>
    <w:rsid w:val="00AD515A"/>
    <w:rsid w:val="00AD5187"/>
    <w:rsid w:val="00AD6B11"/>
    <w:rsid w:val="00AD6B34"/>
    <w:rsid w:val="00AD6F90"/>
    <w:rsid w:val="00AD75B0"/>
    <w:rsid w:val="00AE0286"/>
    <w:rsid w:val="00AE247F"/>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38BE"/>
    <w:rsid w:val="00B26EBB"/>
    <w:rsid w:val="00B27499"/>
    <w:rsid w:val="00B27949"/>
    <w:rsid w:val="00B335C4"/>
    <w:rsid w:val="00B3369E"/>
    <w:rsid w:val="00B33D9A"/>
    <w:rsid w:val="00B40D81"/>
    <w:rsid w:val="00B424F5"/>
    <w:rsid w:val="00B43167"/>
    <w:rsid w:val="00B435BE"/>
    <w:rsid w:val="00B43990"/>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6BB5"/>
    <w:rsid w:val="00B8753D"/>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29C8"/>
    <w:rsid w:val="00BD3536"/>
    <w:rsid w:val="00BD37FD"/>
    <w:rsid w:val="00BD69C6"/>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50FC"/>
    <w:rsid w:val="00C16775"/>
    <w:rsid w:val="00C1698A"/>
    <w:rsid w:val="00C17150"/>
    <w:rsid w:val="00C17E6C"/>
    <w:rsid w:val="00C249CC"/>
    <w:rsid w:val="00C24E5F"/>
    <w:rsid w:val="00C24F39"/>
    <w:rsid w:val="00C255B6"/>
    <w:rsid w:val="00C262E7"/>
    <w:rsid w:val="00C26F3A"/>
    <w:rsid w:val="00C2770B"/>
    <w:rsid w:val="00C30296"/>
    <w:rsid w:val="00C3170E"/>
    <w:rsid w:val="00C31947"/>
    <w:rsid w:val="00C40053"/>
    <w:rsid w:val="00C4294D"/>
    <w:rsid w:val="00C444C8"/>
    <w:rsid w:val="00C452DD"/>
    <w:rsid w:val="00C45856"/>
    <w:rsid w:val="00C46603"/>
    <w:rsid w:val="00C5320B"/>
    <w:rsid w:val="00C54316"/>
    <w:rsid w:val="00C55208"/>
    <w:rsid w:val="00C5527D"/>
    <w:rsid w:val="00C61B1A"/>
    <w:rsid w:val="00C62A53"/>
    <w:rsid w:val="00C6383F"/>
    <w:rsid w:val="00C709F9"/>
    <w:rsid w:val="00C70FF7"/>
    <w:rsid w:val="00C73A00"/>
    <w:rsid w:val="00C73A70"/>
    <w:rsid w:val="00C76054"/>
    <w:rsid w:val="00C779A2"/>
    <w:rsid w:val="00C80546"/>
    <w:rsid w:val="00C83CAD"/>
    <w:rsid w:val="00C8419E"/>
    <w:rsid w:val="00C851D7"/>
    <w:rsid w:val="00C85C8B"/>
    <w:rsid w:val="00C865A8"/>
    <w:rsid w:val="00C867AD"/>
    <w:rsid w:val="00C87F9F"/>
    <w:rsid w:val="00C928E7"/>
    <w:rsid w:val="00C9545D"/>
    <w:rsid w:val="00C9625C"/>
    <w:rsid w:val="00C97337"/>
    <w:rsid w:val="00C978C6"/>
    <w:rsid w:val="00C97F2A"/>
    <w:rsid w:val="00C97F9B"/>
    <w:rsid w:val="00CA112D"/>
    <w:rsid w:val="00CA1F9F"/>
    <w:rsid w:val="00CA2179"/>
    <w:rsid w:val="00CA3D8A"/>
    <w:rsid w:val="00CA4A87"/>
    <w:rsid w:val="00CB0C0C"/>
    <w:rsid w:val="00CB336B"/>
    <w:rsid w:val="00CB4B3E"/>
    <w:rsid w:val="00CB50EF"/>
    <w:rsid w:val="00CB623F"/>
    <w:rsid w:val="00CB791A"/>
    <w:rsid w:val="00CB7D1B"/>
    <w:rsid w:val="00CC11DF"/>
    <w:rsid w:val="00CC1A6E"/>
    <w:rsid w:val="00CC3F62"/>
    <w:rsid w:val="00CC536E"/>
    <w:rsid w:val="00CC59DD"/>
    <w:rsid w:val="00CC7FC6"/>
    <w:rsid w:val="00CD47B2"/>
    <w:rsid w:val="00CD5AFD"/>
    <w:rsid w:val="00CD6E6D"/>
    <w:rsid w:val="00CD7091"/>
    <w:rsid w:val="00CD74EB"/>
    <w:rsid w:val="00CE47D1"/>
    <w:rsid w:val="00CE49F8"/>
    <w:rsid w:val="00CE4E1E"/>
    <w:rsid w:val="00CE5522"/>
    <w:rsid w:val="00CE66B5"/>
    <w:rsid w:val="00CF2D77"/>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2696"/>
    <w:rsid w:val="00DE314E"/>
    <w:rsid w:val="00DE4CFB"/>
    <w:rsid w:val="00DE631B"/>
    <w:rsid w:val="00DE7D8F"/>
    <w:rsid w:val="00DF045B"/>
    <w:rsid w:val="00DF0F58"/>
    <w:rsid w:val="00DF1ED8"/>
    <w:rsid w:val="00DF3785"/>
    <w:rsid w:val="00DF3D27"/>
    <w:rsid w:val="00DF6074"/>
    <w:rsid w:val="00E02239"/>
    <w:rsid w:val="00E047EC"/>
    <w:rsid w:val="00E07D42"/>
    <w:rsid w:val="00E07F64"/>
    <w:rsid w:val="00E163E9"/>
    <w:rsid w:val="00E240F5"/>
    <w:rsid w:val="00E30004"/>
    <w:rsid w:val="00E31A5B"/>
    <w:rsid w:val="00E333AC"/>
    <w:rsid w:val="00E3456B"/>
    <w:rsid w:val="00E35C16"/>
    <w:rsid w:val="00E36085"/>
    <w:rsid w:val="00E36813"/>
    <w:rsid w:val="00E42382"/>
    <w:rsid w:val="00E603DF"/>
    <w:rsid w:val="00E63745"/>
    <w:rsid w:val="00E66134"/>
    <w:rsid w:val="00E6699F"/>
    <w:rsid w:val="00E67845"/>
    <w:rsid w:val="00E67B40"/>
    <w:rsid w:val="00E703AE"/>
    <w:rsid w:val="00E72373"/>
    <w:rsid w:val="00E72C92"/>
    <w:rsid w:val="00E74A40"/>
    <w:rsid w:val="00E76AF9"/>
    <w:rsid w:val="00E84EF0"/>
    <w:rsid w:val="00E8649C"/>
    <w:rsid w:val="00E87886"/>
    <w:rsid w:val="00E87CDE"/>
    <w:rsid w:val="00E91330"/>
    <w:rsid w:val="00E91FC1"/>
    <w:rsid w:val="00E92D54"/>
    <w:rsid w:val="00E9323C"/>
    <w:rsid w:val="00E95FD8"/>
    <w:rsid w:val="00EA0283"/>
    <w:rsid w:val="00EA18E0"/>
    <w:rsid w:val="00EA357E"/>
    <w:rsid w:val="00EA5DE1"/>
    <w:rsid w:val="00EB0C86"/>
    <w:rsid w:val="00EB0E16"/>
    <w:rsid w:val="00EB1A57"/>
    <w:rsid w:val="00EB236F"/>
    <w:rsid w:val="00EB237E"/>
    <w:rsid w:val="00EB2602"/>
    <w:rsid w:val="00EC1546"/>
    <w:rsid w:val="00EC15D5"/>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25B7F"/>
    <w:rsid w:val="00F30180"/>
    <w:rsid w:val="00F31A29"/>
    <w:rsid w:val="00F3279A"/>
    <w:rsid w:val="00F37236"/>
    <w:rsid w:val="00F44634"/>
    <w:rsid w:val="00F45473"/>
    <w:rsid w:val="00F505EC"/>
    <w:rsid w:val="00F5088F"/>
    <w:rsid w:val="00F512D2"/>
    <w:rsid w:val="00F51657"/>
    <w:rsid w:val="00F5223C"/>
    <w:rsid w:val="00F55F69"/>
    <w:rsid w:val="00F57787"/>
    <w:rsid w:val="00F61E82"/>
    <w:rsid w:val="00F6243A"/>
    <w:rsid w:val="00F63323"/>
    <w:rsid w:val="00F636FE"/>
    <w:rsid w:val="00F648B2"/>
    <w:rsid w:val="00F657C8"/>
    <w:rsid w:val="00F66B6B"/>
    <w:rsid w:val="00F67EBD"/>
    <w:rsid w:val="00F70EA4"/>
    <w:rsid w:val="00F75CE4"/>
    <w:rsid w:val="00F77851"/>
    <w:rsid w:val="00F80FAB"/>
    <w:rsid w:val="00F81AAC"/>
    <w:rsid w:val="00F81E3B"/>
    <w:rsid w:val="00F827E1"/>
    <w:rsid w:val="00F856DA"/>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B12BD"/>
    <w:rsid w:val="00FB1AA5"/>
    <w:rsid w:val="00FB24ED"/>
    <w:rsid w:val="00FB29AF"/>
    <w:rsid w:val="00FB313D"/>
    <w:rsid w:val="00FB4003"/>
    <w:rsid w:val="00FB4EBA"/>
    <w:rsid w:val="00FB7086"/>
    <w:rsid w:val="00FC1B94"/>
    <w:rsid w:val="00FC3B26"/>
    <w:rsid w:val="00FC6384"/>
    <w:rsid w:val="00FC6733"/>
    <w:rsid w:val="00FD224E"/>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2B1BC6"/>
    <w:pPr>
      <w:numPr>
        <w:numId w:val="3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2B1BC6"/>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7d8b6d1-e78d-408e-8d6e-95c6e32beec2" xsi:nil="true"/>
    <lcf76f155ced4ddcb4097134ff3c332f xmlns="fc010a94-d041-42b2-b76e-c6fdd02859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CE604E7FFA6542B75648C2EDEAA8FA" ma:contentTypeVersion="14" ma:contentTypeDescription="Create a new document." ma:contentTypeScope="" ma:versionID="ba86995d5b2b776c55583bc333887adc">
  <xsd:schema xmlns:xsd="http://www.w3.org/2001/XMLSchema" xmlns:xs="http://www.w3.org/2001/XMLSchema" xmlns:p="http://schemas.microsoft.com/office/2006/metadata/properties" xmlns:ns2="fc010a94-d041-42b2-b76e-c6fdd0285935" xmlns:ns3="d7d8b6d1-e78d-408e-8d6e-95c6e32beec2" targetNamespace="http://schemas.microsoft.com/office/2006/metadata/properties" ma:root="true" ma:fieldsID="07e59bd6f45a2f339fe39067ab8d2ffd" ns2:_="" ns3:_="">
    <xsd:import namespace="fc010a94-d041-42b2-b76e-c6fdd0285935"/>
    <xsd:import namespace="d7d8b6d1-e78d-408e-8d6e-95c6e32beec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a94-d041-42b2-b76e-c6fdd0285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341f135-892c-4ab9-a4a2-5cdb862e2ab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d8b6d1-e78d-408e-8d6e-95c6e32beec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c836e8-e9e3-48f5-8b41-85a3cf52048c}" ma:internalName="TaxCatchAll" ma:showField="CatchAllData" ma:web="d7d8b6d1-e78d-408e-8d6e-95c6e32beec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d7d8b6d1-e78d-408e-8d6e-95c6e32beec2"/>
    <ds:schemaRef ds:uri="fc010a94-d041-42b2-b76e-c6fdd0285935"/>
  </ds:schemaRefs>
</ds:datastoreItem>
</file>

<file path=customXml/itemProps3.xml><?xml version="1.0" encoding="utf-8"?>
<ds:datastoreItem xmlns:ds="http://schemas.openxmlformats.org/officeDocument/2006/customXml" ds:itemID="{FF1E7066-5BB8-416C-A8E8-3D39496F9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0a94-d041-42b2-b76e-c6fdd0285935"/>
    <ds:schemaRef ds:uri="d7d8b6d1-e78d-408e-8d6e-95c6e32be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25</TotalTime>
  <Pages>14</Pages>
  <Words>3515</Words>
  <Characters>20040</Characters>
  <Application>Microsoft Office Word</Application>
  <DocSecurity>8</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23508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Jermaine Nooks</cp:lastModifiedBy>
  <cp:revision>30</cp:revision>
  <cp:lastPrinted>2017-07-24T14:47:00Z</cp:lastPrinted>
  <dcterms:created xsi:type="dcterms:W3CDTF">2025-09-19T09:38:00Z</dcterms:created>
  <dcterms:modified xsi:type="dcterms:W3CDTF">2025-09-19T10:57:00Z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0x010100C3CE604E7FFA6542B75648C2EDEAA8FA</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y fmtid="{D5CDD505-2E9C-101B-9397-08002B2CF9AE}" pid="29" name="MediaServiceImageTags">
    <vt:lpwstr/>
  </property>
  <property fmtid="{D5CDD505-2E9C-101B-9397-08002B2CF9AE}" pid="30" name="docLang">
    <vt:lpwstr>en</vt:lpwstr>
  </property>
</Properties>
</file>