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hAnsiTheme="minorHAnsi" w:cstheme="minorBidi"/>
          <w:sz w:val="20"/>
          <w:szCs w:val="20"/>
        </w:rPr>
        <w:id w:val="-973058580"/>
        <w:docPartObj>
          <w:docPartGallery w:val="Cover Pages"/>
          <w:docPartUnique/>
        </w:docPartObj>
      </w:sdtPr>
      <w:sdtEndPr>
        <w:rPr>
          <w:highlight w:val="yellow"/>
        </w:rPr>
      </w:sdtEndPr>
      <w:sdtContent>
        <w:p w14:paraId="61BFF4B7" w14:textId="77777777" w:rsidR="00AF2EF7" w:rsidRPr="00B16706" w:rsidRDefault="00AF2EF7" w:rsidP="00AF2EF7">
          <w:pPr>
            <w:spacing w:line="276" w:lineRule="auto"/>
            <w:rPr>
              <w:rFonts w:asciiTheme="minorHAnsi" w:hAnsiTheme="minorHAnsi" w:cstheme="minorHAnsi"/>
              <w:color w:val="FF0000"/>
              <w:sz w:val="20"/>
              <w:szCs w:val="20"/>
            </w:rPr>
          </w:pPr>
        </w:p>
        <w:p w14:paraId="1C1BFAE2" w14:textId="77777777" w:rsidR="00AF2EF7" w:rsidRPr="00B16706" w:rsidRDefault="00AF2EF7" w:rsidP="00AF2EF7">
          <w:pPr>
            <w:spacing w:after="120" w:line="276" w:lineRule="auto"/>
            <w:rPr>
              <w:rFonts w:asciiTheme="minorHAnsi" w:hAnsiTheme="minorHAnsi" w:cstheme="minorHAnsi"/>
              <w:sz w:val="20"/>
              <w:szCs w:val="20"/>
            </w:rPr>
          </w:pPr>
        </w:p>
        <w:p w14:paraId="787460E0" w14:textId="77777777" w:rsidR="00AF2EF7" w:rsidRPr="00B16706" w:rsidRDefault="00AF2EF7" w:rsidP="00AF2EF7">
          <w:pPr>
            <w:spacing w:line="276" w:lineRule="auto"/>
            <w:rPr>
              <w:rFonts w:asciiTheme="minorHAnsi" w:hAnsiTheme="minorHAnsi" w:cstheme="minorHAnsi"/>
              <w:sz w:val="20"/>
              <w:szCs w:val="20"/>
            </w:rPr>
          </w:pPr>
        </w:p>
        <w:p w14:paraId="23B57B18" w14:textId="77777777" w:rsidR="00AF2EF7" w:rsidRPr="00B16706" w:rsidRDefault="00AF2EF7" w:rsidP="00AF2EF7">
          <w:pPr>
            <w:spacing w:line="276" w:lineRule="auto"/>
            <w:rPr>
              <w:rFonts w:asciiTheme="minorHAnsi" w:hAnsiTheme="minorHAnsi" w:cstheme="minorHAnsi"/>
              <w:sz w:val="20"/>
              <w:szCs w:val="20"/>
            </w:rPr>
          </w:pPr>
        </w:p>
        <w:tbl>
          <w:tblPr>
            <w:tblpPr w:leftFromText="8505" w:vertAnchor="page" w:horzAnchor="margin" w:tblpY="2571"/>
            <w:tblW w:w="10490" w:type="dxa"/>
            <w:tblLayout w:type="fixed"/>
            <w:tblCellMar>
              <w:left w:w="0" w:type="dxa"/>
              <w:right w:w="0" w:type="dxa"/>
            </w:tblCellMar>
            <w:tblLook w:val="01E0" w:firstRow="1" w:lastRow="1" w:firstColumn="1" w:lastColumn="1" w:noHBand="0" w:noVBand="0"/>
          </w:tblPr>
          <w:tblGrid>
            <w:gridCol w:w="10490"/>
          </w:tblGrid>
          <w:tr w:rsidR="000310AB" w:rsidRPr="00B16706" w14:paraId="2B695382" w14:textId="77777777" w:rsidTr="000310AB">
            <w:trPr>
              <w:trHeight w:hRule="exact" w:val="1492"/>
            </w:trPr>
            <w:tc>
              <w:tcPr>
                <w:tcW w:w="10490" w:type="dxa"/>
                <w:vAlign w:val="bottom"/>
              </w:tcPr>
              <w:p w14:paraId="0FBF0B89" w14:textId="77777777" w:rsidR="000310AB" w:rsidRPr="00FA64BE" w:rsidRDefault="000310AB" w:rsidP="000310AB">
                <w:pPr>
                  <w:pStyle w:val="Title"/>
                  <w:rPr>
                    <w:sz w:val="48"/>
                    <w:szCs w:val="48"/>
                  </w:rPr>
                </w:pPr>
                <w:r w:rsidRPr="00FA64BE">
                  <w:rPr>
                    <w:sz w:val="48"/>
                    <w:szCs w:val="48"/>
                  </w:rPr>
                  <w:t xml:space="preserve">Reply form </w:t>
                </w:r>
              </w:p>
              <w:p w14:paraId="2F2A3347" w14:textId="77777777" w:rsidR="000310AB" w:rsidRPr="00FA64BE" w:rsidRDefault="000310AB" w:rsidP="000310AB"/>
              <w:p w14:paraId="00FE0097" w14:textId="16164DCD" w:rsidR="000310AB" w:rsidRPr="00FA64BE" w:rsidRDefault="000310AB" w:rsidP="000310AB">
                <w:pPr>
                  <w:pStyle w:val="Title"/>
                  <w:spacing w:line="276" w:lineRule="auto"/>
                  <w:ind w:right="854"/>
                  <w:rPr>
                    <w:rFonts w:asciiTheme="minorHAnsi" w:hAnsiTheme="minorHAnsi" w:cstheme="minorHAnsi"/>
                    <w:sz w:val="24"/>
                    <w:szCs w:val="24"/>
                  </w:rPr>
                </w:pPr>
                <w:r>
                  <w:rPr>
                    <w:rFonts w:cs="Arial"/>
                    <w:color w:val="auto"/>
                    <w:sz w:val="24"/>
                    <w:szCs w:val="24"/>
                  </w:rPr>
                  <w:t>for</w:t>
                </w:r>
                <w:r w:rsidRPr="00FA64BE">
                  <w:rPr>
                    <w:rFonts w:cs="Arial"/>
                    <w:color w:val="auto"/>
                    <w:sz w:val="24"/>
                    <w:szCs w:val="24"/>
                  </w:rPr>
                  <w:t xml:space="preserve"> </w:t>
                </w:r>
                <w:r w:rsidRPr="00FA64BE">
                  <w:rPr>
                    <w:rFonts w:cs="Arial"/>
                    <w:bCs/>
                    <w:color w:val="auto"/>
                    <w:sz w:val="24"/>
                    <w:szCs w:val="24"/>
                  </w:rPr>
                  <w:t xml:space="preserve">the </w:t>
                </w:r>
                <w:r w:rsidR="00D40FA1">
                  <w:rPr>
                    <w:rFonts w:cs="Arial"/>
                    <w:bCs/>
                    <w:color w:val="auto"/>
                    <w:sz w:val="24"/>
                    <w:szCs w:val="24"/>
                  </w:rPr>
                  <w:t>Call for Evidence on a</w:t>
                </w:r>
                <w:r w:rsidR="006C791B">
                  <w:rPr>
                    <w:rFonts w:cs="Arial"/>
                    <w:bCs/>
                    <w:color w:val="auto"/>
                    <w:sz w:val="24"/>
                    <w:szCs w:val="24"/>
                  </w:rPr>
                  <w:t xml:space="preserve"> </w:t>
                </w:r>
                <w:r w:rsidR="005A5EF1">
                  <w:rPr>
                    <w:rFonts w:cs="Arial"/>
                    <w:bCs/>
                    <w:color w:val="auto"/>
                    <w:sz w:val="24"/>
                    <w:szCs w:val="24"/>
                  </w:rPr>
                  <w:t>C</w:t>
                </w:r>
                <w:r w:rsidR="006C791B" w:rsidRPr="006C791B">
                  <w:rPr>
                    <w:rFonts w:cs="Arial"/>
                    <w:bCs/>
                    <w:color w:val="auto"/>
                    <w:sz w:val="24"/>
                    <w:szCs w:val="24"/>
                  </w:rPr>
                  <w:t xml:space="preserve">omprehensive </w:t>
                </w:r>
                <w:r w:rsidR="005A5EF1">
                  <w:rPr>
                    <w:rFonts w:cs="Arial"/>
                    <w:bCs/>
                    <w:color w:val="auto"/>
                    <w:sz w:val="24"/>
                    <w:szCs w:val="24"/>
                  </w:rPr>
                  <w:t>A</w:t>
                </w:r>
                <w:r w:rsidR="006C791B" w:rsidRPr="006C791B">
                  <w:rPr>
                    <w:rFonts w:cs="Arial"/>
                    <w:bCs/>
                    <w:color w:val="auto"/>
                    <w:sz w:val="24"/>
                    <w:szCs w:val="24"/>
                  </w:rPr>
                  <w:t xml:space="preserve">pproach for the </w:t>
                </w:r>
                <w:r w:rsidR="005A5EF1">
                  <w:rPr>
                    <w:rFonts w:cs="Arial"/>
                    <w:bCs/>
                    <w:color w:val="auto"/>
                    <w:sz w:val="24"/>
                    <w:szCs w:val="24"/>
                  </w:rPr>
                  <w:t>S</w:t>
                </w:r>
                <w:r w:rsidR="006C791B" w:rsidRPr="006C791B">
                  <w:rPr>
                    <w:rFonts w:cs="Arial"/>
                    <w:bCs/>
                    <w:color w:val="auto"/>
                    <w:sz w:val="24"/>
                    <w:szCs w:val="24"/>
                  </w:rPr>
                  <w:t xml:space="preserve">implification of </w:t>
                </w:r>
                <w:r w:rsidR="005A5EF1">
                  <w:rPr>
                    <w:rFonts w:cs="Arial"/>
                    <w:bCs/>
                    <w:color w:val="auto"/>
                    <w:sz w:val="24"/>
                    <w:szCs w:val="24"/>
                  </w:rPr>
                  <w:t>F</w:t>
                </w:r>
                <w:r w:rsidR="006C791B" w:rsidRPr="006C791B">
                  <w:rPr>
                    <w:rFonts w:cs="Arial"/>
                    <w:bCs/>
                    <w:color w:val="auto"/>
                    <w:sz w:val="24"/>
                    <w:szCs w:val="24"/>
                  </w:rPr>
                  <w:t xml:space="preserve">inancial </w:t>
                </w:r>
                <w:r w:rsidR="005A5EF1">
                  <w:rPr>
                    <w:rFonts w:cs="Arial"/>
                    <w:bCs/>
                    <w:color w:val="auto"/>
                    <w:sz w:val="24"/>
                    <w:szCs w:val="24"/>
                  </w:rPr>
                  <w:t>T</w:t>
                </w:r>
                <w:r w:rsidR="006C791B" w:rsidRPr="006C791B">
                  <w:rPr>
                    <w:rFonts w:cs="Arial"/>
                    <w:bCs/>
                    <w:color w:val="auto"/>
                    <w:sz w:val="24"/>
                    <w:szCs w:val="24"/>
                  </w:rPr>
                  <w:t xml:space="preserve">ransaction </w:t>
                </w:r>
                <w:r w:rsidR="005A5EF1">
                  <w:rPr>
                    <w:rFonts w:cs="Arial"/>
                    <w:bCs/>
                    <w:color w:val="auto"/>
                    <w:sz w:val="24"/>
                    <w:szCs w:val="24"/>
                  </w:rPr>
                  <w:t>R</w:t>
                </w:r>
                <w:r w:rsidR="006C791B" w:rsidRPr="006C791B">
                  <w:rPr>
                    <w:rFonts w:cs="Arial"/>
                    <w:bCs/>
                    <w:color w:val="auto"/>
                    <w:sz w:val="24"/>
                    <w:szCs w:val="24"/>
                  </w:rPr>
                  <w:t>eporting</w:t>
                </w:r>
              </w:p>
            </w:tc>
          </w:tr>
          <w:tr w:rsidR="000310AB" w:rsidRPr="00B16706" w14:paraId="062F0352" w14:textId="77777777" w:rsidTr="000310AB">
            <w:trPr>
              <w:trHeight w:hRule="exact" w:val="747"/>
            </w:trPr>
            <w:tc>
              <w:tcPr>
                <w:tcW w:w="10490" w:type="dxa"/>
                <w:tcMar>
                  <w:top w:w="142" w:type="dxa"/>
                </w:tcMar>
              </w:tcPr>
              <w:p w14:paraId="02B573FB" w14:textId="77777777" w:rsidR="000310AB" w:rsidRPr="00B16706" w:rsidRDefault="000310AB" w:rsidP="000310AB">
                <w:pPr>
                  <w:pStyle w:val="Heading2"/>
                  <w:numPr>
                    <w:ilvl w:val="0"/>
                    <w:numId w:val="0"/>
                  </w:numPr>
                  <w:spacing w:before="0"/>
                  <w:rPr>
                    <w:sz w:val="22"/>
                    <w:szCs w:val="22"/>
                  </w:rPr>
                </w:pPr>
              </w:p>
            </w:tc>
          </w:tr>
        </w:tbl>
        <w:p w14:paraId="04401C2B" w14:textId="77777777" w:rsidR="00AF2EF7" w:rsidRPr="00B16706" w:rsidRDefault="00AF2EF7" w:rsidP="00AF2EF7">
          <w:pPr>
            <w:spacing w:line="276" w:lineRule="auto"/>
            <w:rPr>
              <w:rFonts w:asciiTheme="minorHAnsi" w:hAnsiTheme="minorHAnsi" w:cstheme="minorHAnsi"/>
              <w:sz w:val="20"/>
              <w:szCs w:val="20"/>
            </w:rPr>
          </w:pPr>
        </w:p>
        <w:p w14:paraId="5B933631" w14:textId="2F88045F" w:rsidR="00AF2EF7" w:rsidRPr="00B16706" w:rsidRDefault="00FA64BE" w:rsidP="00FA64BE">
          <w:pPr>
            <w:pStyle w:val="Heading2"/>
            <w:numPr>
              <w:ilvl w:val="0"/>
              <w:numId w:val="0"/>
            </w:numPr>
            <w:sectPr w:rsidR="00AF2EF7" w:rsidRPr="00B16706" w:rsidSect="007E7997">
              <w:headerReference w:type="default" r:id="rId12"/>
              <w:footerReference w:type="default" r:id="rId13"/>
              <w:headerReference w:type="first" r:id="rId14"/>
              <w:footerReference w:type="first" r:id="rId15"/>
              <w:pgSz w:w="11906" w:h="16838"/>
              <w:pgMar w:top="1417" w:right="1417" w:bottom="1417" w:left="1417" w:header="708" w:footer="708" w:gutter="0"/>
              <w:pgNumType w:start="0"/>
              <w:cols w:space="708"/>
              <w:titlePg/>
              <w:docGrid w:linePitch="360"/>
            </w:sectPr>
          </w:pPr>
          <w:r>
            <w:rPr>
              <w:noProof/>
            </w:rPr>
            <mc:AlternateContent>
              <mc:Choice Requires="wps">
                <w:drawing>
                  <wp:anchor distT="0" distB="0" distL="114300" distR="114300" simplePos="0" relativeHeight="251658240" behindDoc="1" locked="1" layoutInCell="1" allowOverlap="0" wp14:anchorId="101C8A94" wp14:editId="1D86A440">
                    <wp:simplePos x="0" y="0"/>
                    <wp:positionH relativeFrom="page">
                      <wp:align>left</wp:align>
                    </wp:positionH>
                    <wp:positionV relativeFrom="paragraph">
                      <wp:posOffset>-466725</wp:posOffset>
                    </wp:positionV>
                    <wp:extent cx="7570470" cy="9777095"/>
                    <wp:effectExtent l="0" t="0" r="0" b="0"/>
                    <wp:wrapNone/>
                    <wp:docPr id="8" name="Freeform: Shape 8"/>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6"/>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CE726E" id="Freeform: Shape 8" o:spid="_x0000_s1026" style="position:absolute;margin-left:0;margin-top:-36.75pt;width:596.1pt;height:769.8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99MlPuAAAAAKAQAADwAAAGRycy9kb3ducmV2Lnht&#10;bEyPUUvDMBSF3wX/Q7iCL7KlrVrX2nQMQRCEwWZ/QJZcm2hzU5psq//e7Enf7uUczvlOs57dwE44&#10;BetJQL7MgCEpry31ArqP18UKWIiStBw8oYAfDLBur68aWWt/ph2e9rFnKYRCLQWYGMea86AMOhmW&#10;fkRK2qefnIzpnXquJ3lO4W7gRZaV3ElLqcHIEV8Mqu/90aXe1e7dqPC22ebG3lW2U9VXp4S4vZk3&#10;z8AizvHPDBf8hA5tYjr4I+nABgFpSBSweLp/BHaR86oogB3S9VCWBfC24f8ntL8A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PtjbjusCQAAaEgAAA4AAAAAAAAAAAAA&#10;AAAAPQIAAGRycy9lMm9Eb2MueG1sUEsBAi0ACgAAAAAAAAAhAGXXrBjbcwEA23MBABQAAAAAAAAA&#10;AAAAAAAAFQwAAGRycy9tZWRpYS9pbWFnZTEuanBnUEsBAi0AFAAGAAgAAAAhAPfTJT7gAAAACgEA&#10;AA8AAAAAAAAAAAAAAAAAIoABAGRycy9kb3ducmV2LnhtbFBLAQItABQABgAIAAAAIQA3ncEYugAA&#10;ACEBAAAZAAAAAAAAAAAAAAAAAC+BAQBkcnMvX3JlbHMvZTJvRG9jLnhtbC5yZWxzUEsFBgAAAAAG&#10;AAYAfAEAACCCAQAAAA==&#10;" o:allowoverlap="f" path="m2939613,926867c5038819,-714379,6826523,267027,7569200,545025r,2628099l7569200,9779055r,l,9779055r,l,3173124,2939613,926867xe" stroked="f" strokeweight="1pt">
                    <v:fill r:id="rId17"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p w14:paraId="50F24FB7" w14:textId="77777777"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r w:rsidRPr="00B16706">
            <w:rPr>
              <w:rFonts w:asciiTheme="majorHAnsi" w:eastAsiaTheme="majorEastAsia" w:hAnsiTheme="majorHAnsi" w:cstheme="majorBidi"/>
              <w:b/>
              <w:sz w:val="22"/>
              <w:szCs w:val="20"/>
              <w:lang w:eastAsia="en-US"/>
            </w:rPr>
            <w:lastRenderedPageBreak/>
            <w:t xml:space="preserve">Responding to this paper </w:t>
          </w:r>
        </w:p>
        <w:p w14:paraId="46CF9AD5" w14:textId="41E1E65E"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invites comments on all matters in this </w:t>
          </w:r>
          <w:r w:rsidR="00CD7091">
            <w:rPr>
              <w:rFonts w:asciiTheme="minorHAnsi" w:eastAsiaTheme="minorEastAsia" w:hAnsiTheme="minorHAnsi" w:cstheme="minorBidi"/>
              <w:sz w:val="18"/>
              <w:szCs w:val="16"/>
              <w:lang w:eastAsia="en-US"/>
            </w:rPr>
            <w:t>call for evidence</w:t>
          </w:r>
          <w:r w:rsidRPr="00B16706">
            <w:rPr>
              <w:rFonts w:asciiTheme="minorHAnsi" w:eastAsiaTheme="minorEastAsia" w:hAnsiTheme="minorHAnsi" w:cstheme="minorBidi"/>
              <w:sz w:val="18"/>
              <w:szCs w:val="16"/>
              <w:lang w:eastAsia="en-US"/>
            </w:rPr>
            <w:t xml:space="preserve"> and </w:t>
          </w:r>
          <w:r w:rsidRPr="00B16706">
            <w:rPr>
              <w:rFonts w:asciiTheme="minorHAnsi" w:eastAsiaTheme="minorEastAsia" w:hAnsiTheme="minorHAnsi" w:cstheme="minorBidi"/>
              <w:sz w:val="18"/>
              <w:szCs w:val="16"/>
              <w:u w:val="dottedHeavy" w:color="BF8F00" w:themeColor="accent4" w:themeShade="BF"/>
              <w:lang w:eastAsia="en-US"/>
            </w:rPr>
            <w:t>in particular on</w:t>
          </w:r>
          <w:r w:rsidRPr="00B16706">
            <w:rPr>
              <w:rFonts w:asciiTheme="minorHAnsi" w:eastAsiaTheme="minorEastAsia" w:hAnsiTheme="minorHAnsi" w:cstheme="minorBidi"/>
              <w:sz w:val="18"/>
              <w:szCs w:val="16"/>
              <w:lang w:eastAsia="en-US"/>
            </w:rPr>
            <w:t xml:space="preserve"> the specific questions. Comments are most helpful if they:</w:t>
          </w:r>
        </w:p>
        <w:p w14:paraId="2573C72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respond to the question stated;</w:t>
          </w:r>
        </w:p>
        <w:p w14:paraId="65ACF578"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indicate the specific question to which the comment relates;</w:t>
          </w:r>
        </w:p>
        <w:p w14:paraId="3751DA8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contain a clear rationale; and</w:t>
          </w:r>
        </w:p>
        <w:p w14:paraId="5A3A4AE2"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describe any alternatives ESMA should consider.</w:t>
          </w:r>
        </w:p>
        <w:p w14:paraId="09579D04" w14:textId="5D303D54"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will consider all comments received </w:t>
          </w:r>
          <w:r w:rsidRPr="00A76C98">
            <w:rPr>
              <w:rFonts w:asciiTheme="minorHAnsi" w:eastAsiaTheme="minorEastAsia" w:hAnsiTheme="minorHAnsi" w:cstheme="minorBidi"/>
              <w:sz w:val="18"/>
              <w:szCs w:val="16"/>
              <w:lang w:eastAsia="en-US"/>
            </w:rPr>
            <w:t xml:space="preserve">by </w:t>
          </w:r>
          <w:r w:rsidR="00BF7E68">
            <w:rPr>
              <w:rFonts w:asciiTheme="minorHAnsi" w:eastAsiaTheme="minorEastAsia" w:hAnsiTheme="minorHAnsi" w:cstheme="minorBidi"/>
              <w:b/>
              <w:bCs/>
              <w:sz w:val="18"/>
              <w:szCs w:val="16"/>
              <w:lang w:eastAsia="en-US"/>
            </w:rPr>
            <w:t>19</w:t>
          </w:r>
          <w:r w:rsidR="005B4A69" w:rsidRPr="005B4A69">
            <w:rPr>
              <w:rFonts w:asciiTheme="minorHAnsi" w:eastAsiaTheme="minorEastAsia" w:hAnsiTheme="minorHAnsi" w:cstheme="minorBidi"/>
              <w:b/>
              <w:bCs/>
              <w:sz w:val="18"/>
              <w:szCs w:val="16"/>
              <w:vertAlign w:val="superscript"/>
              <w:lang w:eastAsia="en-US"/>
            </w:rPr>
            <w:t>th</w:t>
          </w:r>
          <w:r w:rsidR="005B4A69" w:rsidRPr="005B4A69">
            <w:rPr>
              <w:rFonts w:asciiTheme="minorHAnsi" w:eastAsiaTheme="minorEastAsia" w:hAnsiTheme="minorHAnsi" w:cstheme="minorBidi"/>
              <w:sz w:val="18"/>
              <w:szCs w:val="16"/>
              <w:lang w:eastAsia="en-US"/>
            </w:rPr>
            <w:t xml:space="preserve"> </w:t>
          </w:r>
          <w:r w:rsidR="004D19BD">
            <w:rPr>
              <w:rFonts w:asciiTheme="minorHAnsi" w:eastAsiaTheme="minorEastAsia" w:hAnsiTheme="minorHAnsi" w:cstheme="minorBidi"/>
              <w:b/>
              <w:sz w:val="18"/>
              <w:szCs w:val="16"/>
              <w:lang w:eastAsia="en-US"/>
            </w:rPr>
            <w:t>September</w:t>
          </w:r>
          <w:r w:rsidR="00C17150">
            <w:rPr>
              <w:rFonts w:asciiTheme="minorHAnsi" w:eastAsiaTheme="minorEastAsia" w:hAnsiTheme="minorHAnsi" w:cstheme="minorBidi"/>
              <w:b/>
              <w:sz w:val="18"/>
              <w:szCs w:val="16"/>
              <w:lang w:eastAsia="en-US"/>
            </w:rPr>
            <w:t xml:space="preserve"> 2025</w:t>
          </w:r>
          <w:r w:rsidR="002C76AE" w:rsidRPr="00A76C98">
            <w:rPr>
              <w:rFonts w:asciiTheme="minorHAnsi" w:eastAsiaTheme="minorEastAsia" w:hAnsiTheme="minorHAnsi" w:cstheme="minorBidi"/>
              <w:b/>
              <w:sz w:val="18"/>
              <w:szCs w:val="16"/>
              <w:lang w:eastAsia="en-US"/>
            </w:rPr>
            <w:t>.</w:t>
          </w:r>
          <w:r w:rsidR="002C76AE">
            <w:rPr>
              <w:rFonts w:asciiTheme="minorHAnsi" w:eastAsiaTheme="minorEastAsia" w:hAnsiTheme="minorHAnsi" w:cstheme="minorBidi"/>
              <w:b/>
              <w:sz w:val="18"/>
              <w:szCs w:val="16"/>
              <w:lang w:eastAsia="en-US"/>
            </w:rPr>
            <w:t xml:space="preserve"> </w:t>
          </w:r>
          <w:r w:rsidRPr="00B16706">
            <w:rPr>
              <w:rFonts w:asciiTheme="minorHAnsi" w:eastAsiaTheme="minorEastAsia" w:hAnsiTheme="minorHAnsi" w:cstheme="minorBidi"/>
              <w:b/>
              <w:sz w:val="18"/>
              <w:szCs w:val="16"/>
              <w:lang w:eastAsia="en-US"/>
            </w:rPr>
            <w:t xml:space="preserve"> </w:t>
          </w:r>
        </w:p>
        <w:p w14:paraId="71848F2A" w14:textId="77777777" w:rsidR="00C85C8B" w:rsidRPr="00B16706" w:rsidRDefault="00C85C8B" w:rsidP="00C85C8B">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Instructions</w:t>
          </w:r>
        </w:p>
        <w:p w14:paraId="057542CF" w14:textId="31609EB1" w:rsidR="00C85C8B" w:rsidRPr="00B16706" w:rsidRDefault="00C85C8B" w:rsidP="00C85C8B">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In order to facilitate analysis of responses to the </w:t>
          </w:r>
          <w:r w:rsidR="00C97337">
            <w:rPr>
              <w:rFonts w:asciiTheme="minorHAnsi" w:eastAsiaTheme="minorEastAsia" w:hAnsiTheme="minorHAnsi" w:cstheme="minorBidi"/>
              <w:sz w:val="18"/>
              <w:szCs w:val="16"/>
              <w:lang w:eastAsia="en-US"/>
            </w:rPr>
            <w:t>Call for Evidence</w:t>
          </w:r>
          <w:r w:rsidRPr="00B16706">
            <w:rPr>
              <w:rFonts w:asciiTheme="minorHAnsi" w:eastAsiaTheme="minorEastAsia" w:hAnsiTheme="minorHAnsi" w:cstheme="minorBidi"/>
              <w:sz w:val="18"/>
              <w:szCs w:val="16"/>
              <w:lang w:eastAsia="en-US"/>
            </w:rPr>
            <w:t>, respondents are requested to follow the below steps when preparing and submitting their response:</w:t>
          </w:r>
        </w:p>
        <w:p w14:paraId="7AAE3F58" w14:textId="495A59C6" w:rsidR="00A409C2"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Insert your responses to the questions in the </w:t>
          </w:r>
          <w:r w:rsidR="00C97337">
            <w:rPr>
              <w:rFonts w:eastAsiaTheme="minorEastAsia" w:cstheme="minorBidi"/>
              <w:sz w:val="18"/>
              <w:szCs w:val="16"/>
              <w:lang w:eastAsia="en-US"/>
            </w:rPr>
            <w:t>Call for Evidence</w:t>
          </w:r>
          <w:r w:rsidRPr="00A409C2">
            <w:rPr>
              <w:rFonts w:eastAsiaTheme="minorEastAsia" w:cstheme="minorBidi"/>
              <w:sz w:val="18"/>
              <w:szCs w:val="16"/>
              <w:lang w:eastAsia="en-US"/>
            </w:rPr>
            <w:t xml:space="preserve"> in the present response form. </w:t>
          </w:r>
        </w:p>
        <w:p w14:paraId="28D63108" w14:textId="0392516A" w:rsidR="00A409C2" w:rsidRPr="00871163" w:rsidRDefault="008279D3" w:rsidP="00A409C2">
          <w:pPr>
            <w:pStyle w:val="ListParagraph"/>
            <w:numPr>
              <w:ilvl w:val="0"/>
              <w:numId w:val="29"/>
            </w:numPr>
            <w:spacing w:after="250" w:line="276" w:lineRule="auto"/>
            <w:rPr>
              <w:rFonts w:eastAsiaTheme="minorEastAsia" w:cstheme="minorBidi"/>
              <w:sz w:val="18"/>
              <w:szCs w:val="16"/>
              <w:u w:val="single"/>
              <w:lang w:eastAsia="en-US"/>
            </w:rPr>
          </w:pPr>
          <w:r>
            <w:rPr>
              <w:rFonts w:eastAsiaTheme="minorEastAsia" w:cstheme="minorBidi"/>
              <w:sz w:val="18"/>
              <w:szCs w:val="16"/>
              <w:lang w:eastAsia="en-US"/>
            </w:rPr>
            <w:t>U</w:t>
          </w:r>
          <w:r w:rsidR="00A409C2" w:rsidRPr="00A409C2">
            <w:rPr>
              <w:rFonts w:eastAsiaTheme="minorEastAsia" w:cstheme="minorBidi"/>
              <w:sz w:val="18"/>
              <w:szCs w:val="16"/>
              <w:lang w:eastAsia="en-US"/>
            </w:rPr>
            <w:t>se this form and send your responses in Word format (</w:t>
          </w:r>
          <w:r w:rsidR="00A409C2" w:rsidRPr="00871163">
            <w:rPr>
              <w:rFonts w:eastAsiaTheme="minorEastAsia" w:cstheme="minorBidi"/>
              <w:b/>
              <w:bCs/>
              <w:sz w:val="18"/>
              <w:szCs w:val="16"/>
              <w:u w:val="single"/>
              <w:lang w:eastAsia="en-US"/>
            </w:rPr>
            <w:t>pdf documents will not be considered except for annexes</w:t>
          </w:r>
          <w:r w:rsidR="00A409C2" w:rsidRPr="00871163">
            <w:rPr>
              <w:rFonts w:eastAsiaTheme="minorEastAsia" w:cstheme="minorBidi"/>
              <w:sz w:val="18"/>
              <w:szCs w:val="16"/>
              <w:u w:val="single"/>
              <w:lang w:eastAsia="en-US"/>
            </w:rPr>
            <w:t>);</w:t>
          </w:r>
        </w:p>
        <w:p w14:paraId="6692798E" w14:textId="51F62ACA" w:rsidR="00B16706"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Please do not remove tags of the type &lt;ESMA_QUESTION</w:t>
          </w:r>
          <w:r w:rsidR="007148CC" w:rsidRPr="00A409C2">
            <w:rPr>
              <w:rFonts w:eastAsiaTheme="minorEastAsia" w:cstheme="minorBidi"/>
              <w:sz w:val="18"/>
              <w:szCs w:val="16"/>
              <w:lang w:eastAsia="en-US"/>
            </w:rPr>
            <w:t xml:space="preserve"> </w:t>
          </w:r>
          <w:r w:rsidRPr="00A409C2">
            <w:rPr>
              <w:rFonts w:eastAsiaTheme="minorEastAsia" w:cstheme="minorBidi"/>
              <w:sz w:val="18"/>
              <w:szCs w:val="16"/>
              <w:lang w:eastAsia="en-US"/>
            </w:rPr>
            <w:t>_</w:t>
          </w:r>
          <w:r w:rsidR="00340647">
            <w:rPr>
              <w:rFonts w:eastAsiaTheme="minorEastAsia" w:cstheme="minorBidi"/>
              <w:sz w:val="18"/>
              <w:szCs w:val="16"/>
              <w:lang w:eastAsia="en-US"/>
            </w:rPr>
            <w:t>CASR</w:t>
          </w:r>
          <w:r w:rsidRPr="00A409C2">
            <w:rPr>
              <w:rFonts w:eastAsiaTheme="minorEastAsia" w:cstheme="minorBidi"/>
              <w:sz w:val="18"/>
              <w:szCs w:val="16"/>
              <w:lang w:eastAsia="en-US"/>
            </w:rPr>
            <w:t>_1&gt;. Your response to each question has to be framed by the two tags corresponding to the question.</w:t>
          </w:r>
        </w:p>
        <w:p w14:paraId="1C4E226A" w14:textId="1D43AA8A" w:rsidR="00B16706"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If you do not wish to respond to a given question, please do not delete it but simply leave the text “TYPE YOUR TEXT HERE” between the tags.</w:t>
          </w:r>
        </w:p>
        <w:p w14:paraId="7C8B1093" w14:textId="019DBA5D" w:rsidR="00B16706"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When you have drafted your response, name your response form according to the following convention: ESMA_</w:t>
          </w:r>
          <w:r w:rsidR="00340647">
            <w:rPr>
              <w:rFonts w:eastAsiaTheme="minorEastAsia" w:cstheme="minorBidi"/>
              <w:sz w:val="18"/>
              <w:szCs w:val="16"/>
              <w:lang w:eastAsia="en-US"/>
            </w:rPr>
            <w:t>CASR</w:t>
          </w:r>
          <w:r w:rsidRPr="00A409C2">
            <w:rPr>
              <w:rFonts w:eastAsiaTheme="minorEastAsia" w:cstheme="minorBidi"/>
              <w:sz w:val="18"/>
              <w:szCs w:val="16"/>
              <w:lang w:eastAsia="en-US"/>
            </w:rPr>
            <w:t>_nameofrespondent_RESPONSEFORM. For example, for a respondent named ABCD, the response form would be entitled ESMA_</w:t>
          </w:r>
          <w:r w:rsidR="00340647">
            <w:rPr>
              <w:rFonts w:eastAsiaTheme="minorEastAsia" w:cstheme="minorBidi"/>
              <w:sz w:val="18"/>
              <w:szCs w:val="16"/>
              <w:lang w:eastAsia="en-US"/>
            </w:rPr>
            <w:t>CASR</w:t>
          </w:r>
          <w:r w:rsidRPr="00A409C2">
            <w:rPr>
              <w:rFonts w:eastAsiaTheme="minorEastAsia" w:cstheme="minorBidi"/>
              <w:sz w:val="18"/>
              <w:szCs w:val="16"/>
              <w:lang w:eastAsia="en-US"/>
            </w:rPr>
            <w:t>_ABCD_RESPONSEFORM.</w:t>
          </w:r>
        </w:p>
        <w:p w14:paraId="28EEA743" w14:textId="0DC50177" w:rsidR="00A02199" w:rsidRPr="00A409C2" w:rsidRDefault="00B16706" w:rsidP="00AF2EF7">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Upload the form containing your responses, </w:t>
          </w:r>
          <w:r w:rsidRPr="00A409C2">
            <w:rPr>
              <w:rFonts w:eastAsiaTheme="minorEastAsia" w:cstheme="minorBidi"/>
              <w:b/>
              <w:bCs/>
              <w:sz w:val="18"/>
              <w:szCs w:val="16"/>
              <w:lang w:eastAsia="en-US"/>
            </w:rPr>
            <w:t>in Word format</w:t>
          </w:r>
          <w:r w:rsidRPr="00A409C2">
            <w:rPr>
              <w:rFonts w:eastAsiaTheme="minorEastAsia" w:cstheme="minorBidi"/>
              <w:sz w:val="18"/>
              <w:szCs w:val="16"/>
              <w:lang w:eastAsia="en-US"/>
            </w:rPr>
            <w:t xml:space="preserve">, to ESMA’s website (www.esma.europa.eu under the heading “Your input – Open Consultations” -&gt;  </w:t>
          </w:r>
          <w:r w:rsidR="00340647">
            <w:rPr>
              <w:rFonts w:eastAsiaTheme="minorEastAsia" w:cstheme="minorBidi"/>
              <w:sz w:val="18"/>
              <w:szCs w:val="16"/>
              <w:lang w:eastAsia="en-US"/>
            </w:rPr>
            <w:t>Call for evidence on a comprehensive approach for the simplification of financial transaction reporting</w:t>
          </w:r>
          <w:r w:rsidR="00A409C2" w:rsidRPr="00A409C2">
            <w:rPr>
              <w:rFonts w:eastAsiaTheme="minorEastAsia" w:cstheme="minorBidi"/>
              <w:sz w:val="18"/>
              <w:szCs w:val="16"/>
              <w:lang w:eastAsia="en-US"/>
            </w:rPr>
            <w:t xml:space="preserve">”). </w:t>
          </w:r>
        </w:p>
        <w:p w14:paraId="6BB993D0" w14:textId="77777777"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Publication of responses</w:t>
          </w:r>
        </w:p>
        <w:p w14:paraId="214D8BBA" w14:textId="7E7B7DDF"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All contributions received will be published following the close of the consultation, unless you request otherwise. Please clearly and prominently indicate in your submission any part you do not wish to be </w:t>
          </w:r>
          <w:r w:rsidR="00896D5B" w:rsidRPr="00B16706">
            <w:rPr>
              <w:rFonts w:asciiTheme="minorHAnsi" w:eastAsiaTheme="minorEastAsia" w:hAnsiTheme="minorHAnsi" w:cstheme="minorBidi"/>
              <w:sz w:val="18"/>
              <w:szCs w:val="16"/>
              <w:lang w:eastAsia="en-US"/>
            </w:rPr>
            <w:t>publicly</w:t>
          </w:r>
          <w:r w:rsidRPr="00B16706">
            <w:rPr>
              <w:rFonts w:asciiTheme="minorHAnsi" w:eastAsiaTheme="minorEastAsia" w:hAnsiTheme="minorHAnsi" w:cstheme="minorBidi"/>
              <w:sz w:val="18"/>
              <w:szCs w:val="16"/>
              <w:lang w:eastAsia="en-US"/>
            </w:rPr>
            <w:t xml:space="preserve">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44C43BA" w14:textId="4C539C0B"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Data protection</w:t>
          </w:r>
        </w:p>
        <w:p w14:paraId="1D46B82F" w14:textId="7777777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Information on data protection can be found at </w:t>
          </w:r>
          <w:hyperlink r:id="rId18" w:history="1">
            <w:r w:rsidRPr="00B16706">
              <w:rPr>
                <w:rFonts w:asciiTheme="minorHAnsi" w:eastAsiaTheme="minorEastAsia" w:hAnsiTheme="minorHAnsi" w:cstheme="minorBidi"/>
                <w:color w:val="0563C1" w:themeColor="hyperlink"/>
                <w:sz w:val="18"/>
                <w:szCs w:val="16"/>
                <w:u w:val="single"/>
                <w:lang w:eastAsia="en-US"/>
              </w:rPr>
              <w:t>www.esma.europa.eu</w:t>
            </w:r>
          </w:hyperlink>
          <w:r w:rsidRPr="00B16706">
            <w:rPr>
              <w:rFonts w:asciiTheme="minorHAnsi" w:eastAsiaTheme="minorEastAsia" w:hAnsiTheme="minorHAnsi" w:cstheme="minorBidi"/>
              <w:sz w:val="18"/>
              <w:szCs w:val="16"/>
              <w:lang w:eastAsia="en-US"/>
            </w:rPr>
            <w:t xml:space="preserve"> under the heading </w:t>
          </w:r>
          <w:hyperlink r:id="rId19" w:history="1">
            <w:r w:rsidRPr="00B16706">
              <w:rPr>
                <w:rFonts w:asciiTheme="minorHAnsi" w:eastAsiaTheme="minorEastAsia" w:hAnsiTheme="minorHAnsi" w:cstheme="minorBidi"/>
                <w:color w:val="0563C1" w:themeColor="hyperlink"/>
                <w:sz w:val="18"/>
                <w:szCs w:val="16"/>
                <w:u w:val="single"/>
                <w:lang w:eastAsia="en-US"/>
              </w:rPr>
              <w:t>Legal Notice</w:t>
            </w:r>
          </w:hyperlink>
          <w:r w:rsidRPr="00B16706">
            <w:rPr>
              <w:rFonts w:asciiTheme="minorHAnsi" w:eastAsiaTheme="minorEastAsia" w:hAnsiTheme="minorHAnsi" w:cstheme="minorBidi"/>
              <w:sz w:val="18"/>
              <w:szCs w:val="16"/>
              <w:lang w:eastAsia="en-US"/>
            </w:rPr>
            <w:t>.</w:t>
          </w:r>
        </w:p>
        <w:p w14:paraId="7C02CD7B" w14:textId="1F4A0C5A" w:rsidR="00AF2EF7" w:rsidRPr="00B16706" w:rsidRDefault="00AF2EF7" w:rsidP="00AF2EF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b/>
              <w:sz w:val="18"/>
              <w:szCs w:val="16"/>
              <w:lang w:eastAsia="en-US"/>
            </w:rPr>
            <w:lastRenderedPageBreak/>
            <w:t>Who should read this paper</w:t>
          </w:r>
        </w:p>
      </w:sdtContent>
    </w:sdt>
    <w:p w14:paraId="230BBB13" w14:textId="77777777" w:rsidR="00F954EE" w:rsidRPr="00F954EE" w:rsidRDefault="00F954EE" w:rsidP="00F954EE">
      <w:pPr>
        <w:pStyle w:val="Heading1"/>
        <w:numPr>
          <w:ilvl w:val="0"/>
          <w:numId w:val="0"/>
        </w:numPr>
        <w:spacing w:line="276" w:lineRule="auto"/>
        <w:rPr>
          <w:rFonts w:ascii="Arial" w:eastAsia="Times New Roman" w:hAnsi="Arial" w:cs="Arial"/>
          <w:b w:val="0"/>
          <w:sz w:val="18"/>
          <w:szCs w:val="18"/>
          <w:lang w:eastAsia="it-IT"/>
        </w:rPr>
      </w:pPr>
      <w:r w:rsidRPr="00F954EE">
        <w:rPr>
          <w:rFonts w:ascii="Arial" w:eastAsia="Times New Roman" w:hAnsi="Arial" w:cs="Arial"/>
          <w:b w:val="0"/>
          <w:sz w:val="18"/>
          <w:szCs w:val="18"/>
          <w:lang w:eastAsia="it-IT"/>
        </w:rPr>
        <w:t xml:space="preserve">This paper is primarily addressed to all financial market participants and in particular reporting entities and market infrastructures, as well as to trade associations and other stakeholders involved in financial regulation, investor education, and retail investment market developments.  It seeks input on major cost drivers linked to derivative regulatory reporting and the identification of possibilities on integration, streamlining and simplification. </w:t>
      </w:r>
    </w:p>
    <w:p w14:paraId="14147BD5" w14:textId="77777777" w:rsidR="00F954EE" w:rsidRPr="00F954EE" w:rsidRDefault="00F954EE" w:rsidP="00F954EE">
      <w:pPr>
        <w:pStyle w:val="Heading1"/>
        <w:numPr>
          <w:ilvl w:val="0"/>
          <w:numId w:val="0"/>
        </w:numPr>
        <w:spacing w:line="276" w:lineRule="auto"/>
        <w:rPr>
          <w:rFonts w:ascii="Arial" w:eastAsia="Times New Roman" w:hAnsi="Arial" w:cs="Arial"/>
          <w:b w:val="0"/>
          <w:sz w:val="18"/>
          <w:szCs w:val="18"/>
          <w:lang w:eastAsia="it-IT"/>
        </w:rPr>
      </w:pPr>
      <w:r w:rsidRPr="00F954EE">
        <w:rPr>
          <w:rFonts w:ascii="Arial" w:eastAsia="Times New Roman" w:hAnsi="Arial" w:cs="Arial"/>
          <w:b w:val="0"/>
          <w:sz w:val="18"/>
          <w:szCs w:val="18"/>
          <w:lang w:eastAsia="it-IT"/>
        </w:rPr>
        <w:t xml:space="preserve">The paper is also relevant to competent authorities, with competences in the context of MiFIR, EMIR, SFTR regulation. </w:t>
      </w:r>
    </w:p>
    <w:p w14:paraId="1F90B8D3" w14:textId="6DE5C6E2" w:rsidR="00C85C8B" w:rsidRDefault="00AF2EF7" w:rsidP="008279D3">
      <w:pPr>
        <w:pStyle w:val="Heading1"/>
        <w:numPr>
          <w:ilvl w:val="0"/>
          <w:numId w:val="0"/>
        </w:numPr>
        <w:spacing w:line="276" w:lineRule="auto"/>
        <w:rPr>
          <w:rFonts w:asciiTheme="minorHAnsi" w:hAnsiTheme="minorHAnsi" w:cstheme="minorHAnsi"/>
          <w:sz w:val="20"/>
          <w:szCs w:val="20"/>
        </w:rPr>
      </w:pPr>
      <w:r w:rsidRPr="00B16706">
        <w:rPr>
          <w:rFonts w:asciiTheme="minorHAnsi" w:hAnsiTheme="minorHAnsi" w:cstheme="minorHAnsi"/>
          <w:sz w:val="20"/>
          <w:szCs w:val="20"/>
        </w:rPr>
        <w:br w:type="page"/>
      </w:r>
      <w:bookmarkStart w:id="0" w:name="_Toc515564428"/>
    </w:p>
    <w:p w14:paraId="16A587D0" w14:textId="77777777" w:rsidR="008279D3" w:rsidRPr="008279D3" w:rsidRDefault="008279D3" w:rsidP="008279D3"/>
    <w:p w14:paraId="622C18E8" w14:textId="77777777" w:rsidR="00C85C8B" w:rsidRPr="00B16706" w:rsidRDefault="00C85C8B" w:rsidP="00C85C8B">
      <w:pPr>
        <w:keepNext/>
        <w:keepLines/>
        <w:spacing w:before="320" w:after="250" w:line="276" w:lineRule="auto"/>
        <w:jc w:val="both"/>
        <w:outlineLvl w:val="0"/>
        <w:rPr>
          <w:rFonts w:asciiTheme="majorHAnsi" w:eastAsiaTheme="majorEastAsia" w:hAnsiTheme="majorHAnsi" w:cstheme="majorBidi"/>
          <w:b/>
          <w:lang w:eastAsia="en-US"/>
        </w:rPr>
      </w:pPr>
      <w:r w:rsidRPr="00B16706">
        <w:rPr>
          <w:rFonts w:asciiTheme="majorHAnsi" w:eastAsiaTheme="majorEastAsia" w:hAnsiTheme="majorHAnsi" w:cstheme="majorBidi"/>
          <w:b/>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B16706" w14:paraId="63AA68E2" w14:textId="77777777" w:rsidTr="00C16775">
        <w:tc>
          <w:tcPr>
            <w:tcW w:w="3929" w:type="dxa"/>
          </w:tcPr>
          <w:p w14:paraId="50C47271" w14:textId="77777777" w:rsidR="00C85C8B" w:rsidRPr="00B16706" w:rsidRDefault="00C85C8B" w:rsidP="00C85C8B">
            <w:pPr>
              <w:rPr>
                <w:rFonts w:ascii="Arial" w:hAnsi="Arial" w:cs="Arial"/>
                <w:sz w:val="18"/>
                <w:szCs w:val="20"/>
                <w:lang w:eastAsia="de-DE"/>
              </w:rPr>
            </w:pPr>
            <w:permStart w:id="108885406" w:edGrp="everyone" w:colFirst="1" w:colLast="1"/>
            <w:r w:rsidRPr="00B16706">
              <w:rPr>
                <w:rFonts w:ascii="Arial" w:hAnsi="Arial" w:cs="Arial"/>
                <w:sz w:val="18"/>
                <w:szCs w:val="20"/>
                <w:lang w:eastAsia="de-DE"/>
              </w:rPr>
              <w:t>Name of the company / organisation</w:t>
            </w:r>
          </w:p>
        </w:tc>
        <w:sdt>
          <w:sdtPr>
            <w:rPr>
              <w:rFonts w:ascii="Arial" w:hAnsi="Arial" w:cs="Arial"/>
              <w:color w:val="808080"/>
              <w:sz w:val="16"/>
              <w:szCs w:val="20"/>
              <w:lang w:eastAsia="de-DE"/>
            </w:rPr>
            <w:id w:val="-1905066999"/>
            <w:text/>
          </w:sdtPr>
          <w:sdtEndPr/>
          <w:sdtContent>
            <w:tc>
              <w:tcPr>
                <w:tcW w:w="5595" w:type="dxa"/>
              </w:tcPr>
              <w:p w14:paraId="1B67440D" w14:textId="106DBC18" w:rsidR="00C85C8B" w:rsidRPr="00B16706" w:rsidRDefault="00F46389" w:rsidP="00C85C8B">
                <w:pPr>
                  <w:rPr>
                    <w:rFonts w:ascii="Arial" w:hAnsi="Arial" w:cs="Arial"/>
                    <w:color w:val="808080"/>
                    <w:sz w:val="16"/>
                    <w:szCs w:val="20"/>
                    <w:lang w:eastAsia="de-DE"/>
                  </w:rPr>
                </w:pPr>
                <w:r>
                  <w:rPr>
                    <w:rFonts w:ascii="Arial" w:hAnsi="Arial" w:cs="Arial"/>
                    <w:color w:val="808080"/>
                    <w:sz w:val="16"/>
                    <w:szCs w:val="20"/>
                    <w:lang w:eastAsia="de-DE"/>
                  </w:rPr>
                  <w:t>MFA (Managed Funds Association)</w:t>
                </w:r>
              </w:p>
            </w:tc>
          </w:sdtContent>
        </w:sdt>
      </w:tr>
      <w:tr w:rsidR="00C85C8B" w:rsidRPr="00B16706" w14:paraId="216F3E57" w14:textId="77777777" w:rsidTr="00C16775">
        <w:tc>
          <w:tcPr>
            <w:tcW w:w="3929" w:type="dxa"/>
          </w:tcPr>
          <w:p w14:paraId="1B868EDB" w14:textId="77777777" w:rsidR="00C85C8B" w:rsidRPr="00B16706" w:rsidRDefault="00C85C8B" w:rsidP="00C85C8B">
            <w:pPr>
              <w:rPr>
                <w:rFonts w:ascii="Arial" w:hAnsi="Arial" w:cs="Arial"/>
                <w:sz w:val="18"/>
                <w:szCs w:val="20"/>
                <w:lang w:eastAsia="de-DE"/>
              </w:rPr>
            </w:pPr>
            <w:permStart w:id="11734600" w:edGrp="everyone" w:colFirst="1" w:colLast="1"/>
            <w:permEnd w:id="108885406"/>
            <w:r w:rsidRPr="00B16706">
              <w:rPr>
                <w:rFonts w:ascii="Arial" w:hAnsi="Arial" w:cs="Arial"/>
                <w:sz w:val="18"/>
                <w:szCs w:val="20"/>
                <w:lang w:eastAsia="de-DE"/>
              </w:rPr>
              <w:t>Activity</w:t>
            </w:r>
          </w:p>
        </w:tc>
        <w:tc>
          <w:tcPr>
            <w:tcW w:w="5595" w:type="dxa"/>
          </w:tcPr>
          <w:p w14:paraId="1423187D" w14:textId="79CFF7CD" w:rsidR="00C85C8B" w:rsidRPr="00B16706" w:rsidRDefault="00A85921" w:rsidP="00C85C8B">
            <w:pPr>
              <w:rPr>
                <w:rFonts w:ascii="Arial" w:hAnsi="Arial" w:cs="Arial"/>
                <w:sz w:val="16"/>
                <w:szCs w:val="20"/>
                <w:lang w:eastAsia="de-DE"/>
              </w:rPr>
            </w:pPr>
            <w:sdt>
              <w:sdtPr>
                <w:rPr>
                  <w:rFonts w:ascii="Arial" w:hAnsi="Arial" w:cs="Arial"/>
                  <w:sz w:val="16"/>
                  <w:szCs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F46389">
                  <w:rPr>
                    <w:rFonts w:ascii="Arial" w:hAnsi="Arial" w:cs="Arial"/>
                    <w:sz w:val="16"/>
                    <w:szCs w:val="20"/>
                    <w:lang w:eastAsia="de-DE"/>
                  </w:rPr>
                  <w:t>Investment Services</w:t>
                </w:r>
              </w:sdtContent>
            </w:sdt>
          </w:p>
        </w:tc>
      </w:tr>
      <w:tr w:rsidR="00C85C8B" w:rsidRPr="00B16706" w14:paraId="0D216581" w14:textId="77777777" w:rsidTr="00C16775">
        <w:tc>
          <w:tcPr>
            <w:tcW w:w="3929" w:type="dxa"/>
          </w:tcPr>
          <w:p w14:paraId="43B75BA8" w14:textId="77777777" w:rsidR="00C85C8B" w:rsidRPr="00B16706" w:rsidRDefault="00C85C8B" w:rsidP="00C85C8B">
            <w:pPr>
              <w:rPr>
                <w:rFonts w:ascii="Arial" w:hAnsi="Arial" w:cs="Arial"/>
                <w:sz w:val="18"/>
                <w:szCs w:val="20"/>
                <w:lang w:eastAsia="de-DE"/>
              </w:rPr>
            </w:pPr>
            <w:permStart w:id="310511986" w:edGrp="everyone" w:colFirst="1" w:colLast="1"/>
            <w:permEnd w:id="11734600"/>
            <w:r w:rsidRPr="00B16706">
              <w:rPr>
                <w:rFonts w:ascii="Arial" w:hAnsi="Arial" w:cs="Arial"/>
                <w:sz w:val="18"/>
                <w:szCs w:val="20"/>
                <w:lang w:eastAsia="de-DE"/>
              </w:rPr>
              <w:t>Are you representing an association?</w:t>
            </w:r>
          </w:p>
        </w:tc>
        <w:sdt>
          <w:sdtPr>
            <w:rPr>
              <w:rFonts w:ascii="Arial" w:hAnsi="Arial" w:cs="Arial"/>
              <w:sz w:val="16"/>
              <w:szCs w:val="20"/>
              <w:lang w:eastAsia="de-DE"/>
            </w:rPr>
            <w:id w:val="-242871467"/>
            <w14:checkbox>
              <w14:checked w14:val="1"/>
              <w14:checkedState w14:val="2612" w14:font="MS Gothic"/>
              <w14:uncheckedState w14:val="2610" w14:font="MS Gothic"/>
            </w14:checkbox>
          </w:sdtPr>
          <w:sdtEndPr/>
          <w:sdtContent>
            <w:tc>
              <w:tcPr>
                <w:tcW w:w="5595" w:type="dxa"/>
              </w:tcPr>
              <w:p w14:paraId="6C4423E1" w14:textId="5BA2F04C" w:rsidR="00C85C8B" w:rsidRPr="00B16706" w:rsidRDefault="00F46389" w:rsidP="00C85C8B">
                <w:pPr>
                  <w:rPr>
                    <w:rFonts w:ascii="Arial" w:hAnsi="Arial" w:cs="Arial"/>
                    <w:sz w:val="16"/>
                    <w:szCs w:val="20"/>
                    <w:lang w:eastAsia="de-DE"/>
                  </w:rPr>
                </w:pPr>
                <w:r>
                  <w:rPr>
                    <w:rFonts w:ascii="MS Gothic" w:eastAsia="MS Gothic" w:hAnsi="MS Gothic" w:cs="Arial" w:hint="eastAsia"/>
                    <w:sz w:val="16"/>
                    <w:szCs w:val="20"/>
                    <w:lang w:eastAsia="de-DE"/>
                  </w:rPr>
                  <w:t>☒</w:t>
                </w:r>
              </w:p>
            </w:tc>
          </w:sdtContent>
        </w:sdt>
      </w:tr>
      <w:tr w:rsidR="00C85C8B" w:rsidRPr="00B16706" w14:paraId="41DA9EA6" w14:textId="77777777" w:rsidTr="00C16775">
        <w:tc>
          <w:tcPr>
            <w:tcW w:w="3929" w:type="dxa"/>
          </w:tcPr>
          <w:p w14:paraId="553FB597" w14:textId="77777777" w:rsidR="00C85C8B" w:rsidRPr="00B16706" w:rsidRDefault="00C85C8B" w:rsidP="00C85C8B">
            <w:pPr>
              <w:rPr>
                <w:rFonts w:ascii="Arial" w:hAnsi="Arial" w:cs="Arial"/>
                <w:sz w:val="18"/>
                <w:szCs w:val="20"/>
                <w:lang w:eastAsia="de-DE"/>
              </w:rPr>
            </w:pPr>
            <w:permStart w:id="1269442871" w:edGrp="everyone" w:colFirst="1" w:colLast="1"/>
            <w:permEnd w:id="310511986"/>
            <w:r w:rsidRPr="00B16706">
              <w:rPr>
                <w:rFonts w:ascii="Arial" w:hAnsi="Arial" w:cs="Arial"/>
                <w:sz w:val="18"/>
                <w:szCs w:val="20"/>
                <w:lang w:eastAsia="de-DE"/>
              </w:rPr>
              <w:t>Country/Region</w:t>
            </w:r>
          </w:p>
        </w:tc>
        <w:sdt>
          <w:sdtPr>
            <w:rPr>
              <w:rFonts w:ascii="Arial" w:hAnsi="Arial" w:cs="Arial"/>
              <w:sz w:val="16"/>
              <w:szCs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tcPr>
              <w:p w14:paraId="082656BF" w14:textId="77F5518E" w:rsidR="00C85C8B" w:rsidRPr="00B16706" w:rsidRDefault="00F46389" w:rsidP="00C85C8B">
                <w:pPr>
                  <w:rPr>
                    <w:rFonts w:ascii="Arial" w:hAnsi="Arial" w:cs="Arial"/>
                    <w:sz w:val="16"/>
                    <w:szCs w:val="20"/>
                    <w:lang w:eastAsia="de-DE"/>
                  </w:rPr>
                </w:pPr>
                <w:r>
                  <w:rPr>
                    <w:rFonts w:ascii="Arial" w:hAnsi="Arial" w:cs="Arial"/>
                    <w:sz w:val="16"/>
                    <w:szCs w:val="20"/>
                    <w:lang w:eastAsia="de-DE"/>
                  </w:rPr>
                  <w:t>International</w:t>
                </w:r>
              </w:p>
            </w:tc>
          </w:sdtContent>
        </w:sdt>
      </w:tr>
      <w:permEnd w:id="1269442871"/>
    </w:tbl>
    <w:p w14:paraId="2F5D9ECE" w14:textId="77777777" w:rsidR="000C5032" w:rsidRDefault="000C5032">
      <w:pPr>
        <w:spacing w:after="120" w:line="264" w:lineRule="auto"/>
        <w:rPr>
          <w:rFonts w:asciiTheme="minorHAnsi" w:hAnsiTheme="minorHAnsi" w:cstheme="minorHAnsi"/>
          <w:b/>
          <w:sz w:val="22"/>
          <w:szCs w:val="22"/>
        </w:rPr>
      </w:pPr>
      <w:r>
        <w:rPr>
          <w:rFonts w:asciiTheme="minorHAnsi" w:hAnsiTheme="minorHAnsi" w:cstheme="minorHAnsi"/>
          <w:b/>
          <w:sz w:val="22"/>
          <w:szCs w:val="22"/>
        </w:rPr>
        <w:br w:type="page"/>
      </w:r>
    </w:p>
    <w:p w14:paraId="721779C4" w14:textId="518CE3AD" w:rsidR="009835AD" w:rsidRDefault="009835AD">
      <w:pPr>
        <w:spacing w:after="120" w:line="264" w:lineRule="auto"/>
        <w:rPr>
          <w:rFonts w:ascii="Arial" w:hAnsi="Arial" w:cs="Arial"/>
          <w:b/>
          <w:sz w:val="22"/>
          <w:szCs w:val="22"/>
          <w:lang w:val="en-US" w:eastAsia="en-US"/>
        </w:rPr>
      </w:pPr>
      <w:r w:rsidRPr="009835AD">
        <w:rPr>
          <w:rFonts w:ascii="Arial" w:hAnsi="Arial" w:cs="Arial"/>
          <w:b/>
          <w:sz w:val="22"/>
          <w:szCs w:val="22"/>
          <w:lang w:val="en-US" w:eastAsia="en-US"/>
        </w:rPr>
        <w:lastRenderedPageBreak/>
        <w:t>Questions</w:t>
      </w:r>
    </w:p>
    <w:bookmarkEnd w:id="0"/>
    <w:p w14:paraId="473708D6" w14:textId="77777777" w:rsidR="00926BDA" w:rsidRDefault="00926BDA" w:rsidP="00BF7E68">
      <w:pPr>
        <w:pStyle w:val="Questionstyle"/>
        <w:numPr>
          <w:ilvl w:val="0"/>
          <w:numId w:val="0"/>
        </w:numPr>
        <w:ind w:left="360"/>
      </w:pPr>
    </w:p>
    <w:p w14:paraId="255AD77B" w14:textId="77777777" w:rsidR="00926BDA" w:rsidRPr="00BC53D2" w:rsidRDefault="00926BDA" w:rsidP="00926BDA">
      <w:pPr>
        <w:rPr>
          <w:lang w:val="en-US"/>
        </w:rPr>
      </w:pPr>
    </w:p>
    <w:p w14:paraId="29094614" w14:textId="77777777" w:rsidR="00926BDA" w:rsidRPr="00E56247" w:rsidRDefault="00926BDA" w:rsidP="00926BDA">
      <w:pPr>
        <w:pStyle w:val="Questionstyle"/>
        <w:spacing w:before="120" w:after="120"/>
        <w:ind w:left="851" w:hanging="709"/>
      </w:pPr>
      <w:r w:rsidRPr="00E56247">
        <w:t>Do stakeholders agree with the description of the key challenges outlined above? Is there any other issue linked to multiple regulatory regimes with duplicative or inconsistent requirements that is not reflected in this section? Out of the 10 sources of costs identified in this section and the ones that you may add, what are the three main cost drivers in your view?</w:t>
      </w:r>
    </w:p>
    <w:p w14:paraId="63D2302D" w14:textId="77777777" w:rsidR="00926BDA" w:rsidRDefault="00926BDA" w:rsidP="00926BDA">
      <w:r>
        <w:t>&lt;ESMA_QUESTION_CASR_1&gt;</w:t>
      </w:r>
    </w:p>
    <w:p w14:paraId="726761F8" w14:textId="77777777" w:rsidR="00F46389" w:rsidRPr="0072606D" w:rsidRDefault="00F46389" w:rsidP="00F46389">
      <w:pPr>
        <w:spacing w:after="200"/>
        <w:ind w:left="720"/>
        <w:rPr>
          <w:rFonts w:cs="Calibri"/>
        </w:rPr>
      </w:pPr>
      <w:permStart w:id="785210304" w:edGrp="everyone"/>
      <w:r w:rsidRPr="0072606D">
        <w:t xml:space="preserve">Section 2 of the Call for Evidence clearly recognises that the existing transaction reporting requirements “impose significant costs on reporting entities, including inconsistent and duplicative reporting” </w:t>
      </w:r>
      <w:r w:rsidRPr="0072606D">
        <w:rPr>
          <w:rFonts w:cs="Calibri"/>
        </w:rPr>
        <w:t>(¶2).</w:t>
      </w:r>
      <w:r w:rsidRPr="0072606D">
        <w:t xml:space="preserve"> </w:t>
      </w:r>
      <w:r w:rsidRPr="0072606D">
        <w:rPr>
          <w:rFonts w:cs="Calibri"/>
        </w:rPr>
        <w:t>MFA strongly agrees with this assessment.</w:t>
      </w:r>
    </w:p>
    <w:p w14:paraId="0326534B" w14:textId="77777777" w:rsidR="00F46389" w:rsidRPr="0072606D" w:rsidRDefault="00F46389" w:rsidP="00F46389">
      <w:pPr>
        <w:spacing w:after="200"/>
        <w:ind w:left="720"/>
        <w:rPr>
          <w:rFonts w:cs="Calibri"/>
        </w:rPr>
      </w:pPr>
      <w:r w:rsidRPr="0072606D">
        <w:t>Substantial financial and human resources must be deployed for transaction reporting compliance. This typically includes developing and maintaining coding rules, monitoring, deploying health checks or building inhouse diagnostic tools, and employing sufficient human resources in operations and compliance to monitor and supervise accurate transaction reporting. Additional costs typically incurred include quality assurance and legal advice to aid rule interpretation when engaging in new trading flows or when new guidance is issued by ESMA or National Competent Authorities (“</w:t>
      </w:r>
      <w:r w:rsidRPr="0072606D">
        <w:rPr>
          <w:b/>
          <w:bCs/>
        </w:rPr>
        <w:t>NCAs</w:t>
      </w:r>
      <w:r w:rsidRPr="0072606D">
        <w:t>”).</w:t>
      </w:r>
    </w:p>
    <w:p w14:paraId="705622CF" w14:textId="77777777" w:rsidR="00F46389" w:rsidRPr="0072606D" w:rsidRDefault="00F46389" w:rsidP="00F46389">
      <w:pPr>
        <w:spacing w:after="200"/>
        <w:ind w:left="720"/>
        <w:rPr>
          <w:rFonts w:cs="Calibri"/>
        </w:rPr>
      </w:pPr>
      <w:r w:rsidRPr="0072606D">
        <w:rPr>
          <w:rFonts w:cs="Calibri"/>
        </w:rPr>
        <w:t xml:space="preserve">Section 3 of the Call for Evidence identifies </w:t>
      </w:r>
      <w:proofErr w:type="gramStart"/>
      <w:r w:rsidRPr="0072606D">
        <w:rPr>
          <w:rFonts w:cs="Calibri"/>
        </w:rPr>
        <w:t>a number of</w:t>
      </w:r>
      <w:proofErr w:type="gramEnd"/>
      <w:r w:rsidRPr="0072606D">
        <w:rPr>
          <w:rFonts w:cs="Calibri"/>
        </w:rPr>
        <w:t xml:space="preserve"> key issues related to multiple regulatory regimes with duplicative or inconsistent requirements. Where member vehicles (funds, SPVs, </w:t>
      </w:r>
      <w:r w:rsidRPr="0072606D">
        <w:rPr>
          <w:rFonts w:cs="Calibri"/>
          <w:i/>
          <w:iCs/>
        </w:rPr>
        <w:t>etc.</w:t>
      </w:r>
      <w:r w:rsidRPr="0072606D">
        <w:rPr>
          <w:rFonts w:cs="Calibri"/>
        </w:rPr>
        <w:t xml:space="preserve">) are in scope, they are required to report similar data fields on counterparty and transaction data under </w:t>
      </w:r>
      <w:proofErr w:type="spellStart"/>
      <w:r w:rsidRPr="0072606D">
        <w:rPr>
          <w:rFonts w:cs="Calibri"/>
        </w:rPr>
        <w:t>MiFIR</w:t>
      </w:r>
      <w:proofErr w:type="spellEnd"/>
      <w:r w:rsidRPr="0072606D">
        <w:rPr>
          <w:rFonts w:cs="Calibri"/>
        </w:rPr>
        <w:t>, EMIR, and REMIT transaction reports, but with different formats, taxonomies, and submission channels. This imposes a cost that makes the EU a less competitive place in which to invest and do business.</w:t>
      </w:r>
    </w:p>
    <w:p w14:paraId="338252BE" w14:textId="77777777" w:rsidR="00F46389" w:rsidRPr="0072606D" w:rsidRDefault="00F46389" w:rsidP="00F46389">
      <w:pPr>
        <w:spacing w:after="200"/>
        <w:ind w:left="720"/>
        <w:rPr>
          <w:rFonts w:cs="Calibri"/>
        </w:rPr>
      </w:pPr>
      <w:r w:rsidRPr="0072606D">
        <w:rPr>
          <w:rFonts w:cs="Calibri"/>
        </w:rPr>
        <w:t>In addition, MFA agrees that one of the key issues shared by market participants relates to dual-sided reporting. Because many reporting obligations are dual-sided, both sell-side and buy-side market participants are independently required to file transaction reports. Buy-side market participants typically will delegate reporting to their sell-side broker/dealer, which means that in practical terms, both sides to the dual-sided reporting obligation are often being fulfilled by one side to the transaction, rendering the buy-side report redundant. Nonetheless, these redundant obligations result in higher compliance costs and operational inefficiencies. As discussed further below, we agree that “improvements can be made to ensure the quality and scope of data reported, without the need for dual reporting” (¶21).</w:t>
      </w:r>
    </w:p>
    <w:p w14:paraId="29AD1107" w14:textId="77777777" w:rsidR="00F46389" w:rsidRPr="0072606D" w:rsidRDefault="00F46389" w:rsidP="00F46389">
      <w:pPr>
        <w:spacing w:after="200"/>
        <w:ind w:left="720"/>
        <w:rPr>
          <w:rFonts w:cs="Calibri"/>
        </w:rPr>
      </w:pPr>
      <w:r w:rsidRPr="0072606D">
        <w:rPr>
          <w:rFonts w:cs="Calibri"/>
        </w:rPr>
        <w:t xml:space="preserve">Furthermore, as the Call for Evidence acknowledges, reporting under </w:t>
      </w:r>
      <w:proofErr w:type="spellStart"/>
      <w:r w:rsidRPr="0072606D">
        <w:rPr>
          <w:rFonts w:cs="Calibri"/>
        </w:rPr>
        <w:t>MiFIR</w:t>
      </w:r>
      <w:proofErr w:type="spellEnd"/>
      <w:r w:rsidRPr="0072606D">
        <w:rPr>
          <w:rFonts w:cs="Calibri"/>
        </w:rPr>
        <w:t xml:space="preserve">, EMIR, SFTR, and REMIT follows different reporting channels and logic (¶24). We believe </w:t>
      </w:r>
      <w:r w:rsidRPr="0072606D">
        <w:rPr>
          <w:rFonts w:cs="Calibri"/>
        </w:rPr>
        <w:lastRenderedPageBreak/>
        <w:t>this creates inefficiencies and increases costs for market participants. For this reason, as discussed below, we support the “report once” principle.</w:t>
      </w:r>
    </w:p>
    <w:permEnd w:id="785210304"/>
    <w:p w14:paraId="3867BD88" w14:textId="77777777" w:rsidR="00926BDA" w:rsidRDefault="00926BDA" w:rsidP="00926BDA">
      <w:r>
        <w:t>&lt;ESMA_QUESTION_CASR_1&gt;</w:t>
      </w:r>
    </w:p>
    <w:p w14:paraId="7EDED914" w14:textId="77777777" w:rsidR="00926BDA" w:rsidRDefault="00926BDA" w:rsidP="00926BDA"/>
    <w:p w14:paraId="463AC9D4" w14:textId="77777777" w:rsidR="00926BDA" w:rsidRDefault="00926BDA" w:rsidP="00926BDA">
      <w:pPr>
        <w:pStyle w:val="Questionstyle"/>
        <w:spacing w:before="120" w:after="120"/>
        <w:ind w:left="851" w:hanging="709"/>
      </w:pPr>
      <w:r w:rsidRPr="002E01A5">
        <w:t>Do stakeholders agree with the proposed principles and related description? Is there any other aspect/principle that should be considered?</w:t>
      </w:r>
    </w:p>
    <w:p w14:paraId="585DA3B4" w14:textId="77777777" w:rsidR="00926BDA" w:rsidRDefault="00926BDA" w:rsidP="00926BDA">
      <w:r>
        <w:t>&lt;ESMA_QUESTION_CASR_2&gt;</w:t>
      </w:r>
    </w:p>
    <w:p w14:paraId="4E13FF7B" w14:textId="77777777" w:rsidR="00F46389" w:rsidRPr="0072606D" w:rsidRDefault="00F46389" w:rsidP="00F46389">
      <w:pPr>
        <w:spacing w:after="200"/>
        <w:ind w:left="720"/>
      </w:pPr>
      <w:permStart w:id="545925079" w:edGrp="everyone"/>
      <w:r w:rsidRPr="0072606D">
        <w:t>We agree with the four key principles set forth in Section 4.1:</w:t>
      </w:r>
    </w:p>
    <w:p w14:paraId="703CFF3A" w14:textId="77777777" w:rsidR="00F46389" w:rsidRPr="0072606D" w:rsidRDefault="00F46389" w:rsidP="00F46389">
      <w:pPr>
        <w:pStyle w:val="ListParagraph"/>
        <w:numPr>
          <w:ilvl w:val="0"/>
          <w:numId w:val="37"/>
        </w:numPr>
        <w:tabs>
          <w:tab w:val="clear" w:pos="0"/>
          <w:tab w:val="clear" w:pos="142"/>
          <w:tab w:val="clear" w:pos="284"/>
          <w:tab w:val="clear" w:pos="567"/>
        </w:tabs>
        <w:autoSpaceDE/>
        <w:autoSpaceDN/>
        <w:adjustRightInd/>
        <w:spacing w:after="200" w:line="240" w:lineRule="auto"/>
        <w:ind w:left="1440"/>
        <w:contextualSpacing/>
        <w:jc w:val="left"/>
      </w:pPr>
      <w:r w:rsidRPr="0072606D">
        <w:t>Preserve information scope</w:t>
      </w:r>
    </w:p>
    <w:p w14:paraId="6F184356" w14:textId="77777777" w:rsidR="00F46389" w:rsidRPr="0072606D" w:rsidRDefault="00F46389" w:rsidP="00F46389">
      <w:pPr>
        <w:pStyle w:val="ListParagraph"/>
        <w:numPr>
          <w:ilvl w:val="0"/>
          <w:numId w:val="37"/>
        </w:numPr>
        <w:tabs>
          <w:tab w:val="clear" w:pos="0"/>
          <w:tab w:val="clear" w:pos="142"/>
          <w:tab w:val="clear" w:pos="284"/>
          <w:tab w:val="clear" w:pos="567"/>
        </w:tabs>
        <w:autoSpaceDE/>
        <w:autoSpaceDN/>
        <w:adjustRightInd/>
        <w:spacing w:after="200" w:line="240" w:lineRule="auto"/>
        <w:ind w:left="1440"/>
        <w:contextualSpacing/>
        <w:jc w:val="left"/>
      </w:pPr>
      <w:r w:rsidRPr="0072606D">
        <w:t>Decrease overlaps to reduce reporting burden.</w:t>
      </w:r>
    </w:p>
    <w:p w14:paraId="10DC3068" w14:textId="77777777" w:rsidR="00F46389" w:rsidRPr="0072606D" w:rsidRDefault="00F46389" w:rsidP="00F46389">
      <w:pPr>
        <w:pStyle w:val="ListParagraph"/>
        <w:numPr>
          <w:ilvl w:val="0"/>
          <w:numId w:val="37"/>
        </w:numPr>
        <w:tabs>
          <w:tab w:val="clear" w:pos="0"/>
          <w:tab w:val="clear" w:pos="142"/>
          <w:tab w:val="clear" w:pos="284"/>
          <w:tab w:val="clear" w:pos="567"/>
        </w:tabs>
        <w:autoSpaceDE/>
        <w:autoSpaceDN/>
        <w:adjustRightInd/>
        <w:spacing w:after="200" w:line="240" w:lineRule="auto"/>
        <w:ind w:left="1440"/>
        <w:contextualSpacing/>
        <w:jc w:val="left"/>
      </w:pPr>
      <w:r w:rsidRPr="0072606D">
        <w:t>Ensure global alignment.</w:t>
      </w:r>
    </w:p>
    <w:p w14:paraId="1B5E1A7E" w14:textId="5695C77F" w:rsidR="00926BDA" w:rsidRDefault="00F46389" w:rsidP="00926BDA">
      <w:pPr>
        <w:pStyle w:val="ListParagraph"/>
        <w:numPr>
          <w:ilvl w:val="0"/>
          <w:numId w:val="37"/>
        </w:numPr>
        <w:tabs>
          <w:tab w:val="clear" w:pos="0"/>
          <w:tab w:val="clear" w:pos="142"/>
          <w:tab w:val="clear" w:pos="284"/>
          <w:tab w:val="clear" w:pos="567"/>
        </w:tabs>
        <w:autoSpaceDE/>
        <w:autoSpaceDN/>
        <w:adjustRightInd/>
        <w:spacing w:after="200" w:line="240" w:lineRule="auto"/>
        <w:ind w:left="1440"/>
        <w:contextualSpacing/>
        <w:jc w:val="left"/>
      </w:pPr>
      <w:r w:rsidRPr="0072606D">
        <w:t>Balance cost and benefit.</w:t>
      </w:r>
    </w:p>
    <w:permEnd w:id="545925079"/>
    <w:p w14:paraId="042B0F0C" w14:textId="77777777" w:rsidR="00926BDA" w:rsidRDefault="00926BDA" w:rsidP="00926BDA">
      <w:r>
        <w:t>&lt;ESMA_QUESTION_CASR_2&gt;</w:t>
      </w:r>
    </w:p>
    <w:p w14:paraId="02ECE67A" w14:textId="77777777" w:rsidR="00926BDA" w:rsidRDefault="00926BDA" w:rsidP="00926BDA"/>
    <w:p w14:paraId="555282C0" w14:textId="77777777" w:rsidR="00926BDA" w:rsidRDefault="00926BDA" w:rsidP="00926BDA">
      <w:pPr>
        <w:pStyle w:val="Questionstyle"/>
        <w:spacing w:before="120" w:after="120"/>
        <w:ind w:left="851" w:hanging="709"/>
      </w:pPr>
      <w:r>
        <w:t>What are the key advantages of option 1a and how do these benefits address the issues in section 3?</w:t>
      </w:r>
    </w:p>
    <w:p w14:paraId="596EF4F0" w14:textId="77777777" w:rsidR="00926BDA" w:rsidRDefault="00926BDA" w:rsidP="00926BDA">
      <w:r>
        <w:t>&lt;ESMA_QUESTION_CASR_3&gt;</w:t>
      </w:r>
    </w:p>
    <w:p w14:paraId="10B78F54" w14:textId="77777777" w:rsidR="00926BDA" w:rsidRDefault="00926BDA" w:rsidP="00926BDA">
      <w:permStart w:id="666895774" w:edGrp="everyone"/>
      <w:r>
        <w:t>TYPE YOUR TEXT HERE</w:t>
      </w:r>
    </w:p>
    <w:permEnd w:id="666895774"/>
    <w:p w14:paraId="6D0251D2" w14:textId="77777777" w:rsidR="00926BDA" w:rsidRDefault="00926BDA" w:rsidP="00926BDA">
      <w:r>
        <w:t>&lt;ESMA_QUESTION_CASR_3&gt;</w:t>
      </w:r>
    </w:p>
    <w:p w14:paraId="0D09C9FF" w14:textId="77777777" w:rsidR="00926BDA" w:rsidRDefault="00926BDA" w:rsidP="00926BDA"/>
    <w:p w14:paraId="4B96F3E8" w14:textId="77777777" w:rsidR="00926BDA" w:rsidRDefault="00926BDA" w:rsidP="00926BDA">
      <w:pPr>
        <w:pStyle w:val="Questionstyle"/>
        <w:spacing w:before="120" w:after="120"/>
        <w:ind w:left="851" w:hanging="709"/>
      </w:pPr>
      <w:r>
        <w:t>What are the key limitations and potential risks of option 1a? For example, do you consider the adaptation of the emir template to cover the data points used for market abuse surveillance as meeting the general objective of reducing the reporting burden, and why?</w:t>
      </w:r>
    </w:p>
    <w:p w14:paraId="7917F4ED" w14:textId="77777777" w:rsidR="00926BDA" w:rsidRDefault="00926BDA" w:rsidP="00926BDA">
      <w:r>
        <w:t>&lt;ESMA_QUESTION_CASR_4&gt;</w:t>
      </w:r>
    </w:p>
    <w:p w14:paraId="271C2CA6" w14:textId="77777777" w:rsidR="00926BDA" w:rsidRDefault="00926BDA" w:rsidP="00926BDA">
      <w:permStart w:id="1901729855" w:edGrp="everyone"/>
      <w:r>
        <w:t>TYPE YOUR TEXT HERE</w:t>
      </w:r>
    </w:p>
    <w:permEnd w:id="1901729855"/>
    <w:p w14:paraId="7EE99C37" w14:textId="77777777" w:rsidR="00926BDA" w:rsidRDefault="00926BDA" w:rsidP="00926BDA">
      <w:r>
        <w:t>&lt;ESMA_QUESTION_CASR_4&gt;</w:t>
      </w:r>
    </w:p>
    <w:p w14:paraId="631AE7DC" w14:textId="77777777" w:rsidR="00926BDA" w:rsidRDefault="00926BDA" w:rsidP="00926BDA"/>
    <w:p w14:paraId="1A3DC2C2" w14:textId="77777777" w:rsidR="00926BDA" w:rsidRDefault="00926BDA" w:rsidP="00926BDA">
      <w:pPr>
        <w:pStyle w:val="Questionstyle"/>
        <w:spacing w:before="120" w:after="120"/>
        <w:ind w:left="851" w:hanging="709"/>
      </w:pPr>
      <w:r>
        <w:t>What components are missing or not adequately addressed in option 1a? Why are these elements important, and how might their inclusion change the evaluation or implementation of option 1a?</w:t>
      </w:r>
    </w:p>
    <w:p w14:paraId="4E654C2A" w14:textId="77777777" w:rsidR="00926BDA" w:rsidRDefault="00926BDA" w:rsidP="00926BDA">
      <w:r>
        <w:t>&lt;ESMA_QUESTION_CASR_5&gt;</w:t>
      </w:r>
    </w:p>
    <w:p w14:paraId="1F27D03C" w14:textId="77777777" w:rsidR="00926BDA" w:rsidRDefault="00926BDA" w:rsidP="00926BDA">
      <w:permStart w:id="1034637762" w:edGrp="everyone"/>
      <w:r>
        <w:t>TYPE YOUR TEXT HERE</w:t>
      </w:r>
    </w:p>
    <w:permEnd w:id="1034637762"/>
    <w:p w14:paraId="556C53A1" w14:textId="77777777" w:rsidR="00926BDA" w:rsidRDefault="00926BDA" w:rsidP="00926BDA">
      <w:r>
        <w:t>&lt;ESMA_QUESTION_CASR_5&gt;</w:t>
      </w:r>
    </w:p>
    <w:p w14:paraId="37D12C6B" w14:textId="77777777" w:rsidR="00926BDA" w:rsidRDefault="00926BDA" w:rsidP="00926BDA"/>
    <w:p w14:paraId="6EA1D20B" w14:textId="77777777" w:rsidR="00926BDA" w:rsidRDefault="00926BDA" w:rsidP="00926BDA">
      <w:pPr>
        <w:pStyle w:val="Questionstyle"/>
        <w:spacing w:before="120" w:after="120"/>
        <w:ind w:left="851" w:hanging="709"/>
      </w:pPr>
      <w:r>
        <w:t>What are the key advantages of option 1b and how do these benefits address the issues in section 3?</w:t>
      </w:r>
    </w:p>
    <w:p w14:paraId="5103F3A5" w14:textId="77777777" w:rsidR="00926BDA" w:rsidRDefault="00926BDA" w:rsidP="00926BDA">
      <w:r>
        <w:t>&lt;ESMA_QUESTION_CASR_6&gt;</w:t>
      </w:r>
    </w:p>
    <w:p w14:paraId="1FA6E054" w14:textId="77777777" w:rsidR="00926BDA" w:rsidRDefault="00926BDA" w:rsidP="00926BDA">
      <w:permStart w:id="276758894" w:edGrp="everyone"/>
      <w:r>
        <w:t>TYPE YOUR TEXT HERE</w:t>
      </w:r>
    </w:p>
    <w:permEnd w:id="276758894"/>
    <w:p w14:paraId="5FF8B2C2" w14:textId="77777777" w:rsidR="00926BDA" w:rsidRDefault="00926BDA" w:rsidP="00926BDA">
      <w:r>
        <w:lastRenderedPageBreak/>
        <w:t>&lt;ESMA_QUESTION_CASR_6&gt;</w:t>
      </w:r>
    </w:p>
    <w:p w14:paraId="62EE97D0" w14:textId="77777777" w:rsidR="00926BDA" w:rsidRDefault="00926BDA" w:rsidP="00926BDA"/>
    <w:p w14:paraId="7642F082" w14:textId="77777777" w:rsidR="00926BDA" w:rsidRDefault="00926BDA" w:rsidP="00926BDA">
      <w:pPr>
        <w:pStyle w:val="Questionstyle"/>
        <w:spacing w:before="120" w:after="120"/>
        <w:ind w:left="851" w:hanging="709"/>
      </w:pPr>
      <w:r>
        <w:t>What are the key limitations and potential risks of option 1b?</w:t>
      </w:r>
    </w:p>
    <w:p w14:paraId="0111A54A" w14:textId="77777777" w:rsidR="00926BDA" w:rsidRDefault="00926BDA" w:rsidP="00926BDA">
      <w:r>
        <w:t>&lt;ESMA_QUESTION_CASR_7&gt;</w:t>
      </w:r>
    </w:p>
    <w:p w14:paraId="1CFEB751" w14:textId="77777777" w:rsidR="00926BDA" w:rsidRDefault="00926BDA" w:rsidP="00926BDA">
      <w:permStart w:id="1327239170" w:edGrp="everyone"/>
      <w:r>
        <w:t>TYPE YOUR TEXT HERE</w:t>
      </w:r>
    </w:p>
    <w:permEnd w:id="1327239170"/>
    <w:p w14:paraId="72CB5113" w14:textId="77777777" w:rsidR="00926BDA" w:rsidRDefault="00926BDA" w:rsidP="00926BDA">
      <w:r>
        <w:t>&lt;ESMA_QUESTION_CASR_7&gt;</w:t>
      </w:r>
    </w:p>
    <w:p w14:paraId="7CF24983" w14:textId="77777777" w:rsidR="00926BDA" w:rsidRDefault="00926BDA" w:rsidP="00926BDA"/>
    <w:p w14:paraId="75FB15B5" w14:textId="77777777" w:rsidR="00926BDA" w:rsidRDefault="00926BDA" w:rsidP="00926BDA">
      <w:pPr>
        <w:pStyle w:val="Questionstyle"/>
        <w:spacing w:before="120" w:after="120"/>
        <w:ind w:left="851" w:hanging="709"/>
      </w:pPr>
      <w:r>
        <w:t>What components are missing or not adequately addressed in option 1b? Why are these elements important, and how might their inclusion change the evaluation or implementation of option 1b?</w:t>
      </w:r>
    </w:p>
    <w:p w14:paraId="3C7CA8FB" w14:textId="77777777" w:rsidR="00926BDA" w:rsidRDefault="00926BDA" w:rsidP="00926BDA">
      <w:r>
        <w:t>&lt;ESMA_QUESTION_CASR_8&gt;</w:t>
      </w:r>
    </w:p>
    <w:p w14:paraId="156B7223" w14:textId="77777777" w:rsidR="00926BDA" w:rsidRDefault="00926BDA" w:rsidP="00926BDA">
      <w:permStart w:id="275065348" w:edGrp="everyone"/>
      <w:r>
        <w:t>TYPE YOUR TEXT HERE</w:t>
      </w:r>
    </w:p>
    <w:permEnd w:id="275065348"/>
    <w:p w14:paraId="56067118" w14:textId="77777777" w:rsidR="00926BDA" w:rsidRDefault="00926BDA" w:rsidP="00926BDA">
      <w:r>
        <w:t>&lt;ESMA_QUESTION_CASR_8&gt;</w:t>
      </w:r>
    </w:p>
    <w:p w14:paraId="502D9164" w14:textId="77777777" w:rsidR="00926BDA" w:rsidRDefault="00926BDA" w:rsidP="00926BDA"/>
    <w:p w14:paraId="7F2F83D7" w14:textId="77777777" w:rsidR="00926BDA" w:rsidRDefault="00926BDA" w:rsidP="00926BDA">
      <w:pPr>
        <w:pStyle w:val="Questionstyle"/>
        <w:spacing w:before="120" w:after="120"/>
        <w:ind w:left="851" w:hanging="709"/>
      </w:pPr>
      <w:r>
        <w:t>What are the key advantages of option 2a and how do these benefits address the issues in section 3?</w:t>
      </w:r>
    </w:p>
    <w:p w14:paraId="5CE1B921" w14:textId="77777777" w:rsidR="00926BDA" w:rsidRDefault="00926BDA" w:rsidP="00926BDA">
      <w:r>
        <w:t>&lt;ESMA_QUESTION_CASR_9&gt;</w:t>
      </w:r>
    </w:p>
    <w:p w14:paraId="5A8801BA" w14:textId="77777777" w:rsidR="00926BDA" w:rsidRDefault="00926BDA" w:rsidP="00926BDA">
      <w:permStart w:id="1249454344" w:edGrp="everyone"/>
      <w:r>
        <w:t>TYPE YOUR TEXT HERE</w:t>
      </w:r>
    </w:p>
    <w:permEnd w:id="1249454344"/>
    <w:p w14:paraId="2EB71523" w14:textId="77777777" w:rsidR="00926BDA" w:rsidRDefault="00926BDA" w:rsidP="00926BDA">
      <w:r>
        <w:t>&lt;ESMA_QUESTION_CASR_9&gt;</w:t>
      </w:r>
    </w:p>
    <w:p w14:paraId="40B2AE04" w14:textId="77777777" w:rsidR="00926BDA" w:rsidRDefault="00926BDA" w:rsidP="00926BDA"/>
    <w:p w14:paraId="21CAA22D" w14:textId="77777777" w:rsidR="00926BDA" w:rsidRDefault="00926BDA" w:rsidP="00926BDA">
      <w:pPr>
        <w:pStyle w:val="Questionstyle"/>
        <w:spacing w:before="120" w:after="120"/>
        <w:ind w:left="851" w:hanging="709"/>
      </w:pPr>
      <w:r>
        <w:t>What are the key limitations and potential risks of option 2a?</w:t>
      </w:r>
    </w:p>
    <w:p w14:paraId="75BC6033" w14:textId="77777777" w:rsidR="00926BDA" w:rsidRDefault="00926BDA" w:rsidP="00926BDA">
      <w:r>
        <w:t>&lt;ESMA_QUESTION_CASR_10&gt;</w:t>
      </w:r>
    </w:p>
    <w:p w14:paraId="56C38C26" w14:textId="77777777" w:rsidR="00926BDA" w:rsidRDefault="00926BDA" w:rsidP="00926BDA">
      <w:permStart w:id="199837036" w:edGrp="everyone"/>
      <w:r>
        <w:t>TYPE YOUR TEXT HERE</w:t>
      </w:r>
    </w:p>
    <w:permEnd w:id="199837036"/>
    <w:p w14:paraId="26E45EF4" w14:textId="77777777" w:rsidR="00926BDA" w:rsidRDefault="00926BDA" w:rsidP="00926BDA">
      <w:r>
        <w:t>&lt;ESMA_QUESTION_CASR_10&gt;</w:t>
      </w:r>
    </w:p>
    <w:p w14:paraId="221B859E" w14:textId="77777777" w:rsidR="00926BDA" w:rsidRDefault="00926BDA" w:rsidP="00926BDA"/>
    <w:p w14:paraId="14E1C31C" w14:textId="77777777" w:rsidR="00926BDA" w:rsidRDefault="00926BDA" w:rsidP="00926BDA">
      <w:pPr>
        <w:pStyle w:val="Questionstyle"/>
        <w:spacing w:before="120" w:after="120"/>
        <w:ind w:left="851" w:hanging="709"/>
      </w:pPr>
      <w:r w:rsidRPr="00CF1984">
        <w:t xml:space="preserve">What components are missing or not adequately addressed in option 2a? Why are these elements important, and how might their inclusion change the evaluation or implementation of option 2a? </w:t>
      </w:r>
    </w:p>
    <w:p w14:paraId="3406D24E" w14:textId="77777777" w:rsidR="00926BDA" w:rsidRDefault="00926BDA" w:rsidP="00926BDA">
      <w:r>
        <w:t>&lt;ESMA_QUESTION_CASR_11&gt;</w:t>
      </w:r>
    </w:p>
    <w:p w14:paraId="04BEB89B" w14:textId="77777777" w:rsidR="00926BDA" w:rsidRDefault="00926BDA" w:rsidP="00926BDA">
      <w:permStart w:id="2123508368" w:edGrp="everyone"/>
      <w:r>
        <w:t>TYPE YOUR TEXT HERE</w:t>
      </w:r>
    </w:p>
    <w:permEnd w:id="2123508368"/>
    <w:p w14:paraId="23BCC39D" w14:textId="77777777" w:rsidR="00926BDA" w:rsidRDefault="00926BDA" w:rsidP="00926BDA">
      <w:r>
        <w:t>&lt;ESMA_QUESTION_CASR_11&gt;</w:t>
      </w:r>
    </w:p>
    <w:p w14:paraId="1BA92572" w14:textId="77777777" w:rsidR="00926BDA" w:rsidRDefault="00926BDA" w:rsidP="00926BDA"/>
    <w:p w14:paraId="430E3DDC" w14:textId="77777777" w:rsidR="00926BDA" w:rsidRDefault="00926BDA" w:rsidP="00926BDA">
      <w:pPr>
        <w:pStyle w:val="Questionstyle"/>
        <w:spacing w:before="120" w:after="120"/>
        <w:ind w:left="851" w:hanging="709"/>
      </w:pPr>
      <w:r>
        <w:t>What are the key advantages of option 2b and how do these benefits address the issues in section 3? What regimes should be included in such an option beyond EMIR, MiFIR and SFTR?</w:t>
      </w:r>
    </w:p>
    <w:p w14:paraId="14680AA6" w14:textId="77777777" w:rsidR="00926BDA" w:rsidRDefault="00926BDA" w:rsidP="00926BDA">
      <w:r>
        <w:t>&lt;ESMA_QUESTION_CASR_12&gt;</w:t>
      </w:r>
    </w:p>
    <w:p w14:paraId="766D4117" w14:textId="77777777" w:rsidR="00926BDA" w:rsidRDefault="00926BDA" w:rsidP="00926BDA">
      <w:permStart w:id="16780711" w:edGrp="everyone"/>
      <w:r>
        <w:t>TYPE YOUR TEXT HERE</w:t>
      </w:r>
    </w:p>
    <w:permEnd w:id="16780711"/>
    <w:p w14:paraId="586717CC" w14:textId="77777777" w:rsidR="00926BDA" w:rsidRDefault="00926BDA" w:rsidP="00926BDA">
      <w:r>
        <w:t>&lt;ESMA_QUESTION_CASR_12&gt;</w:t>
      </w:r>
    </w:p>
    <w:p w14:paraId="0608E479" w14:textId="77777777" w:rsidR="00926BDA" w:rsidRDefault="00926BDA" w:rsidP="00926BDA"/>
    <w:p w14:paraId="1E31B6FF" w14:textId="77777777" w:rsidR="00926BDA" w:rsidRDefault="00926BDA" w:rsidP="00926BDA">
      <w:pPr>
        <w:pStyle w:val="Questionstyle"/>
        <w:spacing w:before="120" w:after="120"/>
        <w:ind w:left="851" w:hanging="709"/>
      </w:pPr>
      <w:r>
        <w:t>What are the key limitations and potential risks of option 2b?</w:t>
      </w:r>
    </w:p>
    <w:p w14:paraId="74462196" w14:textId="77777777" w:rsidR="00926BDA" w:rsidRDefault="00926BDA" w:rsidP="00926BDA">
      <w:r>
        <w:lastRenderedPageBreak/>
        <w:t>&lt;ESMA_QUESTION_CASR_13&gt;</w:t>
      </w:r>
    </w:p>
    <w:p w14:paraId="4183663D" w14:textId="77777777" w:rsidR="00926BDA" w:rsidRDefault="00926BDA" w:rsidP="00926BDA">
      <w:permStart w:id="1489376342" w:edGrp="everyone"/>
      <w:r>
        <w:t>TYPE YOUR TEXT HERE</w:t>
      </w:r>
    </w:p>
    <w:permEnd w:id="1489376342"/>
    <w:p w14:paraId="68F5F79E" w14:textId="77777777" w:rsidR="00926BDA" w:rsidRDefault="00926BDA" w:rsidP="00926BDA">
      <w:r>
        <w:t>&lt;ESMA_QUESTION_CASR_13&gt;</w:t>
      </w:r>
    </w:p>
    <w:p w14:paraId="3F2950D9" w14:textId="77777777" w:rsidR="00926BDA" w:rsidRDefault="00926BDA" w:rsidP="00926BDA"/>
    <w:p w14:paraId="2F0F769D" w14:textId="77777777" w:rsidR="00926BDA" w:rsidRDefault="00926BDA" w:rsidP="00926BDA">
      <w:pPr>
        <w:pStyle w:val="Questionstyle"/>
        <w:spacing w:before="120" w:after="120"/>
        <w:ind w:left="851" w:hanging="709"/>
      </w:pPr>
      <w:r>
        <w:t>What components are missing or not adequately addressed in option 2b? Why are these elements important, and how might their inclusion change the evaluation or implementation of option 2b?</w:t>
      </w:r>
    </w:p>
    <w:p w14:paraId="7F464072" w14:textId="77777777" w:rsidR="00926BDA" w:rsidRDefault="00926BDA" w:rsidP="00926BDA">
      <w:r>
        <w:t>&lt;ESMA_QUESTION_CASR_14&gt;</w:t>
      </w:r>
    </w:p>
    <w:p w14:paraId="45234655" w14:textId="77777777" w:rsidR="00926BDA" w:rsidRDefault="00926BDA" w:rsidP="00926BDA">
      <w:permStart w:id="1849847968" w:edGrp="everyone"/>
      <w:r>
        <w:t>TYPE YOUR TEXT HERE</w:t>
      </w:r>
    </w:p>
    <w:permEnd w:id="1849847968"/>
    <w:p w14:paraId="754DFA86" w14:textId="77777777" w:rsidR="00926BDA" w:rsidRDefault="00926BDA" w:rsidP="00926BDA">
      <w:r>
        <w:t>&lt;ESMA_QUESTION_CASR_14&gt;</w:t>
      </w:r>
    </w:p>
    <w:p w14:paraId="4B90EA1B" w14:textId="77777777" w:rsidR="00926BDA" w:rsidRDefault="00926BDA" w:rsidP="00926BDA"/>
    <w:p w14:paraId="1171D85E" w14:textId="77777777" w:rsidR="00926BDA" w:rsidRDefault="00926BDA" w:rsidP="00926BDA">
      <w:pPr>
        <w:pStyle w:val="Questionstyle"/>
        <w:spacing w:before="120" w:after="120"/>
        <w:ind w:left="851" w:hanging="709"/>
      </w:pPr>
      <w:r>
        <w:t>Which of the two main options (1. “removal of duplication in current frameworks” or 2. "report once") and related sub-options identified  do you believe should be prioritised, and why?</w:t>
      </w:r>
    </w:p>
    <w:p w14:paraId="5786375C" w14:textId="77777777" w:rsidR="00926BDA" w:rsidRDefault="00926BDA" w:rsidP="00926BDA">
      <w:r>
        <w:t>&lt;ESMA_QUESTION_CASR_15&gt;</w:t>
      </w:r>
    </w:p>
    <w:p w14:paraId="53069A83" w14:textId="77777777" w:rsidR="00926BDA" w:rsidRDefault="00926BDA" w:rsidP="00926BDA">
      <w:permStart w:id="695482675" w:edGrp="everyone"/>
      <w:r>
        <w:t>TYPE YOUR TEXT HERE</w:t>
      </w:r>
    </w:p>
    <w:permEnd w:id="695482675"/>
    <w:p w14:paraId="3F62887A" w14:textId="77777777" w:rsidR="00926BDA" w:rsidRDefault="00926BDA" w:rsidP="00926BDA">
      <w:r>
        <w:t>&lt;ESMA_QUESTION_CASR_15&gt;</w:t>
      </w:r>
    </w:p>
    <w:p w14:paraId="421A97F2" w14:textId="77777777" w:rsidR="00926BDA" w:rsidRDefault="00926BDA" w:rsidP="00926BDA"/>
    <w:p w14:paraId="114400C6" w14:textId="77777777" w:rsidR="00926BDA" w:rsidRDefault="00926BDA" w:rsidP="00926BDA">
      <w:pPr>
        <w:pStyle w:val="Questionstyle"/>
        <w:spacing w:before="120" w:after="120"/>
        <w:ind w:left="851" w:hanging="709"/>
      </w:pPr>
      <w:r>
        <w:t>Are there any additional options that should be considered on top of option 1 and 2? For example, do you identify other potential intermediate solutions, combinations of elements from the identified options, or phased approaches? If so, what are their main characteristics, the reasons for considering them, and the key advantages they would bring?</w:t>
      </w:r>
    </w:p>
    <w:p w14:paraId="78DE67F2" w14:textId="77777777" w:rsidR="00926BDA" w:rsidRDefault="00926BDA" w:rsidP="00926BDA">
      <w:r>
        <w:t>&lt;ESMA_QUESTION_CASR_16&gt;</w:t>
      </w:r>
    </w:p>
    <w:p w14:paraId="21D6788F" w14:textId="77777777" w:rsidR="00F46389" w:rsidRPr="0072606D" w:rsidRDefault="00F46389" w:rsidP="00F46389">
      <w:pPr>
        <w:spacing w:after="200"/>
        <w:ind w:left="720"/>
      </w:pPr>
      <w:permStart w:id="1784418006" w:edGrp="everyone"/>
      <w:r w:rsidRPr="0072606D">
        <w:t xml:space="preserve">We support a mix of Options 1 and 2, without agreeing with any one option or </w:t>
      </w:r>
      <w:proofErr w:type="spellStart"/>
      <w:r w:rsidRPr="0072606D">
        <w:t>suboption</w:t>
      </w:r>
      <w:proofErr w:type="spellEnd"/>
      <w:r w:rsidRPr="0072606D">
        <w:t xml:space="preserve"> in its entirety.</w:t>
      </w:r>
    </w:p>
    <w:p w14:paraId="3BDBC51D" w14:textId="77777777" w:rsidR="00F46389" w:rsidRDefault="00F46389" w:rsidP="00F46389">
      <w:pPr>
        <w:spacing w:after="200"/>
        <w:ind w:left="720"/>
      </w:pPr>
      <w:r w:rsidRPr="0072606D">
        <w:t>We strongly support the “report once” principle, with reporting obligations for each trade falling on a single counterparty</w:t>
      </w:r>
      <w:r>
        <w:t xml:space="preserve"> (</w:t>
      </w:r>
      <w:r w:rsidRPr="004A66DE">
        <w:rPr>
          <w:i/>
          <w:iCs/>
        </w:rPr>
        <w:t>i.e.</w:t>
      </w:r>
      <w:r w:rsidRPr="004A66DE">
        <w:t xml:space="preserve"> no dual</w:t>
      </w:r>
      <w:r>
        <w:t>-</w:t>
      </w:r>
      <w:r w:rsidRPr="004A66DE">
        <w:t>sided reporting and by default the party with more information reports)</w:t>
      </w:r>
      <w:r>
        <w:t xml:space="preserve"> and to one regime only (depending on the type of </w:t>
      </w:r>
      <w:r w:rsidRPr="006015F4">
        <w:t xml:space="preserve">instrument) </w:t>
      </w:r>
      <w:proofErr w:type="gramStart"/>
      <w:r w:rsidRPr="006015F4">
        <w:t>similar to</w:t>
      </w:r>
      <w:proofErr w:type="gramEnd"/>
      <w:r w:rsidRPr="006015F4">
        <w:t xml:space="preserve"> the </w:t>
      </w:r>
      <w:proofErr w:type="spellStart"/>
      <w:r w:rsidRPr="006015F4">
        <w:t>MiFIR</w:t>
      </w:r>
      <w:proofErr w:type="spellEnd"/>
      <w:r w:rsidRPr="006015F4">
        <w:t xml:space="preserve"> post-trade transparency regime. The instrument scope should be segregated per regime to ensure firms truly report only once: cash products are reported under </w:t>
      </w:r>
      <w:proofErr w:type="spellStart"/>
      <w:r w:rsidRPr="006015F4">
        <w:t>MiFIR</w:t>
      </w:r>
      <w:proofErr w:type="spellEnd"/>
      <w:r w:rsidRPr="006015F4">
        <w:t>; derivatives are reported under EMIR; SFTs are reported under SFTR; and physical commodities/non-derivatives are reported under REMIT.</w:t>
      </w:r>
    </w:p>
    <w:p w14:paraId="7925C817" w14:textId="77777777" w:rsidR="00F46389" w:rsidRPr="0072606D" w:rsidRDefault="00F46389" w:rsidP="00F46389">
      <w:pPr>
        <w:spacing w:after="200"/>
        <w:ind w:left="720"/>
      </w:pPr>
      <w:r>
        <w:t>M</w:t>
      </w:r>
      <w:r w:rsidRPr="0072606D">
        <w:t xml:space="preserve">arket participants should be able to report transactions to a single portal, with the various competent authorities having the ability to access the data. Such an approach would significantly reduce the reporting burdens on market participants, who are now frequently required to report transactions to as many as 27 separate portals, with many requiring different reporting formats. Not only would this reduce the costs of </w:t>
      </w:r>
      <w:proofErr w:type="gramStart"/>
      <w:r w:rsidRPr="0072606D">
        <w:t>reporting, and</w:t>
      </w:r>
      <w:proofErr w:type="gramEnd"/>
      <w:r w:rsidRPr="0072606D">
        <w:t xml:space="preserve"> thereby benefit investors who bear the ultimate cost of reporting </w:t>
      </w:r>
      <w:r w:rsidRPr="0072606D">
        <w:lastRenderedPageBreak/>
        <w:t>requirements, but it also would provide regulators with more consistent data and make it easier for them to aggregate data across the EU to monitor for systemic risk.</w:t>
      </w:r>
    </w:p>
    <w:p w14:paraId="397A2366" w14:textId="77777777" w:rsidR="00F46389" w:rsidRDefault="00F46389" w:rsidP="00F46389">
      <w:pPr>
        <w:spacing w:after="200"/>
        <w:ind w:left="720"/>
      </w:pPr>
      <w:r w:rsidRPr="0072606D">
        <w:t xml:space="preserve">While we support the “report once” principle, we do not believe the goal should be to create a unified template for reporting information that was previously distributed across various regimes. A different reporting template may be appropriate for each type of instrument. It is unnecessary, and likely counterproductive, to create a unified template—divergence may be desirable. Furthermore, creating a unified reporting template would be extremely time-consuming given the number of different reporting regimes in the EU.  </w:t>
      </w:r>
    </w:p>
    <w:p w14:paraId="1DACE270" w14:textId="77777777" w:rsidR="00F46389" w:rsidRDefault="00F46389" w:rsidP="00F46389">
      <w:pPr>
        <w:spacing w:after="200"/>
        <w:ind w:left="720"/>
      </w:pPr>
      <w:r w:rsidRPr="0072606D">
        <w:t xml:space="preserve">ESMA should consider, whenever possible, assigning the transaction reporting and post-trade reporting obligations to </w:t>
      </w:r>
      <w:r>
        <w:t>financial market infrastructure (</w:t>
      </w:r>
      <w:r w:rsidRPr="004A66DE">
        <w:rPr>
          <w:i/>
          <w:iCs/>
        </w:rPr>
        <w:t>i.e.</w:t>
      </w:r>
      <w:r>
        <w:t xml:space="preserve"> </w:t>
      </w:r>
      <w:r w:rsidRPr="0072606D">
        <w:t>trading venues and clearing houses</w:t>
      </w:r>
      <w:r>
        <w:t>,</w:t>
      </w:r>
      <w:r w:rsidRPr="0072606D">
        <w:t xml:space="preserve"> as applicable</w:t>
      </w:r>
      <w:r>
        <w:t>)</w:t>
      </w:r>
      <w:r w:rsidRPr="0072606D">
        <w:t xml:space="preserve"> rather than market participants.  </w:t>
      </w:r>
    </w:p>
    <w:permEnd w:id="1784418006"/>
    <w:p w14:paraId="3AD06511" w14:textId="77777777" w:rsidR="00926BDA" w:rsidRDefault="00926BDA" w:rsidP="00926BDA">
      <w:r>
        <w:t>&lt;ESMA_QUESTION_CASR_16&gt;</w:t>
      </w:r>
    </w:p>
    <w:p w14:paraId="67C20FBF" w14:textId="77777777" w:rsidR="00926BDA" w:rsidRDefault="00926BDA" w:rsidP="00926BDA"/>
    <w:p w14:paraId="1AE2F2AC" w14:textId="77777777" w:rsidR="00926BDA" w:rsidRDefault="00926BDA" w:rsidP="00926BDA">
      <w:pPr>
        <w:pStyle w:val="Questionstyle"/>
        <w:spacing w:before="120" w:after="120"/>
        <w:ind w:left="851" w:hanging="709"/>
      </w:pPr>
      <w:r>
        <w:t>Should the reporting channels, and flows be modified to ensure consistent reporting, and if so, how? Under which option/s do you consider these changes should be implemented?</w:t>
      </w:r>
    </w:p>
    <w:p w14:paraId="0F8473A0" w14:textId="77777777" w:rsidR="00926BDA" w:rsidRDefault="00926BDA" w:rsidP="00926BDA">
      <w:r>
        <w:t>&lt;ESMA_QUESTION_CASR_17&gt;</w:t>
      </w:r>
    </w:p>
    <w:p w14:paraId="67546B02" w14:textId="77777777" w:rsidR="00926BDA" w:rsidRDefault="00926BDA" w:rsidP="00926BDA">
      <w:permStart w:id="1438851636" w:edGrp="everyone"/>
      <w:r>
        <w:t>TYPE YOUR TEXT HERE</w:t>
      </w:r>
    </w:p>
    <w:permEnd w:id="1438851636"/>
    <w:p w14:paraId="2C9A1A2C" w14:textId="77777777" w:rsidR="00926BDA" w:rsidRDefault="00926BDA" w:rsidP="00926BDA">
      <w:r>
        <w:t>&lt;ESMA_QUESTION_CASR_17&gt;</w:t>
      </w:r>
    </w:p>
    <w:p w14:paraId="2EEAD9C9" w14:textId="77777777" w:rsidR="00926BDA" w:rsidRDefault="00926BDA" w:rsidP="00926BDA"/>
    <w:p w14:paraId="02B1B8A8" w14:textId="77777777" w:rsidR="00926BDA" w:rsidRDefault="00926BDA" w:rsidP="00926BDA">
      <w:pPr>
        <w:pStyle w:val="Questionstyle"/>
        <w:spacing w:before="120" w:after="120"/>
        <w:ind w:left="851" w:hanging="709"/>
      </w:pPr>
      <w:r>
        <w:t>In this regard, and based on the current order book requirements for trading venues and the availability of information, what are the advantages and disadvantages of transferring the reporting of on-venue transactions under MiFIR and EMIR to trading venues?</w:t>
      </w:r>
    </w:p>
    <w:p w14:paraId="7705C731" w14:textId="77777777" w:rsidR="00926BDA" w:rsidRDefault="00926BDA" w:rsidP="00926BDA">
      <w:r>
        <w:t>&lt;ESMA_QUESTION_CASR_18&gt;</w:t>
      </w:r>
    </w:p>
    <w:p w14:paraId="33B78B8E" w14:textId="77777777" w:rsidR="00926BDA" w:rsidRDefault="00926BDA" w:rsidP="00926BDA">
      <w:permStart w:id="1962436404" w:edGrp="everyone"/>
      <w:r>
        <w:t>TYPE YOUR TEXT HERE</w:t>
      </w:r>
    </w:p>
    <w:permEnd w:id="1962436404"/>
    <w:p w14:paraId="23718E98" w14:textId="77777777" w:rsidR="00926BDA" w:rsidRDefault="00926BDA" w:rsidP="00926BDA">
      <w:r>
        <w:t>&lt;ESMA_QUESTION_CASR_18&gt;</w:t>
      </w:r>
    </w:p>
    <w:p w14:paraId="5678260C" w14:textId="77777777" w:rsidR="00926BDA" w:rsidRDefault="00926BDA" w:rsidP="00926BDA"/>
    <w:p w14:paraId="5A58897A" w14:textId="77777777" w:rsidR="00926BDA" w:rsidRDefault="00926BDA" w:rsidP="00926BDA">
      <w:pPr>
        <w:pStyle w:val="Questionstyle"/>
        <w:spacing w:before="120" w:after="120"/>
        <w:ind w:left="851" w:hanging="709"/>
      </w:pPr>
      <w:r>
        <w:t xml:space="preserve">Additionally, what are your views on enhancing ESMA role as data hub by developing a framework where entities would report consistent and harmonised data directly to ESMA? Should this option consider direct reporting to ESMA coupled with EU and national authorities’ access to the centrally held data, eliminating multiple submissions? </w:t>
      </w:r>
    </w:p>
    <w:p w14:paraId="119EF579" w14:textId="77777777" w:rsidR="00926BDA" w:rsidRDefault="00926BDA" w:rsidP="00926BDA">
      <w:r>
        <w:t>&lt;ESMA_QUESTION_CASR_19&gt;</w:t>
      </w:r>
    </w:p>
    <w:p w14:paraId="00F5B6DE" w14:textId="77777777" w:rsidR="00F46389" w:rsidRPr="0072606D" w:rsidRDefault="00F46389" w:rsidP="00F46389">
      <w:pPr>
        <w:spacing w:after="200"/>
        <w:ind w:left="720" w:hanging="11"/>
      </w:pPr>
      <w:permStart w:id="105197077" w:edGrp="everyone"/>
      <w:r w:rsidRPr="0072606D">
        <w:t>As discussed above, we support the creation of a single, central data hub in the EU by developing a framework where entities would report consistent and harmonised data directly to the hub, with NCAs having access to the centrally held data.</w:t>
      </w:r>
    </w:p>
    <w:p w14:paraId="6D751DD7" w14:textId="14240FF3" w:rsidR="00F46389" w:rsidRPr="0072606D" w:rsidRDefault="00F46389" w:rsidP="00F46389">
      <w:pPr>
        <w:spacing w:after="200"/>
        <w:ind w:left="720"/>
      </w:pPr>
      <w:r w:rsidRPr="0072606D">
        <w:t>However, any such arrangements should not change the fundamental supervisory structure of investment fund management firms in the EU.</w:t>
      </w:r>
    </w:p>
    <w:permEnd w:id="105197077"/>
    <w:p w14:paraId="07615230" w14:textId="77777777" w:rsidR="00926BDA" w:rsidRDefault="00926BDA" w:rsidP="00926BDA">
      <w:r>
        <w:lastRenderedPageBreak/>
        <w:t>&lt;ESMA_QUESTION_CASR_19&gt;</w:t>
      </w:r>
    </w:p>
    <w:p w14:paraId="3B9A9E21" w14:textId="77777777" w:rsidR="00926BDA" w:rsidRDefault="00926BDA" w:rsidP="00926BDA"/>
    <w:p w14:paraId="35B135A6" w14:textId="77777777" w:rsidR="00926BDA" w:rsidRDefault="00926BDA" w:rsidP="00926BDA">
      <w:pPr>
        <w:pStyle w:val="Questionstyle"/>
        <w:spacing w:before="120" w:after="120"/>
        <w:ind w:left="851" w:hanging="709"/>
      </w:pPr>
      <w:r>
        <w:t>In the case of centralisation of reporting, please expand on the advantages and disadvantages as well as the implementation challenges and opportunities? Under this scenario, what additional elements should be considered (i.e. Operational aspects, technical implementation, etc.)</w:t>
      </w:r>
    </w:p>
    <w:p w14:paraId="6A63FD17" w14:textId="77777777" w:rsidR="00926BDA" w:rsidRDefault="00926BDA" w:rsidP="00926BDA">
      <w:r>
        <w:t>&lt;ESMA_QUESTION_CASR_20&gt;</w:t>
      </w:r>
    </w:p>
    <w:p w14:paraId="18F148C1" w14:textId="77777777" w:rsidR="00926BDA" w:rsidRDefault="00926BDA" w:rsidP="00926BDA">
      <w:permStart w:id="817709938" w:edGrp="everyone"/>
      <w:r>
        <w:t>TYPE YOUR TEXT HERE</w:t>
      </w:r>
    </w:p>
    <w:permEnd w:id="817709938"/>
    <w:p w14:paraId="7B80CF14" w14:textId="77777777" w:rsidR="00926BDA" w:rsidRDefault="00926BDA" w:rsidP="00926BDA">
      <w:r>
        <w:t>&lt;ESMA_QUESTION_CASR_20&gt;</w:t>
      </w:r>
    </w:p>
    <w:p w14:paraId="17953099" w14:textId="77777777" w:rsidR="00926BDA" w:rsidRDefault="00926BDA" w:rsidP="00926BDA"/>
    <w:p w14:paraId="51761AA6" w14:textId="77777777" w:rsidR="00926BDA" w:rsidRDefault="00926BDA" w:rsidP="00926BDA">
      <w:pPr>
        <w:pStyle w:val="Questionstyle"/>
        <w:spacing w:before="120" w:after="120"/>
        <w:ind w:left="851" w:hanging="709"/>
      </w:pPr>
      <w:r>
        <w:t>Do you consider that other technologies (e.g. DLT and Smart Contracts) should be considered as a way to simplify the reporting process?</w:t>
      </w:r>
    </w:p>
    <w:p w14:paraId="3AE92D91" w14:textId="77777777" w:rsidR="00926BDA" w:rsidRDefault="00926BDA" w:rsidP="00926BDA">
      <w:r>
        <w:t>&lt;ESMA_QUESTION_CASR_21&gt;</w:t>
      </w:r>
    </w:p>
    <w:p w14:paraId="1E85F6A9" w14:textId="77777777" w:rsidR="00926BDA" w:rsidRDefault="00926BDA" w:rsidP="00926BDA">
      <w:permStart w:id="993723206" w:edGrp="everyone"/>
      <w:r>
        <w:t>TYPE YOUR TEXT HERE</w:t>
      </w:r>
    </w:p>
    <w:permEnd w:id="993723206"/>
    <w:p w14:paraId="145462DA" w14:textId="77777777" w:rsidR="00926BDA" w:rsidRDefault="00926BDA" w:rsidP="00926BDA">
      <w:r>
        <w:t>&lt;ESMA_QUESTION_CASR_21&gt;</w:t>
      </w:r>
    </w:p>
    <w:p w14:paraId="0460F42E" w14:textId="77777777" w:rsidR="00926BDA" w:rsidRDefault="00926BDA" w:rsidP="00926BDA"/>
    <w:p w14:paraId="168437EB" w14:textId="77777777" w:rsidR="00926BDA" w:rsidRDefault="00926BDA" w:rsidP="00926BDA">
      <w:pPr>
        <w:pStyle w:val="Questionstyle"/>
        <w:spacing w:before="120" w:after="120"/>
        <w:ind w:left="851" w:hanging="709"/>
      </w:pPr>
      <w:r>
        <w:t>Where do you think the cost associated with dual sided reporting is generated? What would be the cost impact of removing dual-sided reporting (e.g. Substituting reconciliation requirements with other measures such as audits against internal record systems as required in the U.S. or increase interaction among counterparties and NCAs)? Do you consider that dual sided reporting may reduce the ability of reporting entities to fully control the data submitted to authorities? Do you consider that the reporting should be strictly from one side?</w:t>
      </w:r>
    </w:p>
    <w:p w14:paraId="6961F67B" w14:textId="77777777" w:rsidR="00926BDA" w:rsidRDefault="00926BDA" w:rsidP="00926BDA">
      <w:r>
        <w:t>&lt;ESMA_QUESTION_CASR_22&gt;</w:t>
      </w:r>
    </w:p>
    <w:p w14:paraId="6E39AACB" w14:textId="77777777" w:rsidR="00926BDA" w:rsidRDefault="00926BDA" w:rsidP="00926BDA">
      <w:permStart w:id="1652326327" w:edGrp="everyone"/>
      <w:r>
        <w:t>TYPE YOUR TEXT HERE</w:t>
      </w:r>
    </w:p>
    <w:permEnd w:id="1652326327"/>
    <w:p w14:paraId="355A0CFB" w14:textId="77777777" w:rsidR="00926BDA" w:rsidRDefault="00926BDA" w:rsidP="00926BDA">
      <w:r>
        <w:t>&lt;ESMA_QUESTION_CASR_22&gt;</w:t>
      </w:r>
    </w:p>
    <w:p w14:paraId="5AB0CDED" w14:textId="77777777" w:rsidR="00926BDA" w:rsidRDefault="00926BDA" w:rsidP="00926BDA"/>
    <w:p w14:paraId="4BD8E7A5" w14:textId="77777777" w:rsidR="00926BDA" w:rsidRDefault="00926BDA" w:rsidP="00926BDA">
      <w:pPr>
        <w:pStyle w:val="Questionstyle"/>
        <w:spacing w:before="120" w:after="120"/>
        <w:ind w:left="851" w:hanging="709"/>
      </w:pPr>
      <w:r>
        <w:t>Would you consider the modification of reporting frequency useful under the general objective of reducing the reporting burden, and why? What would be the specific proposals in this regard?</w:t>
      </w:r>
    </w:p>
    <w:p w14:paraId="5B3B8A05" w14:textId="77777777" w:rsidR="00926BDA" w:rsidRDefault="00926BDA" w:rsidP="00926BDA">
      <w:r>
        <w:t>&lt;ESMA_QUESTION_CASR_23&gt;</w:t>
      </w:r>
    </w:p>
    <w:p w14:paraId="34B68342" w14:textId="77777777" w:rsidR="00F46389" w:rsidRPr="0072606D" w:rsidRDefault="00F46389" w:rsidP="00F46389">
      <w:pPr>
        <w:spacing w:after="200"/>
        <w:ind w:left="720"/>
      </w:pPr>
      <w:permStart w:id="806124853" w:edGrp="everyone"/>
      <w:r w:rsidRPr="0072606D">
        <w:t>MFA recommends that the EU eliminate dual-sided reporting obligations in favour of single-sided reporting where the dealer—the party executing the transaction that is currently subject to a myriad trade reporting obligations—is solely responsible for fulfilling the reporting obligation.</w:t>
      </w:r>
    </w:p>
    <w:p w14:paraId="58D63DF6" w14:textId="77777777" w:rsidR="00F46389" w:rsidRDefault="00F46389" w:rsidP="00F46389">
      <w:pPr>
        <w:spacing w:after="200"/>
        <w:ind w:left="720"/>
      </w:pPr>
      <w:r w:rsidRPr="0072606D">
        <w:t>There is no need for dual-sided reporting, which is duplicative, and increases the likelihood that regulators will receive inconsistent data covering the same trade. We note that often (but not always) the executing dealer has entered into an agreement with the non-dealer (buy-side) counterparty to report transactions on the non-dealer’s behalf.</w:t>
      </w:r>
    </w:p>
    <w:p w14:paraId="2E13EF0B" w14:textId="77777777" w:rsidR="00F46389" w:rsidRPr="0072606D" w:rsidRDefault="00F46389" w:rsidP="00F46389">
      <w:pPr>
        <w:spacing w:after="200"/>
        <w:ind w:left="720"/>
      </w:pPr>
      <w:r w:rsidRPr="0072606D">
        <w:lastRenderedPageBreak/>
        <w:t xml:space="preserve">From a policy perspective, the regulatory authorities will receive more than sufficient information from the sell-side dealer in the transaction; the sell-side dealer is usually also in a better position in terms of systems and infrastructure to gather and report information (given it has systems and infrastructure to deal with typically large numbers of clients). </w:t>
      </w:r>
    </w:p>
    <w:p w14:paraId="4DC64952" w14:textId="77777777" w:rsidR="00F46389" w:rsidRPr="0072606D" w:rsidRDefault="00F46389" w:rsidP="00F46389">
      <w:pPr>
        <w:spacing w:after="200"/>
        <w:ind w:left="720"/>
      </w:pPr>
      <w:r w:rsidRPr="0072606D">
        <w:t>Furthermore, firms are typically required to maintain transaction data for a period of five years. Thus, regulators can always request data from the buy-side in the event it is necessary to confirm the details of transactions.</w:t>
      </w:r>
    </w:p>
    <w:p w14:paraId="4AF79DD7" w14:textId="77777777" w:rsidR="00F46389" w:rsidRPr="0072606D" w:rsidRDefault="00F46389" w:rsidP="00F46389">
      <w:pPr>
        <w:spacing w:after="200"/>
        <w:ind w:left="720"/>
      </w:pPr>
      <w:r w:rsidRPr="0072606D">
        <w:t xml:space="preserve">Imposing the reporting obligation also on buy-side firms places a considerable burden on asset managers, particularly smaller firms, with no measurable benefit. The cost associated with dual-sided reporting is a significant barrier to entry for new asset managers, which is contrary to the EC’s stated objective of enhancing the integration of the EU capital markets and supporting their modernisation. </w:t>
      </w:r>
    </w:p>
    <w:p w14:paraId="186F0CC9" w14:textId="77777777" w:rsidR="00F46389" w:rsidRPr="0072606D" w:rsidRDefault="00F46389" w:rsidP="00F46389">
      <w:pPr>
        <w:spacing w:after="200"/>
        <w:ind w:left="720"/>
      </w:pPr>
      <w:r w:rsidRPr="0072606D">
        <w:t xml:space="preserve">Finally, eliminating dual-sided reporting obligations would also result in the EU being more aligned with other global financial centres including the U.S. and Hong Kong; we note also proposals currently under consideration by the UK’s </w:t>
      </w:r>
      <w:r>
        <w:t>FCA</w:t>
      </w:r>
      <w:r w:rsidRPr="0072606D">
        <w:t xml:space="preserve"> in relation to the scope of MiFID transaction reporting. </w:t>
      </w:r>
    </w:p>
    <w:p w14:paraId="774A4007" w14:textId="77777777" w:rsidR="00F46389" w:rsidRPr="0072606D" w:rsidRDefault="00F46389" w:rsidP="00F46389">
      <w:pPr>
        <w:spacing w:after="200"/>
        <w:ind w:left="720"/>
      </w:pPr>
      <w:r w:rsidRPr="0072606D">
        <w:t>In the U.S., transaction reporting for equity securities is governed by rules of the Financial Industry Regulatory Authority (“</w:t>
      </w:r>
      <w:r w:rsidRPr="0072606D">
        <w:rPr>
          <w:b/>
          <w:bCs/>
        </w:rPr>
        <w:t>FINRA</w:t>
      </w:r>
      <w:r w:rsidRPr="0072606D">
        <w:t>”) and the Securities and Exchange Commission (“</w:t>
      </w:r>
      <w:r w:rsidRPr="0072606D">
        <w:rPr>
          <w:b/>
          <w:bCs/>
        </w:rPr>
        <w:t>SEC</w:t>
      </w:r>
      <w:r w:rsidRPr="0072606D">
        <w:t>”). For OTC equity securities, FINRA rules provide that (</w:t>
      </w:r>
      <w:proofErr w:type="spellStart"/>
      <w:r w:rsidRPr="0072606D">
        <w:t>i</w:t>
      </w:r>
      <w:proofErr w:type="spellEnd"/>
      <w:r w:rsidRPr="0072606D">
        <w:t xml:space="preserve">) in transactions between two broker-dealer members, the executing party shall report the trade and (ii) in transactions between a broker-dealer member and a non-member or customer, the broker-dealer member shall report the trade. A fund manager providing asset management services does not need to report under the FINRA rules unless it is </w:t>
      </w:r>
      <w:proofErr w:type="gramStart"/>
      <w:r w:rsidRPr="0072606D">
        <w:t>dually-registered</w:t>
      </w:r>
      <w:proofErr w:type="gramEnd"/>
      <w:r w:rsidRPr="0072606D">
        <w:t xml:space="preserve"> as a broker-dealer. Similarly, only FINRA-regulated firms report fixed income security transactions to the Trade Reporting and Compliance Engine (“</w:t>
      </w:r>
      <w:r w:rsidRPr="0072606D">
        <w:rPr>
          <w:b/>
          <w:bCs/>
        </w:rPr>
        <w:t>TRACE</w:t>
      </w:r>
      <w:r w:rsidRPr="0072606D">
        <w:t>”). Exchange-traded equity securities are reported by national securities exchanges according to FINRA and SEC Rules. The trade reporting obligation, therefore, does not lie with asset managers.</w:t>
      </w:r>
    </w:p>
    <w:p w14:paraId="7687318B" w14:textId="77777777" w:rsidR="00F46389" w:rsidRPr="0072606D" w:rsidRDefault="00F46389" w:rsidP="00F46389">
      <w:pPr>
        <w:spacing w:after="200"/>
        <w:ind w:left="720"/>
      </w:pPr>
      <w:r w:rsidRPr="0072606D">
        <w:t>In Hong Kong, discretionary investment managers are not subject to transaction reporting. Reporting requirements can apply to ‘relevant regulated intermediaries’ (“</w:t>
      </w:r>
      <w:r w:rsidRPr="0072606D">
        <w:rPr>
          <w:b/>
          <w:bCs/>
        </w:rPr>
        <w:t>RRIs</w:t>
      </w:r>
      <w:r w:rsidRPr="0072606D">
        <w:t>”), i.e. persons who, for Hong Kong-listed securities, (</w:t>
      </w:r>
      <w:proofErr w:type="spellStart"/>
      <w:r w:rsidRPr="0072606D">
        <w:t>i</w:t>
      </w:r>
      <w:proofErr w:type="spellEnd"/>
      <w:r w:rsidRPr="0072606D">
        <w:t xml:space="preserve">) submit on-exchange orders for execution, or (ii) conduct off-exchange trade reporting. Fund managers would only be considered RRIs (and therefore be subject to the reporting regime), if they provide certain services, such as brokerage services. By doing so, the fund manager is acting in a ‘securities broker’ role. However, if the fund manager were providing asset management services instead, the executing broker would instead be responsible for such identification/tagging. A licensed manager of a fund or investment account would only be providing brokerage services (and therefore be considered an RRI subject to reporting) by executing trades on a non-discretionary basis (e.g. where it acts as a central dealing desk to execute trades on behalf of offshore affiliate that makes the investment decision). However, a discretionary </w:t>
      </w:r>
      <w:r w:rsidRPr="0072606D">
        <w:lastRenderedPageBreak/>
        <w:t xml:space="preserve">manager would not be considered an RRI and would therefore not be subject to reporting. </w:t>
      </w:r>
    </w:p>
    <w:p w14:paraId="3B849C01" w14:textId="77777777" w:rsidR="00F46389" w:rsidRPr="0072606D" w:rsidRDefault="00F46389" w:rsidP="00F46389">
      <w:pPr>
        <w:spacing w:after="200"/>
        <w:ind w:left="720"/>
      </w:pPr>
      <w:r w:rsidRPr="0072606D">
        <w:t>In Singapore, there are no equivalent transaction reporting requirements analogous to those under MiFID. Instead, the Monetary Authority of Singapore (“</w:t>
      </w:r>
      <w:r w:rsidRPr="0072606D">
        <w:rPr>
          <w:b/>
          <w:bCs/>
        </w:rPr>
        <w:t>MAS</w:t>
      </w:r>
      <w:r w:rsidRPr="0072606D">
        <w:t xml:space="preserve">”) relies on the Singapore Exchange to conduct market surveillance, monitor for market manipulation, and report suspicious trading behaviour to the MAS as necessary. </w:t>
      </w:r>
    </w:p>
    <w:p w14:paraId="6961AB9A" w14:textId="77777777" w:rsidR="00F46389" w:rsidRPr="0072606D" w:rsidRDefault="00F46389" w:rsidP="00F46389">
      <w:pPr>
        <w:spacing w:after="200"/>
        <w:ind w:left="720"/>
      </w:pPr>
      <w:r w:rsidRPr="0072606D">
        <w:t>In the Abu Dhabi Global Market (“</w:t>
      </w:r>
      <w:r w:rsidRPr="0072606D">
        <w:rPr>
          <w:b/>
          <w:bCs/>
        </w:rPr>
        <w:t>ADGM</w:t>
      </w:r>
      <w:r w:rsidRPr="0072606D">
        <w:t>”) and Dubai International Financial Centre (“</w:t>
      </w:r>
      <w:r w:rsidRPr="0072606D">
        <w:rPr>
          <w:b/>
          <w:bCs/>
        </w:rPr>
        <w:t>DIFC</w:t>
      </w:r>
      <w:r w:rsidRPr="0072606D">
        <w:t xml:space="preserve">”), there are no equivalent transaction reporting requirements on buyside firms that are analogous to those under MiFID. In these jurisdictions, a combination of reporting from trading venues, suspicious transactions and order reporting from authorised firms, and other monitoring tools provide a framework to support the regulators’ market monitoring capabilities. </w:t>
      </w:r>
    </w:p>
    <w:p w14:paraId="63011998" w14:textId="77777777" w:rsidR="00F46389" w:rsidRPr="0072606D" w:rsidRDefault="00F46389" w:rsidP="00F46389">
      <w:pPr>
        <w:spacing w:after="200"/>
        <w:ind w:left="720"/>
        <w:rPr>
          <w:rFonts w:cstheme="majorHAnsi"/>
        </w:rPr>
      </w:pPr>
      <w:r w:rsidRPr="0072606D">
        <w:t>These examples demonstrate support internationally for the notion that buyside firm reporting is not a necessary component of regulators’ market monitoring tools, and that sell-side reporting is a more appropriate means of providing this data.</w:t>
      </w:r>
    </w:p>
    <w:permEnd w:id="806124853"/>
    <w:p w14:paraId="009ECB82" w14:textId="77777777" w:rsidR="00926BDA" w:rsidRDefault="00926BDA" w:rsidP="00926BDA">
      <w:r>
        <w:t>&lt;ESMA_QUESTION_CASR_23&gt;</w:t>
      </w:r>
    </w:p>
    <w:p w14:paraId="66F1F3EB" w14:textId="77777777" w:rsidR="00926BDA" w:rsidRDefault="00926BDA" w:rsidP="00926BDA"/>
    <w:p w14:paraId="6B277954" w14:textId="77777777" w:rsidR="00926BDA" w:rsidRDefault="00926BDA" w:rsidP="00926BDA">
      <w:pPr>
        <w:pStyle w:val="Questionstyle"/>
        <w:spacing w:before="120" w:after="120"/>
        <w:ind w:left="851" w:hanging="709"/>
      </w:pPr>
      <w:r>
        <w:t>Proportionality measures: how do you consider proportionality can be taken into account in the context of burden reduction in regulatory reporting? What specific measures would you propose and how would you quantify their impact?</w:t>
      </w:r>
    </w:p>
    <w:p w14:paraId="64667397" w14:textId="77777777" w:rsidR="00926BDA" w:rsidRDefault="00926BDA" w:rsidP="00926BDA">
      <w:r>
        <w:t>&lt;ESMA_QUESTION_CASR_24&gt;</w:t>
      </w:r>
    </w:p>
    <w:p w14:paraId="496D4D3C" w14:textId="77777777" w:rsidR="00926BDA" w:rsidRDefault="00926BDA" w:rsidP="00926BDA">
      <w:permStart w:id="1360161894" w:edGrp="everyone"/>
      <w:r>
        <w:t>TYPE YOUR TEXT HERE</w:t>
      </w:r>
    </w:p>
    <w:permEnd w:id="1360161894"/>
    <w:p w14:paraId="0138C76D" w14:textId="77777777" w:rsidR="00926BDA" w:rsidRDefault="00926BDA" w:rsidP="00926BDA">
      <w:r>
        <w:t>&lt;ESMA_QUESTION_CASR_24&gt;</w:t>
      </w:r>
    </w:p>
    <w:p w14:paraId="7A473ECA" w14:textId="77777777" w:rsidR="00926BDA" w:rsidRDefault="00926BDA" w:rsidP="00926BDA"/>
    <w:p w14:paraId="1A40D34E" w14:textId="77777777" w:rsidR="00926BDA" w:rsidRDefault="00926BDA" w:rsidP="00926BDA">
      <w:pPr>
        <w:pStyle w:val="Questionstyle"/>
        <w:spacing w:before="120" w:after="120"/>
        <w:ind w:left="851" w:hanging="709"/>
      </w:pPr>
      <w:r>
        <w:t>Question for reporting entities under EMIR: what is the one-off cost of implementing EMIR requirements to date? This cost should include all cost lines, such as familiarisation with obligations, staff recruitment, training, legal advice, consultancy fees, project management and investment/updating in it. Do you identify any other relevant one-off cost line?</w:t>
      </w:r>
    </w:p>
    <w:p w14:paraId="43F72962" w14:textId="77777777" w:rsidR="00926BDA" w:rsidRDefault="00926BDA" w:rsidP="00926BDA">
      <w:r>
        <w:t>&lt;ESMA_QUESTION_CASR_25&gt;</w:t>
      </w:r>
    </w:p>
    <w:p w14:paraId="7BFB6A77" w14:textId="77777777" w:rsidR="00926BDA" w:rsidRDefault="00926BDA" w:rsidP="00926BDA">
      <w:permStart w:id="1181963014" w:edGrp="everyone"/>
      <w:r>
        <w:t>TYPE YOUR TEXT HERE</w:t>
      </w:r>
    </w:p>
    <w:permEnd w:id="1181963014"/>
    <w:p w14:paraId="77305D93" w14:textId="77777777" w:rsidR="00926BDA" w:rsidRDefault="00926BDA" w:rsidP="00926BDA">
      <w:r>
        <w:t>&lt;ESMA_QUESTION_CASR_25&gt;</w:t>
      </w:r>
    </w:p>
    <w:p w14:paraId="1582C478" w14:textId="77777777" w:rsidR="00926BDA" w:rsidRDefault="00926BDA" w:rsidP="00926BDA"/>
    <w:p w14:paraId="54B7F101" w14:textId="77777777" w:rsidR="00926BDA" w:rsidRDefault="00926BDA" w:rsidP="00926BDA">
      <w:pPr>
        <w:pStyle w:val="Questionstyle"/>
        <w:spacing w:before="120" w:after="120"/>
        <w:ind w:left="851" w:hanging="709"/>
      </w:pPr>
      <w:r>
        <w:t xml:space="preserve">Question for reporting entities under EMIR: what is your estimated average cost per transaction (on-going cost) to comply with the reporting requirements under EMIR? This cost should include not only the fees associated with reporting through trade repositories (which usually includes data collection and information storage) but also the total cost, including any other cost lines, </w:t>
      </w:r>
      <w:r>
        <w:lastRenderedPageBreak/>
        <w:t>such as, IT maintenance and support, training, data processing and audit fees. Do you identify any other relevant ongoing cost line?</w:t>
      </w:r>
    </w:p>
    <w:p w14:paraId="2FA5A328" w14:textId="77777777" w:rsidR="00926BDA" w:rsidRDefault="00926BDA" w:rsidP="00926BDA">
      <w:r>
        <w:t>&lt;ESMA_QUESTION_CASR_26&gt;</w:t>
      </w:r>
    </w:p>
    <w:p w14:paraId="00710FAD" w14:textId="77777777" w:rsidR="00926BDA" w:rsidRDefault="00926BDA" w:rsidP="00926BDA">
      <w:permStart w:id="1743740379" w:edGrp="everyone"/>
      <w:r>
        <w:t>TYPE YOUR TEXT HERE</w:t>
      </w:r>
    </w:p>
    <w:permEnd w:id="1743740379"/>
    <w:p w14:paraId="0C7300AB" w14:textId="77777777" w:rsidR="00926BDA" w:rsidRDefault="00926BDA" w:rsidP="00926BDA">
      <w:r>
        <w:t>&lt;ESMA_QUESTION_CASR_26&gt;</w:t>
      </w:r>
    </w:p>
    <w:p w14:paraId="32ED6907" w14:textId="77777777" w:rsidR="00926BDA" w:rsidRDefault="00926BDA" w:rsidP="00926BDA"/>
    <w:p w14:paraId="58E30CC4" w14:textId="77777777" w:rsidR="00926BDA" w:rsidRDefault="00926BDA" w:rsidP="00926BDA">
      <w:pPr>
        <w:pStyle w:val="Questionstyle"/>
        <w:spacing w:before="120" w:after="120"/>
        <w:ind w:left="851" w:hanging="709"/>
      </w:pPr>
      <w:r>
        <w:t>Question for reporting entities under MiFIR: what is the one-off cost of implementing mifir requirements to date? This cost should include all cost lines, such as familiarisation with obligations, staff recruitment, training, legal advice, consultancy fees, project management and investment/updating in it. Do you identify any other relevant one-off cost line?</w:t>
      </w:r>
    </w:p>
    <w:p w14:paraId="196DADE2" w14:textId="77777777" w:rsidR="00926BDA" w:rsidRDefault="00926BDA" w:rsidP="00926BDA">
      <w:r>
        <w:t>&lt;ESMA_QUESTION_CASR_27&gt;</w:t>
      </w:r>
    </w:p>
    <w:p w14:paraId="1FB47DD6" w14:textId="77777777" w:rsidR="00926BDA" w:rsidRDefault="00926BDA" w:rsidP="00926BDA">
      <w:permStart w:id="1620378332" w:edGrp="everyone"/>
      <w:r>
        <w:t>TYPE YOUR TEXT HERE</w:t>
      </w:r>
    </w:p>
    <w:permEnd w:id="1620378332"/>
    <w:p w14:paraId="6A4C4033" w14:textId="77777777" w:rsidR="00926BDA" w:rsidRDefault="00926BDA" w:rsidP="00926BDA">
      <w:r>
        <w:t>&lt;ESMA_QUESTION_CASR_27&gt;</w:t>
      </w:r>
    </w:p>
    <w:p w14:paraId="0A47CCFB" w14:textId="77777777" w:rsidR="00926BDA" w:rsidRDefault="00926BDA" w:rsidP="00926BDA"/>
    <w:p w14:paraId="7F8F7499" w14:textId="77777777" w:rsidR="00926BDA" w:rsidRDefault="00926BDA" w:rsidP="00926BDA">
      <w:pPr>
        <w:pStyle w:val="Questionstyle"/>
        <w:spacing w:before="120" w:after="120"/>
        <w:ind w:left="851" w:hanging="709"/>
      </w:pPr>
      <w:r>
        <w:t>Question for reporting entities under MiFIR: what is your estimated average cost per transaction (on-going cost) to comply with the reporting requirements under MiFIR? This cost should include not only the fees associated with reporting through Approved Reported Mechanisms but also the total cost, including any other cost lines, such as, IT maintenance and support, training, data processing and audit fees. Do you identify any other relevant ongoing cost line?</w:t>
      </w:r>
    </w:p>
    <w:p w14:paraId="3D79135C" w14:textId="77777777" w:rsidR="00926BDA" w:rsidRDefault="00926BDA" w:rsidP="00926BDA">
      <w:r>
        <w:t>&lt;ESMA_QUESTION_CASR_28&gt;</w:t>
      </w:r>
    </w:p>
    <w:p w14:paraId="68E87AF9" w14:textId="77777777" w:rsidR="00926BDA" w:rsidRDefault="00926BDA" w:rsidP="00926BDA">
      <w:permStart w:id="443381358" w:edGrp="everyone"/>
      <w:r>
        <w:t>TYPE YOUR TEXT HERE</w:t>
      </w:r>
    </w:p>
    <w:permEnd w:id="443381358"/>
    <w:p w14:paraId="39C29865" w14:textId="77777777" w:rsidR="00926BDA" w:rsidRDefault="00926BDA" w:rsidP="00926BDA">
      <w:r>
        <w:t>&lt;ESMA_QUESTION_CASR_28&gt;</w:t>
      </w:r>
    </w:p>
    <w:p w14:paraId="795D30C8" w14:textId="77777777" w:rsidR="00926BDA" w:rsidRDefault="00926BDA" w:rsidP="00926BDA"/>
    <w:p w14:paraId="07255D8C" w14:textId="77777777" w:rsidR="00926BDA" w:rsidRDefault="00926BDA" w:rsidP="00926BDA">
      <w:pPr>
        <w:pStyle w:val="Questionstyle"/>
        <w:spacing w:before="120" w:after="120"/>
        <w:ind w:left="851" w:hanging="709"/>
      </w:pPr>
      <w:r>
        <w:t>Question for reporting entities under EMIR or MiFIR: Are there other cost-factors that we should consider when estimating the cost saving over a long term horizon?</w:t>
      </w:r>
    </w:p>
    <w:p w14:paraId="3F82851F" w14:textId="77777777" w:rsidR="00926BDA" w:rsidRDefault="00926BDA" w:rsidP="00926BDA">
      <w:r>
        <w:t>&lt;ESMA_QUESTION_CASR_29&gt;</w:t>
      </w:r>
    </w:p>
    <w:p w14:paraId="0D39D81F" w14:textId="77777777" w:rsidR="00926BDA" w:rsidRDefault="00926BDA" w:rsidP="00926BDA">
      <w:permStart w:id="1172965324" w:edGrp="everyone"/>
      <w:r>
        <w:t>TYPE YOUR TEXT HERE</w:t>
      </w:r>
    </w:p>
    <w:permEnd w:id="1172965324"/>
    <w:p w14:paraId="7F24D947" w14:textId="77777777" w:rsidR="00926BDA" w:rsidRDefault="00926BDA" w:rsidP="00926BDA">
      <w:r>
        <w:t>&lt;ESMA_QUESTION_CASR_29&gt;</w:t>
      </w:r>
    </w:p>
    <w:p w14:paraId="43B06597" w14:textId="77777777" w:rsidR="00926BDA" w:rsidRDefault="00926BDA" w:rsidP="00926BDA"/>
    <w:p w14:paraId="613621CD" w14:textId="77777777" w:rsidR="00926BDA" w:rsidRDefault="00926BDA" w:rsidP="00926BDA">
      <w:pPr>
        <w:pStyle w:val="Questionstyle"/>
        <w:spacing w:before="120" w:after="120"/>
        <w:ind w:left="851" w:hanging="709"/>
      </w:pPr>
      <w:r>
        <w:t>What are the anticipated investments and transition costs associated with implementing option 1a, 1b, 2a and 2b (e.g. Decommissioning of legacy systems, adapting systems to new changes and future evolving requirements, etc.)? Please provide a detailed breakdown of these costs, including any one-off and ongoing expenses. What is the estimated average cost saving per transaction?</w:t>
      </w:r>
    </w:p>
    <w:p w14:paraId="74BBAE67" w14:textId="77777777" w:rsidR="00926BDA" w:rsidRDefault="00926BDA" w:rsidP="00926BDA">
      <w:r>
        <w:t>&lt;ESMA_QUESTION_CASR_30&gt;</w:t>
      </w:r>
    </w:p>
    <w:p w14:paraId="5F1EAC10" w14:textId="77777777" w:rsidR="00926BDA" w:rsidRDefault="00926BDA" w:rsidP="00926BDA">
      <w:permStart w:id="34827801" w:edGrp="everyone"/>
      <w:r>
        <w:t>TYPE YOUR TEXT HERE</w:t>
      </w:r>
    </w:p>
    <w:permEnd w:id="34827801"/>
    <w:p w14:paraId="36BBCB63" w14:textId="77777777" w:rsidR="00926BDA" w:rsidRDefault="00926BDA" w:rsidP="00926BDA">
      <w:r>
        <w:lastRenderedPageBreak/>
        <w:t>&lt;ESMA_QUESTION_CASR_30&gt;</w:t>
      </w:r>
    </w:p>
    <w:p w14:paraId="5D766C2E" w14:textId="77777777" w:rsidR="00926BDA" w:rsidRDefault="00926BDA" w:rsidP="00926BDA"/>
    <w:p w14:paraId="6B9AF4F4" w14:textId="77777777" w:rsidR="00926BDA" w:rsidRDefault="00926BDA" w:rsidP="00926BDA"/>
    <w:p w14:paraId="4182AD67" w14:textId="77777777" w:rsidR="00DB377C" w:rsidRDefault="00DB377C" w:rsidP="00DB377C"/>
    <w:sectPr w:rsidR="00DB377C" w:rsidSect="00C85C8B">
      <w:headerReference w:type="default" r:id="rId20"/>
      <w:footerReference w:type="default" r:id="rId2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88256" w14:textId="77777777" w:rsidR="005E3669" w:rsidRDefault="005E3669" w:rsidP="007E7997">
      <w:r>
        <w:separator/>
      </w:r>
    </w:p>
  </w:endnote>
  <w:endnote w:type="continuationSeparator" w:id="0">
    <w:p w14:paraId="770C5C33" w14:textId="77777777" w:rsidR="005E3669" w:rsidRDefault="005E3669" w:rsidP="007E7997">
      <w:r>
        <w:continuationSeparator/>
      </w:r>
    </w:p>
  </w:endnote>
  <w:endnote w:type="continuationNotice" w:id="1">
    <w:p w14:paraId="3D6FF564" w14:textId="77777777" w:rsidR="005E3669" w:rsidRDefault="005E36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4752671"/>
      <w:docPartObj>
        <w:docPartGallery w:val="Page Numbers (Bottom of Page)"/>
        <w:docPartUnique/>
      </w:docPartObj>
    </w:sdtPr>
    <w:sdtEndPr>
      <w:rPr>
        <w:noProof/>
      </w:rPr>
    </w:sdtEndPr>
    <w:sdtContent>
      <w:p w14:paraId="0CF5505D" w14:textId="212D7D4F" w:rsidR="00E36813" w:rsidRDefault="00E36813">
        <w:pPr>
          <w:pStyle w:val="Footer"/>
          <w:jc w:val="center"/>
        </w:pPr>
        <w:r>
          <w:fldChar w:fldCharType="begin"/>
        </w:r>
        <w:r>
          <w:instrText xml:space="preserve"> PAGE   \* MERGEFORMAT </w:instrText>
        </w:r>
        <w:r>
          <w:fldChar w:fldCharType="separate"/>
        </w:r>
        <w:r w:rsidR="00C85C8B">
          <w:rPr>
            <w:noProof/>
          </w:rPr>
          <w:t>3</w:t>
        </w:r>
        <w:r>
          <w:rPr>
            <w:noProof/>
          </w:rPr>
          <w:fldChar w:fldCharType="end"/>
        </w:r>
      </w:p>
    </w:sdtContent>
  </w:sdt>
  <w:p w14:paraId="3A18C8B1" w14:textId="77777777" w:rsidR="00E36813" w:rsidRDefault="00E368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F3915" w14:textId="58619407" w:rsidR="00E36813" w:rsidRDefault="00E36813" w:rsidP="007A160F">
    <w:pPr>
      <w:pStyle w:val="Footer"/>
    </w:pPr>
    <w:r>
      <w:rPr>
        <w:rFonts w:asciiTheme="majorHAnsi" w:hAnsiTheme="majorHAnsi"/>
        <w:color w:val="FFFFFF" w:themeColor="background1"/>
      </w:rPr>
      <w:tab/>
    </w:r>
    <w:r>
      <w:rPr>
        <w:rFonts w:asciiTheme="majorHAnsi" w:hAnsiTheme="majorHAnsi"/>
        <w:color w:val="FFFFFF" w:themeColor="background1"/>
      </w:rPr>
      <w:tab/>
    </w:r>
    <w:r w:rsidR="006D3F14">
      <w:rPr>
        <w:rFonts w:asciiTheme="majorHAnsi" w:hAnsiTheme="majorHAnsi"/>
        <w:color w:val="FFFFFF" w:themeColor="background1"/>
      </w:rPr>
      <w:t>29</w:t>
    </w:r>
    <w:r w:rsidR="00871163">
      <w:rPr>
        <w:rFonts w:asciiTheme="majorHAnsi" w:hAnsiTheme="majorHAnsi"/>
        <w:color w:val="FFFFFF" w:themeColor="background1"/>
      </w:rPr>
      <w:t xml:space="preserve"> July </w:t>
    </w:r>
    <w:r w:rsidR="00AB6157" w:rsidRPr="008279D3">
      <w:rPr>
        <w:rFonts w:asciiTheme="majorHAnsi" w:hAnsiTheme="majorHAnsi"/>
        <w:color w:val="FFFFFF" w:themeColor="background1"/>
      </w:rPr>
      <w:t>20</w:t>
    </w:r>
    <w:r w:rsidR="006B391B" w:rsidRPr="008279D3">
      <w:rPr>
        <w:rFonts w:asciiTheme="majorHAnsi" w:hAnsiTheme="majorHAnsi"/>
        <w:color w:val="FFFFFF" w:themeColor="background1"/>
      </w:rPr>
      <w:t>2</w:t>
    </w:r>
    <w:r w:rsidR="00871163">
      <w:rPr>
        <w:rFonts w:asciiTheme="majorHAnsi" w:hAnsiTheme="majorHAnsi"/>
        <w:color w:val="FFFFFF" w:themeColor="background1"/>
      </w:rPr>
      <w:t>2</w:t>
    </w:r>
    <w:r w:rsidR="00FF6930" w:rsidRPr="008279D3">
      <w:rPr>
        <w:rFonts w:asciiTheme="majorHAnsi" w:hAnsiTheme="majorHAnsi"/>
        <w:color w:val="FFFFFF" w:themeColor="background1"/>
      </w:rPr>
      <w:t xml:space="preserve"> ESMA</w:t>
    </w:r>
    <w:r w:rsidR="006B391B" w:rsidRPr="008279D3">
      <w:rPr>
        <w:rFonts w:asciiTheme="majorHAnsi" w:hAnsiTheme="majorHAnsi"/>
        <w:color w:val="FFFFFF" w:themeColor="background1"/>
      </w:rPr>
      <w:t xml:space="preserve"> | </w:t>
    </w:r>
    <w:hyperlink r:id="rId1" w:tgtFrame="_blank" w:history="1">
      <w:r w:rsidR="006B391B" w:rsidRPr="008279D3">
        <w:rPr>
          <w:rFonts w:asciiTheme="majorHAnsi" w:hAnsiTheme="majorHAnsi"/>
          <w:color w:val="FFFFFF" w:themeColor="background1"/>
        </w:rPr>
        <w:t>ESMA</w:t>
      </w:r>
    </w:hyperlink>
    <w:r w:rsidR="008279D3">
      <w:rPr>
        <w:rFonts w:asciiTheme="majorHAnsi" w:hAnsiTheme="majorHAnsi"/>
        <w:color w:val="FFFFFF" w:themeColor="background1"/>
      </w:rPr>
      <w:t xml:space="preserve"> 70-</w:t>
    </w:r>
    <w:r w:rsidR="00B63379">
      <w:rPr>
        <w:rFonts w:asciiTheme="majorHAnsi" w:hAnsiTheme="majorHAnsi"/>
        <w:color w:val="FFFFFF" w:themeColor="background1"/>
      </w:rPr>
      <w:t>44</w:t>
    </w:r>
    <w:r w:rsidR="006D3F14">
      <w:rPr>
        <w:rFonts w:asciiTheme="majorHAnsi" w:hAnsiTheme="majorHAnsi"/>
        <w:color w:val="FFFFFF" w:themeColor="background1"/>
      </w:rPr>
      <w:t>9</w:t>
    </w:r>
    <w:r w:rsidR="00B63379">
      <w:rPr>
        <w:rFonts w:asciiTheme="majorHAnsi" w:hAnsiTheme="majorHAnsi"/>
        <w:color w:val="FFFFFF" w:themeColor="background1"/>
      </w:rPr>
      <w:t>-67</w:t>
    </w:r>
    <w:r w:rsidR="006D3F14">
      <w:rPr>
        <w:rFonts w:asciiTheme="majorHAnsi" w:hAnsiTheme="majorHAnsi"/>
        <w:color w:val="FFFFFF" w:themeColor="background1"/>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3752247"/>
      <w:docPartObj>
        <w:docPartGallery w:val="Page Numbers (Bottom of Page)"/>
        <w:docPartUnique/>
      </w:docPartObj>
    </w:sdtPr>
    <w:sdtEndPr>
      <w:rPr>
        <w:noProof/>
      </w:rPr>
    </w:sdtEndPr>
    <w:sdtContent>
      <w:p w14:paraId="4C9B3DBF" w14:textId="6ECC1B82" w:rsidR="00E36813" w:rsidRDefault="00E36813">
        <w:pPr>
          <w:pStyle w:val="Footer"/>
          <w:jc w:val="center"/>
        </w:pPr>
        <w:r>
          <w:fldChar w:fldCharType="begin"/>
        </w:r>
        <w:r>
          <w:instrText xml:space="preserve"> PAGE   \* MERGEFORMAT </w:instrText>
        </w:r>
        <w:r>
          <w:fldChar w:fldCharType="separate"/>
        </w:r>
        <w:r w:rsidR="00534912">
          <w:rPr>
            <w:noProof/>
          </w:rPr>
          <w:t>1</w:t>
        </w:r>
        <w:r>
          <w:rPr>
            <w:noProof/>
          </w:rPr>
          <w:fldChar w:fldCharType="end"/>
        </w:r>
      </w:p>
    </w:sdtContent>
  </w:sdt>
  <w:p w14:paraId="5EAB6EC7" w14:textId="1F85019A" w:rsidR="00E36813" w:rsidRDefault="00E36813" w:rsidP="00FB24ED">
    <w:pPr>
      <w:pStyle w:val="Footer"/>
      <w:jc w:val="right"/>
    </w:pPr>
  </w:p>
  <w:p w14:paraId="12C756E7" w14:textId="77777777" w:rsidR="00C97F9B" w:rsidRDefault="00C97F9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E4026" w14:textId="77777777" w:rsidR="005E3669" w:rsidRDefault="005E3669" w:rsidP="007E7997">
      <w:r>
        <w:separator/>
      </w:r>
    </w:p>
  </w:footnote>
  <w:footnote w:type="continuationSeparator" w:id="0">
    <w:p w14:paraId="3C868D00" w14:textId="77777777" w:rsidR="005E3669" w:rsidRDefault="005E3669" w:rsidP="007E7997">
      <w:r>
        <w:continuationSeparator/>
      </w:r>
    </w:p>
  </w:footnote>
  <w:footnote w:type="continuationNotice" w:id="1">
    <w:p w14:paraId="6247DC41" w14:textId="77777777" w:rsidR="005E3669" w:rsidRDefault="005E36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956F7" w14:textId="77777777" w:rsidR="00E36813" w:rsidRDefault="00E36813">
    <w:pPr>
      <w:pStyle w:val="Header"/>
    </w:pPr>
  </w:p>
  <w:p w14:paraId="59FA3C9D" w14:textId="77777777" w:rsidR="00E36813" w:rsidRDefault="00E368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923F5" w14:textId="77C7624B" w:rsidR="00FA64BE" w:rsidRDefault="00FA64BE" w:rsidP="00FA64BE">
    <w:pPr>
      <w:pStyle w:val="Header"/>
      <w:jc w:val="right"/>
      <w:rPr>
        <w:rFonts w:asciiTheme="minorHAnsi" w:eastAsiaTheme="minorEastAsia" w:hAnsiTheme="minorHAnsi" w:cstheme="minorBidi"/>
        <w:color w:val="000000" w:themeColor="text1" w:themeShade="80"/>
        <w:sz w:val="16"/>
        <w:szCs w:val="20"/>
        <w:lang w:eastAsia="en-US"/>
      </w:rPr>
    </w:pPr>
    <w:r w:rsidRPr="001522DD">
      <w:rPr>
        <w:rFonts w:asciiTheme="minorHAnsi" w:eastAsiaTheme="minorEastAsia" w:hAnsiTheme="minorHAnsi" w:cstheme="minorBidi"/>
        <w:bCs/>
        <w:caps/>
        <w:noProof/>
        <w:color w:val="000000" w:themeColor="text1" w:themeShade="80"/>
        <w:sz w:val="16"/>
        <w:szCs w:val="20"/>
        <w:highlight w:val="yellow"/>
        <w:lang w:eastAsia="en-US"/>
      </w:rPr>
      <w:drawing>
        <wp:anchor distT="0" distB="0" distL="114300" distR="114300" simplePos="0" relativeHeight="251658240" behindDoc="0" locked="0" layoutInCell="1" allowOverlap="1" wp14:anchorId="7D655387" wp14:editId="3342670B">
          <wp:simplePos x="0" y="0"/>
          <wp:positionH relativeFrom="page">
            <wp:posOffset>892914</wp:posOffset>
          </wp:positionH>
          <wp:positionV relativeFrom="page">
            <wp:posOffset>547370</wp:posOffset>
          </wp:positionV>
          <wp:extent cx="2296800" cy="601200"/>
          <wp:effectExtent l="0" t="0" r="190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0310AB">
      <w:rPr>
        <w:rFonts w:asciiTheme="minorHAnsi" w:eastAsiaTheme="minorEastAsia" w:hAnsiTheme="minorHAnsi" w:cstheme="minorBidi"/>
        <w:color w:val="000000" w:themeColor="text1" w:themeShade="80"/>
        <w:sz w:val="16"/>
        <w:szCs w:val="20"/>
        <w:lang w:eastAsia="en-US"/>
      </w:rPr>
      <w:t>2</w:t>
    </w:r>
    <w:r w:rsidR="004D19BD">
      <w:rPr>
        <w:rFonts w:asciiTheme="minorHAnsi" w:eastAsiaTheme="minorEastAsia" w:hAnsiTheme="minorHAnsi" w:cstheme="minorBidi"/>
        <w:color w:val="000000" w:themeColor="text1" w:themeShade="80"/>
        <w:sz w:val="16"/>
        <w:szCs w:val="20"/>
        <w:lang w:eastAsia="en-US"/>
      </w:rPr>
      <w:t>3</w:t>
    </w:r>
    <w:r w:rsidR="000310AB">
      <w:rPr>
        <w:rFonts w:asciiTheme="minorHAnsi" w:eastAsiaTheme="minorEastAsia" w:hAnsiTheme="minorHAnsi" w:cstheme="minorBidi"/>
        <w:color w:val="000000" w:themeColor="text1" w:themeShade="80"/>
        <w:sz w:val="16"/>
        <w:szCs w:val="20"/>
        <w:lang w:eastAsia="en-US"/>
      </w:rPr>
      <w:t xml:space="preserve"> </w:t>
    </w:r>
    <w:r w:rsidR="004D19BD">
      <w:rPr>
        <w:rFonts w:asciiTheme="minorHAnsi" w:eastAsiaTheme="minorEastAsia" w:hAnsiTheme="minorHAnsi" w:cstheme="minorBidi"/>
        <w:color w:val="000000" w:themeColor="text1" w:themeShade="80"/>
        <w:sz w:val="16"/>
        <w:szCs w:val="20"/>
        <w:lang w:eastAsia="en-US"/>
      </w:rPr>
      <w:t>June</w:t>
    </w:r>
    <w:r w:rsidR="000310AB">
      <w:rPr>
        <w:rFonts w:asciiTheme="minorHAnsi" w:eastAsiaTheme="minorEastAsia" w:hAnsiTheme="minorHAnsi" w:cstheme="minorBidi"/>
        <w:color w:val="000000" w:themeColor="text1" w:themeShade="80"/>
        <w:sz w:val="16"/>
        <w:szCs w:val="20"/>
        <w:lang w:eastAsia="en-US"/>
      </w:rPr>
      <w:t xml:space="preserve"> 2025</w:t>
    </w:r>
    <w:r w:rsidR="00C00D4F">
      <w:rPr>
        <w:rFonts w:asciiTheme="minorHAnsi" w:eastAsiaTheme="minorEastAsia" w:hAnsiTheme="minorHAnsi" w:cstheme="minorBidi"/>
        <w:color w:val="000000" w:themeColor="text1" w:themeShade="80"/>
        <w:sz w:val="16"/>
        <w:szCs w:val="20"/>
        <w:lang w:eastAsia="en-US"/>
      </w:rPr>
      <w:br/>
    </w:r>
    <w:r w:rsidR="006D2EE6" w:rsidRPr="006D2EE6">
      <w:rPr>
        <w:rFonts w:asciiTheme="minorHAnsi" w:eastAsiaTheme="minorEastAsia" w:hAnsiTheme="minorHAnsi" w:cstheme="minorBidi"/>
        <w:color w:val="000000" w:themeColor="text1" w:themeShade="80"/>
        <w:sz w:val="16"/>
        <w:szCs w:val="20"/>
        <w:lang w:eastAsia="en-US"/>
      </w:rPr>
      <w:t>ESMA12-437499640-3046</w:t>
    </w:r>
  </w:p>
  <w:p w14:paraId="70391035" w14:textId="0FE57758" w:rsidR="00E36813" w:rsidRDefault="00FA64BE" w:rsidP="00FA64BE">
    <w:pPr>
      <w:pStyle w:val="Header"/>
      <w:ind w:left="1836" w:firstLine="4536"/>
    </w:pPr>
    <w:r>
      <w:t xml:space="preserve">   </w:t>
    </w:r>
    <w:r w:rsidRPr="00374D79">
      <w:t>ESMA74-449133380-434</w:t>
    </w:r>
    <w:r>
      <w:rPr>
        <w:noProof/>
      </w:rPr>
      <mc:AlternateContent>
        <mc:Choice Requires="wps">
          <w:drawing>
            <wp:anchor distT="0" distB="0" distL="114300" distR="114300" simplePos="1" relativeHeight="251658241" behindDoc="1" locked="1" layoutInCell="1" allowOverlap="0" wp14:anchorId="71203346" wp14:editId="7B5BE921">
              <wp:simplePos x="899795" y="624205"/>
              <wp:positionH relativeFrom="page">
                <wp:posOffset>899795</wp:posOffset>
              </wp:positionH>
              <wp:positionV relativeFrom="paragraph">
                <wp:posOffset>624205</wp:posOffset>
              </wp:positionV>
              <wp:extent cx="7570470" cy="9777095"/>
              <wp:effectExtent l="0" t="0" r="0" b="0"/>
              <wp:wrapNone/>
              <wp:docPr id="7" name="Freeform: Shape 7"/>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8A3259" id="Freeform: Shape 7" o:spid="_x0000_s1026" style="position:absolute;margin-left:70.85pt;margin-top:49.15pt;width:596.1pt;height:769.8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IKeLQN8AAAAMAQAADwAAAGRycy9kb3ducmV2Lnht&#10;bEyP30rDMBTG7wXfIRzBG9nSWpltbTqGIAiCsNkHyJKsiTYnpcm2+vaeXbm783F+fH+a9ewHdjJT&#10;dAEF5MsMmEEVtMNeQPf1tiiBxSRRyyGgEfBrIqzb25tG1jqccWtOu9QzMsFYSwE2pbHmPCprvIzL&#10;MBqk3yFMXiaSU8/1JM9k7gf+mGUr7qVDSrByNK/WqJ/d0VNuuf2wKr5vPnPrHirXqeq7U0Lc382b&#10;F2DJzOkfhkt9qg4tddqHI+rIBtJP+TOhAqqyAHYBiqKogO3pWhVlBrxt+PWI9g8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BAi0AFAAGAAgAAAAhANr2PfsNAQAAFAIAABMAAAAAAAAAAAAAAAAAAAAAAFtD&#10;b250ZW50X1R5cGVzXS54bWxQSwECLQAUAAYACAAAACEAOP0h/9YAAACUAQAACwAAAAAAAAAAAAAA&#10;AAA+AQAAX3JlbHMvLnJlbHNQSwECLQAUAAYACAAAACEA+2NuO6wJAABoSAAADgAAAAAAAAAAAAAA&#10;AAA9AgAAZHJzL2Uyb0RvYy54bWxQSwECLQAKAAAAAAAAACEAZdesGNtzAQDbcwEAFAAAAAAAAAAA&#10;AAAAAAAVDAAAZHJzL21lZGlhL2ltYWdlMS5qcGdQSwECLQAUAAYACAAAACEAIKeLQN8AAAAMAQAA&#10;DwAAAAAAAAAAAAAAAAAigAEAZHJzL2Rvd25yZXYueG1sUEsBAi0AFAAGAAgAAAAhADedwRi6AAAA&#10;IQEAABkAAAAAAAAAAAAAAAAALoEBAGRycy9fcmVscy9lMm9Eb2MueG1sLnJlbHNQSwUGAAAAAAYA&#10;BgB8AQAAH4IBAAAA&#10;" o:allowoverlap="f" path="m2939613,926867c5038819,-714379,6826523,267027,7569200,545025r,2628099l7569200,9779055r,l,9779055r,l,3173124,2939613,926867xe" stroked="f" strokeweight="1pt">
              <v:fill r:id="rId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B6EC4" w14:textId="2AEFCC83" w:rsidR="00E36813" w:rsidRDefault="00FA64BE" w:rsidP="00B50534">
    <w:pPr>
      <w:pStyle w:val="Header"/>
      <w:jc w:val="right"/>
      <w:rPr>
        <w:b/>
        <w:color w:val="FF0000"/>
      </w:rPr>
    </w:pPr>
    <w:r w:rsidRPr="008858FE">
      <w:rPr>
        <w:rStyle w:val="ESMAConfidentialRestricted"/>
        <w:noProof/>
      </w:rPr>
      <w:drawing>
        <wp:anchor distT="0" distB="0" distL="114300" distR="114300" simplePos="0" relativeHeight="251658242" behindDoc="0" locked="0" layoutInCell="1" allowOverlap="1" wp14:anchorId="4C8586CB" wp14:editId="39910558">
          <wp:simplePos x="0" y="0"/>
          <wp:positionH relativeFrom="page">
            <wp:posOffset>900430</wp:posOffset>
          </wp:positionH>
          <wp:positionV relativeFrom="page">
            <wp:posOffset>449580</wp:posOffset>
          </wp:positionV>
          <wp:extent cx="2296800" cy="601200"/>
          <wp:effectExtent l="0" t="0" r="190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p>
  <w:p w14:paraId="66716E7C" w14:textId="7FD8E363" w:rsidR="00FA64BE" w:rsidRDefault="00FA64BE" w:rsidP="00FA64BE">
    <w:pPr>
      <w:pStyle w:val="Header"/>
      <w:jc w:val="right"/>
      <w:rPr>
        <w:rFonts w:asciiTheme="minorHAnsi" w:hAnsiTheme="minorHAnsi" w:cstheme="minorHAnsi"/>
        <w:color w:val="2F5496" w:themeColor="accent5" w:themeShade="BF"/>
        <w:sz w:val="20"/>
      </w:rPr>
    </w:pPr>
  </w:p>
  <w:p w14:paraId="3E983FE8" w14:textId="71D87355" w:rsidR="00FA64BE" w:rsidRDefault="00FA64BE" w:rsidP="00FA64BE">
    <w:pPr>
      <w:pStyle w:val="Header"/>
      <w:jc w:val="right"/>
      <w:rPr>
        <w:rFonts w:asciiTheme="minorHAnsi" w:hAnsiTheme="minorHAnsi" w:cstheme="minorHAnsi"/>
        <w:color w:val="2F5496" w:themeColor="accent5" w:themeShade="BF"/>
        <w:sz w:val="20"/>
      </w:rPr>
    </w:pPr>
  </w:p>
  <w:p w14:paraId="17CD6BBB" w14:textId="77777777" w:rsidR="00FA64BE" w:rsidRPr="00D13661" w:rsidRDefault="00FA64BE" w:rsidP="00FA64BE">
    <w:pPr>
      <w:pStyle w:val="Header"/>
      <w:jc w:val="right"/>
      <w:rPr>
        <w:rFonts w:asciiTheme="minorHAnsi" w:hAnsiTheme="minorHAnsi" w:cstheme="minorHAnsi"/>
        <w:color w:val="2F5496" w:themeColor="accent5" w:themeShade="BF"/>
        <w:sz w:val="20"/>
      </w:rPr>
    </w:pPr>
  </w:p>
  <w:p w14:paraId="276D8625" w14:textId="77777777" w:rsidR="00E36813" w:rsidRPr="00C3170E" w:rsidRDefault="00E36813" w:rsidP="00B50534">
    <w:pPr>
      <w:pStyle w:val="Header"/>
      <w:jc w:val="right"/>
      <w:rPr>
        <w:color w:val="2F5496" w:themeColor="accent5" w:themeShade="BF"/>
        <w:sz w:val="20"/>
      </w:rPr>
    </w:pPr>
  </w:p>
  <w:p w14:paraId="5EAB6EC6" w14:textId="77777777" w:rsidR="00E36813" w:rsidRPr="00B50534" w:rsidRDefault="00E36813" w:rsidP="00B50534">
    <w:pPr>
      <w:pStyle w:val="Header"/>
      <w:jc w:val="right"/>
      <w:rPr>
        <w:b/>
        <w:color w:val="FF0000"/>
      </w:rPr>
    </w:pPr>
  </w:p>
  <w:p w14:paraId="237512AD" w14:textId="77777777" w:rsidR="00C97F9B" w:rsidRDefault="00C97F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71234"/>
    <w:multiLevelType w:val="hybridMultilevel"/>
    <w:tmpl w:val="95600B7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9D1C8F"/>
    <w:multiLevelType w:val="hybridMultilevel"/>
    <w:tmpl w:val="4F6C4180"/>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8E76A6"/>
    <w:multiLevelType w:val="hybridMultilevel"/>
    <w:tmpl w:val="897AB0AE"/>
    <w:lvl w:ilvl="0" w:tplc="26C6FE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2C6E42E9"/>
    <w:multiLevelType w:val="hybridMultilevel"/>
    <w:tmpl w:val="32681C4A"/>
    <w:lvl w:ilvl="0" w:tplc="084E04BE">
      <w:start w:val="1"/>
      <w:numFmt w:val="decimal"/>
      <w:lvlText w:val="%1."/>
      <w:lvlJc w:val="left"/>
      <w:pPr>
        <w:ind w:left="1068" w:hanging="70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181D69"/>
    <w:multiLevelType w:val="hybridMultilevel"/>
    <w:tmpl w:val="0A189E10"/>
    <w:lvl w:ilvl="0" w:tplc="52DE78C0">
      <w:start w:val="1"/>
      <w:numFmt w:val="upperLetter"/>
      <w:pStyle w:val="ListParagraph"/>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7"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52232B"/>
    <w:multiLevelType w:val="hybridMultilevel"/>
    <w:tmpl w:val="4EF43C1E"/>
    <w:lvl w:ilvl="0" w:tplc="A97A1B6E">
      <w:start w:val="1"/>
      <w:numFmt w:val="decimal"/>
      <w:pStyle w:val="Questionstyle"/>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5A7DC8"/>
    <w:multiLevelType w:val="hybridMultilevel"/>
    <w:tmpl w:val="38C66FF2"/>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1C0F6F"/>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3916DB"/>
    <w:multiLevelType w:val="hybridMultilevel"/>
    <w:tmpl w:val="B12A1BCA"/>
    <w:lvl w:ilvl="0" w:tplc="62468FBE">
      <w:start w:val="1"/>
      <w:numFmt w:val="decimal"/>
      <w:pStyle w:val="Paragraph"/>
      <w:lvlText w:val="%1."/>
      <w:lvlJc w:val="left"/>
      <w:pPr>
        <w:ind w:left="709" w:hanging="709"/>
      </w:pPr>
      <w:rPr>
        <w:b w:val="0"/>
        <w:bCs w:val="0"/>
        <w:i w:val="0"/>
        <w:iCs w:val="0"/>
      </w:rPr>
    </w:lvl>
    <w:lvl w:ilvl="1" w:tplc="AD0E719C">
      <w:start w:val="1"/>
      <w:numFmt w:val="lowerRoman"/>
      <w:lvlText w:val="(%2)"/>
      <w:lvlJc w:val="left"/>
      <w:pPr>
        <w:ind w:left="72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4"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47455BCB"/>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B0013C2"/>
    <w:multiLevelType w:val="hybridMultilevel"/>
    <w:tmpl w:val="58064840"/>
    <w:lvl w:ilvl="0" w:tplc="D45C4E4C">
      <w:start w:val="1"/>
      <w:numFmt w:val="decimal"/>
      <w:lvlText w:val="Q%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DA732A2"/>
    <w:multiLevelType w:val="hybridMultilevel"/>
    <w:tmpl w:val="7E46BA8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61A7970"/>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5CB2698E"/>
    <w:multiLevelType w:val="hybridMultilevel"/>
    <w:tmpl w:val="12B6401A"/>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D2F2FCC"/>
    <w:multiLevelType w:val="hybridMultilevel"/>
    <w:tmpl w:val="AE325D84"/>
    <w:lvl w:ilvl="0" w:tplc="76FE66C0">
      <w:start w:val="3"/>
      <w:numFmt w:val="decimal"/>
      <w:lvlText w:val="Q%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D8508FC"/>
    <w:multiLevelType w:val="hybridMultilevel"/>
    <w:tmpl w:val="87D8DCA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2105866"/>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77B3358"/>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BAD1101"/>
    <w:multiLevelType w:val="multilevel"/>
    <w:tmpl w:val="766C753E"/>
    <w:lvl w:ilvl="0">
      <w:start w:val="1"/>
      <w:numFmt w:val="upperRoman"/>
      <w:pStyle w:val="Heading1"/>
      <w:lvlText w:val="%1."/>
      <w:lvlJc w:val="righ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6"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D76F3F"/>
    <w:multiLevelType w:val="hybridMultilevel"/>
    <w:tmpl w:val="221AC284"/>
    <w:lvl w:ilvl="0" w:tplc="E0F01CF2">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38975619">
    <w:abstractNumId w:val="3"/>
  </w:num>
  <w:num w:numId="2" w16cid:durableId="1495532731">
    <w:abstractNumId w:val="3"/>
  </w:num>
  <w:num w:numId="3" w16cid:durableId="994409496">
    <w:abstractNumId w:val="25"/>
  </w:num>
  <w:num w:numId="4" w16cid:durableId="1880320868">
    <w:abstractNumId w:val="4"/>
  </w:num>
  <w:num w:numId="5" w16cid:durableId="290864581">
    <w:abstractNumId w:val="14"/>
  </w:num>
  <w:num w:numId="6" w16cid:durableId="952590553">
    <w:abstractNumId w:val="27"/>
  </w:num>
  <w:num w:numId="7" w16cid:durableId="1159686949">
    <w:abstractNumId w:val="13"/>
  </w:num>
  <w:num w:numId="8" w16cid:durableId="765269892">
    <w:abstractNumId w:val="6"/>
  </w:num>
  <w:num w:numId="9" w16cid:durableId="1301960395">
    <w:abstractNumId w:val="9"/>
  </w:num>
  <w:num w:numId="10" w16cid:durableId="1228616548">
    <w:abstractNumId w:val="8"/>
  </w:num>
  <w:num w:numId="11" w16cid:durableId="2051027016">
    <w:abstractNumId w:val="7"/>
  </w:num>
  <w:num w:numId="12" w16cid:durableId="83380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94756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87849168">
    <w:abstractNumId w:val="28"/>
  </w:num>
  <w:num w:numId="15" w16cid:durableId="986476960">
    <w:abstractNumId w:val="22"/>
  </w:num>
  <w:num w:numId="16" w16cid:durableId="398749299">
    <w:abstractNumId w:val="26"/>
  </w:num>
  <w:num w:numId="17" w16cid:durableId="14076118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39762317">
    <w:abstractNumId w:val="23"/>
  </w:num>
  <w:num w:numId="19" w16cid:durableId="558588771">
    <w:abstractNumId w:val="27"/>
  </w:num>
  <w:num w:numId="20" w16cid:durableId="1306933315">
    <w:abstractNumId w:val="11"/>
  </w:num>
  <w:num w:numId="21" w16cid:durableId="1623876054">
    <w:abstractNumId w:val="24"/>
  </w:num>
  <w:num w:numId="22" w16cid:durableId="783383837">
    <w:abstractNumId w:val="15"/>
  </w:num>
  <w:num w:numId="23" w16cid:durableId="2112964618">
    <w:abstractNumId w:val="21"/>
  </w:num>
  <w:num w:numId="24" w16cid:durableId="1958565453">
    <w:abstractNumId w:val="0"/>
  </w:num>
  <w:num w:numId="25" w16cid:durableId="1372725395">
    <w:abstractNumId w:val="19"/>
  </w:num>
  <w:num w:numId="26" w16cid:durableId="1686445133">
    <w:abstractNumId w:val="17"/>
  </w:num>
  <w:num w:numId="27" w16cid:durableId="1247768697">
    <w:abstractNumId w:val="10"/>
  </w:num>
  <w:num w:numId="28" w16cid:durableId="954170948">
    <w:abstractNumId w:val="1"/>
  </w:num>
  <w:num w:numId="29" w16cid:durableId="837424337">
    <w:abstractNumId w:val="18"/>
  </w:num>
  <w:num w:numId="30" w16cid:durableId="299657983">
    <w:abstractNumId w:val="5"/>
  </w:num>
  <w:num w:numId="31" w16cid:durableId="699822250">
    <w:abstractNumId w:val="16"/>
  </w:num>
  <w:num w:numId="32" w16cid:durableId="730466929">
    <w:abstractNumId w:val="12"/>
    <w:lvlOverride w:ilvl="0">
      <w:startOverride w:val="1"/>
    </w:lvlOverride>
  </w:num>
  <w:num w:numId="33" w16cid:durableId="552498262">
    <w:abstractNumId w:val="20"/>
  </w:num>
  <w:num w:numId="34" w16cid:durableId="1829132647">
    <w:abstractNumId w:val="12"/>
    <w:lvlOverride w:ilvl="0">
      <w:startOverride w:val="1"/>
    </w:lvlOverride>
  </w:num>
  <w:num w:numId="35" w16cid:durableId="1915964461">
    <w:abstractNumId w:val="12"/>
    <w:lvlOverride w:ilvl="0">
      <w:startOverride w:val="1"/>
    </w:lvlOverride>
  </w:num>
  <w:num w:numId="36" w16cid:durableId="1385182617">
    <w:abstractNumId w:val="12"/>
    <w:lvlOverride w:ilvl="0">
      <w:startOverride w:val="1"/>
    </w:lvlOverride>
  </w:num>
  <w:num w:numId="37" w16cid:durableId="2113090116">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GB" w:vendorID="64" w:dllVersion="0" w:nlCheck="1" w:checkStyle="0"/>
  <w:proofState w:spelling="clean" w:grammar="clean"/>
  <w:attachedTemplate r:id="rId1"/>
  <w:documentProtection w:edit="readOnly" w:enforcement="1" w:cryptProviderType="rsaAES" w:cryptAlgorithmClass="hash" w:cryptAlgorithmType="typeAny" w:cryptAlgorithmSid="14" w:cryptSpinCount="100000" w:hash="nAphKpkaeZEPo4cL34GqxI1GhByEj+ZfUlxttBRS1W1NpR3oZRkLRVwmpgy47+A1FK/eSpf35TYVrWfFOYTE7w==" w:salt="q1RVhAxdIzK7AQZzP5PtyA=="/>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42"/>
    <w:rsid w:val="00000205"/>
    <w:rsid w:val="0000380B"/>
    <w:rsid w:val="00005505"/>
    <w:rsid w:val="00006275"/>
    <w:rsid w:val="00006971"/>
    <w:rsid w:val="00011CC1"/>
    <w:rsid w:val="00011F6C"/>
    <w:rsid w:val="0001249B"/>
    <w:rsid w:val="00012D68"/>
    <w:rsid w:val="000142BB"/>
    <w:rsid w:val="0001633D"/>
    <w:rsid w:val="0001726F"/>
    <w:rsid w:val="00020098"/>
    <w:rsid w:val="00020300"/>
    <w:rsid w:val="00021A9A"/>
    <w:rsid w:val="00022ADA"/>
    <w:rsid w:val="00026327"/>
    <w:rsid w:val="00027EC9"/>
    <w:rsid w:val="000310AB"/>
    <w:rsid w:val="00033934"/>
    <w:rsid w:val="00036C09"/>
    <w:rsid w:val="000372BF"/>
    <w:rsid w:val="000405C8"/>
    <w:rsid w:val="00040A52"/>
    <w:rsid w:val="00044C5A"/>
    <w:rsid w:val="00044E0A"/>
    <w:rsid w:val="00047C57"/>
    <w:rsid w:val="00054E00"/>
    <w:rsid w:val="00061B2B"/>
    <w:rsid w:val="000627C5"/>
    <w:rsid w:val="0006448C"/>
    <w:rsid w:val="0006449B"/>
    <w:rsid w:val="000655AD"/>
    <w:rsid w:val="00066FD1"/>
    <w:rsid w:val="00072BF9"/>
    <w:rsid w:val="00073DF9"/>
    <w:rsid w:val="0007767E"/>
    <w:rsid w:val="0007796D"/>
    <w:rsid w:val="000830DA"/>
    <w:rsid w:val="00083FBB"/>
    <w:rsid w:val="00086F71"/>
    <w:rsid w:val="000921E6"/>
    <w:rsid w:val="00092D6C"/>
    <w:rsid w:val="00093239"/>
    <w:rsid w:val="000A03C9"/>
    <w:rsid w:val="000A12CC"/>
    <w:rsid w:val="000A2738"/>
    <w:rsid w:val="000A2DF1"/>
    <w:rsid w:val="000A3D10"/>
    <w:rsid w:val="000A409B"/>
    <w:rsid w:val="000A66FC"/>
    <w:rsid w:val="000A741E"/>
    <w:rsid w:val="000B1615"/>
    <w:rsid w:val="000B2AAF"/>
    <w:rsid w:val="000B2E26"/>
    <w:rsid w:val="000B5D3D"/>
    <w:rsid w:val="000C0CE0"/>
    <w:rsid w:val="000C2400"/>
    <w:rsid w:val="000C299C"/>
    <w:rsid w:val="000C406A"/>
    <w:rsid w:val="000C5032"/>
    <w:rsid w:val="000C5ACC"/>
    <w:rsid w:val="000D0293"/>
    <w:rsid w:val="000D0850"/>
    <w:rsid w:val="000D1038"/>
    <w:rsid w:val="000D11A9"/>
    <w:rsid w:val="000D2D7B"/>
    <w:rsid w:val="000E2232"/>
    <w:rsid w:val="000E3DB1"/>
    <w:rsid w:val="000E6946"/>
    <w:rsid w:val="000F0169"/>
    <w:rsid w:val="000F0951"/>
    <w:rsid w:val="000F2598"/>
    <w:rsid w:val="000F29C0"/>
    <w:rsid w:val="000F2BE6"/>
    <w:rsid w:val="000F474D"/>
    <w:rsid w:val="000F5C90"/>
    <w:rsid w:val="000F5EA6"/>
    <w:rsid w:val="000F7998"/>
    <w:rsid w:val="001000D7"/>
    <w:rsid w:val="00100ADC"/>
    <w:rsid w:val="0010429A"/>
    <w:rsid w:val="00105424"/>
    <w:rsid w:val="001075EC"/>
    <w:rsid w:val="00113D82"/>
    <w:rsid w:val="00120F0D"/>
    <w:rsid w:val="001214DA"/>
    <w:rsid w:val="0012722A"/>
    <w:rsid w:val="0013090E"/>
    <w:rsid w:val="00130EF9"/>
    <w:rsid w:val="001319C7"/>
    <w:rsid w:val="001355E6"/>
    <w:rsid w:val="0013644A"/>
    <w:rsid w:val="00140762"/>
    <w:rsid w:val="00140BA6"/>
    <w:rsid w:val="00141946"/>
    <w:rsid w:val="00143DCA"/>
    <w:rsid w:val="00144AAD"/>
    <w:rsid w:val="001455E7"/>
    <w:rsid w:val="0014624E"/>
    <w:rsid w:val="001522DD"/>
    <w:rsid w:val="00155BAB"/>
    <w:rsid w:val="001608B2"/>
    <w:rsid w:val="00160FE0"/>
    <w:rsid w:val="00162574"/>
    <w:rsid w:val="00163AB3"/>
    <w:rsid w:val="00165047"/>
    <w:rsid w:val="00165FF8"/>
    <w:rsid w:val="0016669F"/>
    <w:rsid w:val="00170AD6"/>
    <w:rsid w:val="001735B8"/>
    <w:rsid w:val="00177AA7"/>
    <w:rsid w:val="00180917"/>
    <w:rsid w:val="00180E53"/>
    <w:rsid w:val="00181CB7"/>
    <w:rsid w:val="0018606F"/>
    <w:rsid w:val="001862A5"/>
    <w:rsid w:val="00186A70"/>
    <w:rsid w:val="00191035"/>
    <w:rsid w:val="001918E5"/>
    <w:rsid w:val="00192A7A"/>
    <w:rsid w:val="00197AAF"/>
    <w:rsid w:val="001A1EF4"/>
    <w:rsid w:val="001A68A0"/>
    <w:rsid w:val="001A7046"/>
    <w:rsid w:val="001A710D"/>
    <w:rsid w:val="001A7E6F"/>
    <w:rsid w:val="001B0A27"/>
    <w:rsid w:val="001B0A77"/>
    <w:rsid w:val="001B1727"/>
    <w:rsid w:val="001B1B48"/>
    <w:rsid w:val="001B2151"/>
    <w:rsid w:val="001B3CFF"/>
    <w:rsid w:val="001B4957"/>
    <w:rsid w:val="001B4996"/>
    <w:rsid w:val="001B4EC9"/>
    <w:rsid w:val="001C0E59"/>
    <w:rsid w:val="001C432D"/>
    <w:rsid w:val="001C469E"/>
    <w:rsid w:val="001C56C3"/>
    <w:rsid w:val="001C5D8C"/>
    <w:rsid w:val="001C7E0A"/>
    <w:rsid w:val="001D0112"/>
    <w:rsid w:val="001D19F5"/>
    <w:rsid w:val="001D385A"/>
    <w:rsid w:val="001D3AC4"/>
    <w:rsid w:val="001D6B39"/>
    <w:rsid w:val="001E1ECD"/>
    <w:rsid w:val="001E3E0D"/>
    <w:rsid w:val="001E4A45"/>
    <w:rsid w:val="001E5AB7"/>
    <w:rsid w:val="001E5E30"/>
    <w:rsid w:val="001F0479"/>
    <w:rsid w:val="001F1F10"/>
    <w:rsid w:val="001F23C9"/>
    <w:rsid w:val="001F3999"/>
    <w:rsid w:val="001F3D9D"/>
    <w:rsid w:val="001F4AC8"/>
    <w:rsid w:val="00200894"/>
    <w:rsid w:val="002022EC"/>
    <w:rsid w:val="00202333"/>
    <w:rsid w:val="00202FA8"/>
    <w:rsid w:val="002034B8"/>
    <w:rsid w:val="00205922"/>
    <w:rsid w:val="00206FB8"/>
    <w:rsid w:val="0020766F"/>
    <w:rsid w:val="00207A07"/>
    <w:rsid w:val="00210181"/>
    <w:rsid w:val="00210498"/>
    <w:rsid w:val="0021147A"/>
    <w:rsid w:val="00213BFB"/>
    <w:rsid w:val="002156A3"/>
    <w:rsid w:val="00217478"/>
    <w:rsid w:val="00220938"/>
    <w:rsid w:val="00224806"/>
    <w:rsid w:val="00232F8E"/>
    <w:rsid w:val="00233071"/>
    <w:rsid w:val="00235E99"/>
    <w:rsid w:val="0024299F"/>
    <w:rsid w:val="002449D8"/>
    <w:rsid w:val="00244B86"/>
    <w:rsid w:val="00244C97"/>
    <w:rsid w:val="0024512F"/>
    <w:rsid w:val="00245406"/>
    <w:rsid w:val="002455D7"/>
    <w:rsid w:val="00245D2E"/>
    <w:rsid w:val="00246E1D"/>
    <w:rsid w:val="002472F6"/>
    <w:rsid w:val="0025020D"/>
    <w:rsid w:val="00254991"/>
    <w:rsid w:val="00254CC2"/>
    <w:rsid w:val="00256CCC"/>
    <w:rsid w:val="002574D1"/>
    <w:rsid w:val="00261CCB"/>
    <w:rsid w:val="00262E56"/>
    <w:rsid w:val="002630C0"/>
    <w:rsid w:val="0026332A"/>
    <w:rsid w:val="002645A8"/>
    <w:rsid w:val="0026493B"/>
    <w:rsid w:val="00265566"/>
    <w:rsid w:val="00265F44"/>
    <w:rsid w:val="002665E3"/>
    <w:rsid w:val="0027199C"/>
    <w:rsid w:val="00272C4E"/>
    <w:rsid w:val="002751FC"/>
    <w:rsid w:val="002753BD"/>
    <w:rsid w:val="00281456"/>
    <w:rsid w:val="00282B3A"/>
    <w:rsid w:val="00282D38"/>
    <w:rsid w:val="00282FBE"/>
    <w:rsid w:val="00284802"/>
    <w:rsid w:val="00284AF2"/>
    <w:rsid w:val="0028536B"/>
    <w:rsid w:val="00285CED"/>
    <w:rsid w:val="00285EB5"/>
    <w:rsid w:val="00287C8F"/>
    <w:rsid w:val="00290893"/>
    <w:rsid w:val="002917B9"/>
    <w:rsid w:val="00291A55"/>
    <w:rsid w:val="0029394C"/>
    <w:rsid w:val="002A13B0"/>
    <w:rsid w:val="002A2A39"/>
    <w:rsid w:val="002A2C91"/>
    <w:rsid w:val="002A6C21"/>
    <w:rsid w:val="002A780E"/>
    <w:rsid w:val="002B144C"/>
    <w:rsid w:val="002B53F3"/>
    <w:rsid w:val="002C03FD"/>
    <w:rsid w:val="002C044D"/>
    <w:rsid w:val="002C1AA5"/>
    <w:rsid w:val="002C2A46"/>
    <w:rsid w:val="002C3048"/>
    <w:rsid w:val="002C76AE"/>
    <w:rsid w:val="002D2992"/>
    <w:rsid w:val="002D37A0"/>
    <w:rsid w:val="002D5AB5"/>
    <w:rsid w:val="002D6667"/>
    <w:rsid w:val="002D761A"/>
    <w:rsid w:val="002D79F3"/>
    <w:rsid w:val="002E1C11"/>
    <w:rsid w:val="002E3D0B"/>
    <w:rsid w:val="002E3E7D"/>
    <w:rsid w:val="002E685C"/>
    <w:rsid w:val="002E6A8E"/>
    <w:rsid w:val="002F6279"/>
    <w:rsid w:val="00300F55"/>
    <w:rsid w:val="003013B7"/>
    <w:rsid w:val="00301993"/>
    <w:rsid w:val="00301E55"/>
    <w:rsid w:val="00307397"/>
    <w:rsid w:val="003101EF"/>
    <w:rsid w:val="00312BDD"/>
    <w:rsid w:val="00314117"/>
    <w:rsid w:val="00317EDF"/>
    <w:rsid w:val="00322B55"/>
    <w:rsid w:val="003279E7"/>
    <w:rsid w:val="00327B62"/>
    <w:rsid w:val="00331FE9"/>
    <w:rsid w:val="0033324D"/>
    <w:rsid w:val="0033587C"/>
    <w:rsid w:val="0033696D"/>
    <w:rsid w:val="00336BF9"/>
    <w:rsid w:val="003371E8"/>
    <w:rsid w:val="00337471"/>
    <w:rsid w:val="00340647"/>
    <w:rsid w:val="0034151D"/>
    <w:rsid w:val="00342B5B"/>
    <w:rsid w:val="00343532"/>
    <w:rsid w:val="00345469"/>
    <w:rsid w:val="003454ED"/>
    <w:rsid w:val="00345EB9"/>
    <w:rsid w:val="0035030F"/>
    <w:rsid w:val="003519DD"/>
    <w:rsid w:val="00351B68"/>
    <w:rsid w:val="00351F68"/>
    <w:rsid w:val="00353C4B"/>
    <w:rsid w:val="003545A6"/>
    <w:rsid w:val="00356C60"/>
    <w:rsid w:val="003578D1"/>
    <w:rsid w:val="00363639"/>
    <w:rsid w:val="00366D42"/>
    <w:rsid w:val="0036748C"/>
    <w:rsid w:val="00371FAA"/>
    <w:rsid w:val="00372615"/>
    <w:rsid w:val="00372EA3"/>
    <w:rsid w:val="0037311D"/>
    <w:rsid w:val="0037358E"/>
    <w:rsid w:val="00373A3C"/>
    <w:rsid w:val="00373AB8"/>
    <w:rsid w:val="00373FCF"/>
    <w:rsid w:val="00374193"/>
    <w:rsid w:val="00376233"/>
    <w:rsid w:val="00380B30"/>
    <w:rsid w:val="00381784"/>
    <w:rsid w:val="00381EB0"/>
    <w:rsid w:val="00382A72"/>
    <w:rsid w:val="00382CA6"/>
    <w:rsid w:val="00382EBA"/>
    <w:rsid w:val="0038331A"/>
    <w:rsid w:val="0039135B"/>
    <w:rsid w:val="003A34E7"/>
    <w:rsid w:val="003A3CB1"/>
    <w:rsid w:val="003A3D55"/>
    <w:rsid w:val="003A5CC4"/>
    <w:rsid w:val="003A73A4"/>
    <w:rsid w:val="003B102E"/>
    <w:rsid w:val="003B26BA"/>
    <w:rsid w:val="003B4E3D"/>
    <w:rsid w:val="003B7E44"/>
    <w:rsid w:val="003C167E"/>
    <w:rsid w:val="003C481D"/>
    <w:rsid w:val="003C4EB5"/>
    <w:rsid w:val="003D1099"/>
    <w:rsid w:val="003D2CED"/>
    <w:rsid w:val="003D344A"/>
    <w:rsid w:val="003D3BB8"/>
    <w:rsid w:val="003D72F4"/>
    <w:rsid w:val="003D7C07"/>
    <w:rsid w:val="003E13FD"/>
    <w:rsid w:val="003E1C24"/>
    <w:rsid w:val="003E61FC"/>
    <w:rsid w:val="003E77BC"/>
    <w:rsid w:val="003F0087"/>
    <w:rsid w:val="003F0EDF"/>
    <w:rsid w:val="003F20C7"/>
    <w:rsid w:val="003F35B0"/>
    <w:rsid w:val="003F39B1"/>
    <w:rsid w:val="00400D9C"/>
    <w:rsid w:val="00400FBE"/>
    <w:rsid w:val="004022CF"/>
    <w:rsid w:val="004029B1"/>
    <w:rsid w:val="004038F1"/>
    <w:rsid w:val="00404282"/>
    <w:rsid w:val="00404ED5"/>
    <w:rsid w:val="0040743A"/>
    <w:rsid w:val="00407623"/>
    <w:rsid w:val="00407A74"/>
    <w:rsid w:val="004114D5"/>
    <w:rsid w:val="00414210"/>
    <w:rsid w:val="00414DB4"/>
    <w:rsid w:val="004159DB"/>
    <w:rsid w:val="004171F5"/>
    <w:rsid w:val="00420FD4"/>
    <w:rsid w:val="004242B3"/>
    <w:rsid w:val="00424A4F"/>
    <w:rsid w:val="00426D62"/>
    <w:rsid w:val="00427A89"/>
    <w:rsid w:val="00430C5B"/>
    <w:rsid w:val="00431968"/>
    <w:rsid w:val="00433936"/>
    <w:rsid w:val="0043475E"/>
    <w:rsid w:val="00435FE9"/>
    <w:rsid w:val="00436279"/>
    <w:rsid w:val="0044199E"/>
    <w:rsid w:val="0044206D"/>
    <w:rsid w:val="00444803"/>
    <w:rsid w:val="00445696"/>
    <w:rsid w:val="00446E5F"/>
    <w:rsid w:val="00450C4E"/>
    <w:rsid w:val="00455577"/>
    <w:rsid w:val="00456795"/>
    <w:rsid w:val="004578B3"/>
    <w:rsid w:val="0046150E"/>
    <w:rsid w:val="00461CC8"/>
    <w:rsid w:val="00462B2F"/>
    <w:rsid w:val="00462E09"/>
    <w:rsid w:val="00465EAA"/>
    <w:rsid w:val="004708CA"/>
    <w:rsid w:val="004709E7"/>
    <w:rsid w:val="00470ADE"/>
    <w:rsid w:val="004712C7"/>
    <w:rsid w:val="00474736"/>
    <w:rsid w:val="004759EB"/>
    <w:rsid w:val="00477919"/>
    <w:rsid w:val="00482611"/>
    <w:rsid w:val="00482A27"/>
    <w:rsid w:val="00487DCE"/>
    <w:rsid w:val="00492701"/>
    <w:rsid w:val="004950B7"/>
    <w:rsid w:val="0049534D"/>
    <w:rsid w:val="00497209"/>
    <w:rsid w:val="00497FEA"/>
    <w:rsid w:val="004A22F3"/>
    <w:rsid w:val="004A75F5"/>
    <w:rsid w:val="004B07B2"/>
    <w:rsid w:val="004B0955"/>
    <w:rsid w:val="004B143D"/>
    <w:rsid w:val="004B1842"/>
    <w:rsid w:val="004B1D1B"/>
    <w:rsid w:val="004B25D0"/>
    <w:rsid w:val="004B3553"/>
    <w:rsid w:val="004B5E92"/>
    <w:rsid w:val="004B6859"/>
    <w:rsid w:val="004C0A30"/>
    <w:rsid w:val="004C357C"/>
    <w:rsid w:val="004C3D18"/>
    <w:rsid w:val="004D19BD"/>
    <w:rsid w:val="004D2D3F"/>
    <w:rsid w:val="004D42B1"/>
    <w:rsid w:val="004D526F"/>
    <w:rsid w:val="004E0583"/>
    <w:rsid w:val="004E19C0"/>
    <w:rsid w:val="004E1C54"/>
    <w:rsid w:val="004E21FE"/>
    <w:rsid w:val="004E2C37"/>
    <w:rsid w:val="004E5285"/>
    <w:rsid w:val="004F0CF3"/>
    <w:rsid w:val="004F5740"/>
    <w:rsid w:val="004F58C9"/>
    <w:rsid w:val="005028B9"/>
    <w:rsid w:val="00503A3F"/>
    <w:rsid w:val="00505E17"/>
    <w:rsid w:val="00511A59"/>
    <w:rsid w:val="00511C3B"/>
    <w:rsid w:val="00513DA2"/>
    <w:rsid w:val="00514440"/>
    <w:rsid w:val="005166C3"/>
    <w:rsid w:val="00520F7C"/>
    <w:rsid w:val="00523974"/>
    <w:rsid w:val="00526E5D"/>
    <w:rsid w:val="00527517"/>
    <w:rsid w:val="00531432"/>
    <w:rsid w:val="00532BC8"/>
    <w:rsid w:val="005333E8"/>
    <w:rsid w:val="00534912"/>
    <w:rsid w:val="005370E7"/>
    <w:rsid w:val="005409B7"/>
    <w:rsid w:val="0054488D"/>
    <w:rsid w:val="00545E62"/>
    <w:rsid w:val="00551070"/>
    <w:rsid w:val="00552C8A"/>
    <w:rsid w:val="00555156"/>
    <w:rsid w:val="0055535B"/>
    <w:rsid w:val="00560A96"/>
    <w:rsid w:val="005619CB"/>
    <w:rsid w:val="00561B71"/>
    <w:rsid w:val="00561F98"/>
    <w:rsid w:val="00564607"/>
    <w:rsid w:val="00565193"/>
    <w:rsid w:val="005664AB"/>
    <w:rsid w:val="005725BD"/>
    <w:rsid w:val="005730B0"/>
    <w:rsid w:val="00575DCC"/>
    <w:rsid w:val="00576AAD"/>
    <w:rsid w:val="005821B0"/>
    <w:rsid w:val="0059175F"/>
    <w:rsid w:val="00591AAC"/>
    <w:rsid w:val="00595F08"/>
    <w:rsid w:val="00595FBE"/>
    <w:rsid w:val="005A1C55"/>
    <w:rsid w:val="005A4636"/>
    <w:rsid w:val="005A5EF1"/>
    <w:rsid w:val="005B169D"/>
    <w:rsid w:val="005B467C"/>
    <w:rsid w:val="005B4A69"/>
    <w:rsid w:val="005B4ACA"/>
    <w:rsid w:val="005B6B12"/>
    <w:rsid w:val="005C19E9"/>
    <w:rsid w:val="005C2DBC"/>
    <w:rsid w:val="005C5F13"/>
    <w:rsid w:val="005C65F9"/>
    <w:rsid w:val="005C6B0E"/>
    <w:rsid w:val="005C7E1F"/>
    <w:rsid w:val="005D1B9E"/>
    <w:rsid w:val="005D1F6B"/>
    <w:rsid w:val="005D2DE7"/>
    <w:rsid w:val="005D331C"/>
    <w:rsid w:val="005D54DC"/>
    <w:rsid w:val="005D6355"/>
    <w:rsid w:val="005D7AAF"/>
    <w:rsid w:val="005E0C59"/>
    <w:rsid w:val="005E18DE"/>
    <w:rsid w:val="005E1DA3"/>
    <w:rsid w:val="005E306B"/>
    <w:rsid w:val="005E3669"/>
    <w:rsid w:val="005E53D0"/>
    <w:rsid w:val="005E5785"/>
    <w:rsid w:val="005E6098"/>
    <w:rsid w:val="005E7969"/>
    <w:rsid w:val="005F0C93"/>
    <w:rsid w:val="005F3F22"/>
    <w:rsid w:val="005F4FC0"/>
    <w:rsid w:val="005F540F"/>
    <w:rsid w:val="005F5491"/>
    <w:rsid w:val="005F6144"/>
    <w:rsid w:val="005F6573"/>
    <w:rsid w:val="00601541"/>
    <w:rsid w:val="0060361E"/>
    <w:rsid w:val="006040AD"/>
    <w:rsid w:val="00604A25"/>
    <w:rsid w:val="00606683"/>
    <w:rsid w:val="006072C6"/>
    <w:rsid w:val="00613BF6"/>
    <w:rsid w:val="00616D27"/>
    <w:rsid w:val="006234FE"/>
    <w:rsid w:val="00623840"/>
    <w:rsid w:val="006255EC"/>
    <w:rsid w:val="00625A25"/>
    <w:rsid w:val="0062736A"/>
    <w:rsid w:val="0063565E"/>
    <w:rsid w:val="00636E02"/>
    <w:rsid w:val="006372FE"/>
    <w:rsid w:val="00640691"/>
    <w:rsid w:val="00641DB1"/>
    <w:rsid w:val="00642297"/>
    <w:rsid w:val="00644A34"/>
    <w:rsid w:val="00654824"/>
    <w:rsid w:val="00655791"/>
    <w:rsid w:val="00661766"/>
    <w:rsid w:val="00662882"/>
    <w:rsid w:val="0066298C"/>
    <w:rsid w:val="00663008"/>
    <w:rsid w:val="00663093"/>
    <w:rsid w:val="00665A7C"/>
    <w:rsid w:val="00665B0B"/>
    <w:rsid w:val="006705CD"/>
    <w:rsid w:val="00671363"/>
    <w:rsid w:val="00672780"/>
    <w:rsid w:val="00672842"/>
    <w:rsid w:val="00676CFC"/>
    <w:rsid w:val="00677133"/>
    <w:rsid w:val="00681482"/>
    <w:rsid w:val="00687BF0"/>
    <w:rsid w:val="006904CF"/>
    <w:rsid w:val="006912FB"/>
    <w:rsid w:val="00695AF2"/>
    <w:rsid w:val="00696A2B"/>
    <w:rsid w:val="00696BD5"/>
    <w:rsid w:val="006A04AE"/>
    <w:rsid w:val="006A0AE4"/>
    <w:rsid w:val="006A172D"/>
    <w:rsid w:val="006A23F3"/>
    <w:rsid w:val="006A2CF3"/>
    <w:rsid w:val="006A5047"/>
    <w:rsid w:val="006A5E48"/>
    <w:rsid w:val="006A7A10"/>
    <w:rsid w:val="006A7E17"/>
    <w:rsid w:val="006B0DA4"/>
    <w:rsid w:val="006B1B6B"/>
    <w:rsid w:val="006B2C57"/>
    <w:rsid w:val="006B391B"/>
    <w:rsid w:val="006B79E0"/>
    <w:rsid w:val="006C0B2D"/>
    <w:rsid w:val="006C1633"/>
    <w:rsid w:val="006C5BF8"/>
    <w:rsid w:val="006C791B"/>
    <w:rsid w:val="006C7CCB"/>
    <w:rsid w:val="006D2EE6"/>
    <w:rsid w:val="006D3F14"/>
    <w:rsid w:val="006D3FDF"/>
    <w:rsid w:val="006D6009"/>
    <w:rsid w:val="006D7D41"/>
    <w:rsid w:val="006E2F4D"/>
    <w:rsid w:val="006E3FDD"/>
    <w:rsid w:val="006E58FB"/>
    <w:rsid w:val="006E5D82"/>
    <w:rsid w:val="006E66B2"/>
    <w:rsid w:val="006E6C50"/>
    <w:rsid w:val="006E7A69"/>
    <w:rsid w:val="006E7DE4"/>
    <w:rsid w:val="006F53E8"/>
    <w:rsid w:val="006F5FB8"/>
    <w:rsid w:val="0070017B"/>
    <w:rsid w:val="0070427E"/>
    <w:rsid w:val="00704D53"/>
    <w:rsid w:val="007056C3"/>
    <w:rsid w:val="00706072"/>
    <w:rsid w:val="00713644"/>
    <w:rsid w:val="007148CC"/>
    <w:rsid w:val="00721256"/>
    <w:rsid w:val="007217AD"/>
    <w:rsid w:val="007219A9"/>
    <w:rsid w:val="00723BA1"/>
    <w:rsid w:val="00724A1B"/>
    <w:rsid w:val="0073173E"/>
    <w:rsid w:val="007319C3"/>
    <w:rsid w:val="0073454F"/>
    <w:rsid w:val="00735C00"/>
    <w:rsid w:val="007364C6"/>
    <w:rsid w:val="00740BF3"/>
    <w:rsid w:val="00741D5C"/>
    <w:rsid w:val="0074352F"/>
    <w:rsid w:val="00747C5E"/>
    <w:rsid w:val="00750210"/>
    <w:rsid w:val="00750618"/>
    <w:rsid w:val="0075162F"/>
    <w:rsid w:val="00754844"/>
    <w:rsid w:val="00754B57"/>
    <w:rsid w:val="007552C7"/>
    <w:rsid w:val="0075671D"/>
    <w:rsid w:val="0076002F"/>
    <w:rsid w:val="0076038B"/>
    <w:rsid w:val="00761744"/>
    <w:rsid w:val="00762B6D"/>
    <w:rsid w:val="00764582"/>
    <w:rsid w:val="00765FA3"/>
    <w:rsid w:val="00766961"/>
    <w:rsid w:val="00766B5A"/>
    <w:rsid w:val="007678D6"/>
    <w:rsid w:val="0077026A"/>
    <w:rsid w:val="00770C33"/>
    <w:rsid w:val="00773465"/>
    <w:rsid w:val="007741C3"/>
    <w:rsid w:val="00777BE0"/>
    <w:rsid w:val="00777CFF"/>
    <w:rsid w:val="00780923"/>
    <w:rsid w:val="00781265"/>
    <w:rsid w:val="0078131F"/>
    <w:rsid w:val="007844C6"/>
    <w:rsid w:val="007876EF"/>
    <w:rsid w:val="00790306"/>
    <w:rsid w:val="00793573"/>
    <w:rsid w:val="0079364C"/>
    <w:rsid w:val="00793C6C"/>
    <w:rsid w:val="007942B9"/>
    <w:rsid w:val="00796C7F"/>
    <w:rsid w:val="00797E0C"/>
    <w:rsid w:val="007A160F"/>
    <w:rsid w:val="007A48BC"/>
    <w:rsid w:val="007A51D4"/>
    <w:rsid w:val="007B0BC1"/>
    <w:rsid w:val="007B354B"/>
    <w:rsid w:val="007B4FC3"/>
    <w:rsid w:val="007B73F3"/>
    <w:rsid w:val="007B7EE5"/>
    <w:rsid w:val="007C1C28"/>
    <w:rsid w:val="007C2A2C"/>
    <w:rsid w:val="007C3577"/>
    <w:rsid w:val="007C5E08"/>
    <w:rsid w:val="007C5F2A"/>
    <w:rsid w:val="007C660A"/>
    <w:rsid w:val="007D0002"/>
    <w:rsid w:val="007D7A59"/>
    <w:rsid w:val="007E0E75"/>
    <w:rsid w:val="007E53F5"/>
    <w:rsid w:val="007E6E9E"/>
    <w:rsid w:val="007E7637"/>
    <w:rsid w:val="007E7997"/>
    <w:rsid w:val="007F014A"/>
    <w:rsid w:val="007F04EF"/>
    <w:rsid w:val="007F0763"/>
    <w:rsid w:val="007F1DE9"/>
    <w:rsid w:val="007F25C2"/>
    <w:rsid w:val="007F4F88"/>
    <w:rsid w:val="007F5642"/>
    <w:rsid w:val="007F5822"/>
    <w:rsid w:val="007F5B86"/>
    <w:rsid w:val="00800A7F"/>
    <w:rsid w:val="0080285D"/>
    <w:rsid w:val="0081028F"/>
    <w:rsid w:val="008107D9"/>
    <w:rsid w:val="0081093B"/>
    <w:rsid w:val="008116D9"/>
    <w:rsid w:val="00811936"/>
    <w:rsid w:val="00812BE2"/>
    <w:rsid w:val="00813059"/>
    <w:rsid w:val="008157C8"/>
    <w:rsid w:val="00815C43"/>
    <w:rsid w:val="008173E2"/>
    <w:rsid w:val="008201C3"/>
    <w:rsid w:val="00820422"/>
    <w:rsid w:val="00820655"/>
    <w:rsid w:val="008227D7"/>
    <w:rsid w:val="008249A1"/>
    <w:rsid w:val="00825D43"/>
    <w:rsid w:val="0082632D"/>
    <w:rsid w:val="008279D3"/>
    <w:rsid w:val="00832500"/>
    <w:rsid w:val="00832787"/>
    <w:rsid w:val="00833000"/>
    <w:rsid w:val="00835192"/>
    <w:rsid w:val="00835805"/>
    <w:rsid w:val="0083595F"/>
    <w:rsid w:val="008372B6"/>
    <w:rsid w:val="00843A1A"/>
    <w:rsid w:val="00846433"/>
    <w:rsid w:val="008472C2"/>
    <w:rsid w:val="00850B43"/>
    <w:rsid w:val="008510D9"/>
    <w:rsid w:val="00851EE3"/>
    <w:rsid w:val="00853121"/>
    <w:rsid w:val="008555E4"/>
    <w:rsid w:val="00864124"/>
    <w:rsid w:val="00864E60"/>
    <w:rsid w:val="00866A09"/>
    <w:rsid w:val="00871163"/>
    <w:rsid w:val="00871241"/>
    <w:rsid w:val="008712BF"/>
    <w:rsid w:val="00872209"/>
    <w:rsid w:val="008731EB"/>
    <w:rsid w:val="00873656"/>
    <w:rsid w:val="00880140"/>
    <w:rsid w:val="008842F7"/>
    <w:rsid w:val="00885B94"/>
    <w:rsid w:val="0089075A"/>
    <w:rsid w:val="00890F80"/>
    <w:rsid w:val="00892BFD"/>
    <w:rsid w:val="0089338A"/>
    <w:rsid w:val="00894199"/>
    <w:rsid w:val="008948BE"/>
    <w:rsid w:val="00896D1F"/>
    <w:rsid w:val="00896D5B"/>
    <w:rsid w:val="008A1E27"/>
    <w:rsid w:val="008A2C86"/>
    <w:rsid w:val="008A6000"/>
    <w:rsid w:val="008A70A8"/>
    <w:rsid w:val="008A7FAC"/>
    <w:rsid w:val="008B1FD9"/>
    <w:rsid w:val="008B2AF1"/>
    <w:rsid w:val="008B5191"/>
    <w:rsid w:val="008B710D"/>
    <w:rsid w:val="008B7CA1"/>
    <w:rsid w:val="008C0177"/>
    <w:rsid w:val="008C0389"/>
    <w:rsid w:val="008C1B25"/>
    <w:rsid w:val="008C27D3"/>
    <w:rsid w:val="008C2C43"/>
    <w:rsid w:val="008C4B2B"/>
    <w:rsid w:val="008C5E91"/>
    <w:rsid w:val="008C686D"/>
    <w:rsid w:val="008C6B18"/>
    <w:rsid w:val="008C75E6"/>
    <w:rsid w:val="008C767A"/>
    <w:rsid w:val="008C7A73"/>
    <w:rsid w:val="008D0569"/>
    <w:rsid w:val="008D28FD"/>
    <w:rsid w:val="008D59F9"/>
    <w:rsid w:val="008D5C28"/>
    <w:rsid w:val="008E00A6"/>
    <w:rsid w:val="008E1710"/>
    <w:rsid w:val="008E2D26"/>
    <w:rsid w:val="008E3C8E"/>
    <w:rsid w:val="008E4076"/>
    <w:rsid w:val="008E5ACB"/>
    <w:rsid w:val="008E7DBA"/>
    <w:rsid w:val="008F1993"/>
    <w:rsid w:val="008F3386"/>
    <w:rsid w:val="008F3AD9"/>
    <w:rsid w:val="008F4642"/>
    <w:rsid w:val="008F4C29"/>
    <w:rsid w:val="008F4E00"/>
    <w:rsid w:val="008F6163"/>
    <w:rsid w:val="008F761D"/>
    <w:rsid w:val="00900D44"/>
    <w:rsid w:val="00902520"/>
    <w:rsid w:val="00906DC4"/>
    <w:rsid w:val="00911A61"/>
    <w:rsid w:val="00914478"/>
    <w:rsid w:val="0091457F"/>
    <w:rsid w:val="0091729E"/>
    <w:rsid w:val="00926BDA"/>
    <w:rsid w:val="00931615"/>
    <w:rsid w:val="0093261E"/>
    <w:rsid w:val="00937B82"/>
    <w:rsid w:val="0094008E"/>
    <w:rsid w:val="00941C0C"/>
    <w:rsid w:val="009437F2"/>
    <w:rsid w:val="0094528B"/>
    <w:rsid w:val="00960A8B"/>
    <w:rsid w:val="00965128"/>
    <w:rsid w:val="00967068"/>
    <w:rsid w:val="00973F43"/>
    <w:rsid w:val="0097785D"/>
    <w:rsid w:val="0098011D"/>
    <w:rsid w:val="00981912"/>
    <w:rsid w:val="009819C0"/>
    <w:rsid w:val="009835AD"/>
    <w:rsid w:val="00987A75"/>
    <w:rsid w:val="00990C72"/>
    <w:rsid w:val="00991A8A"/>
    <w:rsid w:val="00991BED"/>
    <w:rsid w:val="00992611"/>
    <w:rsid w:val="00994303"/>
    <w:rsid w:val="00995019"/>
    <w:rsid w:val="0099526D"/>
    <w:rsid w:val="00996C8B"/>
    <w:rsid w:val="009A0054"/>
    <w:rsid w:val="009A0F6E"/>
    <w:rsid w:val="009A2D9C"/>
    <w:rsid w:val="009A38D9"/>
    <w:rsid w:val="009A5548"/>
    <w:rsid w:val="009A72CC"/>
    <w:rsid w:val="009B25C1"/>
    <w:rsid w:val="009B26DB"/>
    <w:rsid w:val="009B7B79"/>
    <w:rsid w:val="009C0383"/>
    <w:rsid w:val="009C145B"/>
    <w:rsid w:val="009C3E04"/>
    <w:rsid w:val="009C4FB0"/>
    <w:rsid w:val="009C75D1"/>
    <w:rsid w:val="009C7694"/>
    <w:rsid w:val="009C792D"/>
    <w:rsid w:val="009D0570"/>
    <w:rsid w:val="009D3E5C"/>
    <w:rsid w:val="009D495C"/>
    <w:rsid w:val="009D570F"/>
    <w:rsid w:val="009D5E88"/>
    <w:rsid w:val="009D6E1A"/>
    <w:rsid w:val="009D7294"/>
    <w:rsid w:val="009E1690"/>
    <w:rsid w:val="009E18AF"/>
    <w:rsid w:val="009E2C9D"/>
    <w:rsid w:val="009E2CDD"/>
    <w:rsid w:val="009E3545"/>
    <w:rsid w:val="009E4FCE"/>
    <w:rsid w:val="009E522E"/>
    <w:rsid w:val="009F0ABA"/>
    <w:rsid w:val="009F0AF5"/>
    <w:rsid w:val="009F7BE9"/>
    <w:rsid w:val="00A02199"/>
    <w:rsid w:val="00A026A4"/>
    <w:rsid w:val="00A04044"/>
    <w:rsid w:val="00A055DD"/>
    <w:rsid w:val="00A11D0C"/>
    <w:rsid w:val="00A16579"/>
    <w:rsid w:val="00A24843"/>
    <w:rsid w:val="00A25AB7"/>
    <w:rsid w:val="00A26D48"/>
    <w:rsid w:val="00A31C7C"/>
    <w:rsid w:val="00A367AA"/>
    <w:rsid w:val="00A378DF"/>
    <w:rsid w:val="00A37AC6"/>
    <w:rsid w:val="00A409C2"/>
    <w:rsid w:val="00A410CC"/>
    <w:rsid w:val="00A42B43"/>
    <w:rsid w:val="00A42BD0"/>
    <w:rsid w:val="00A433DC"/>
    <w:rsid w:val="00A460CD"/>
    <w:rsid w:val="00A50761"/>
    <w:rsid w:val="00A51DF2"/>
    <w:rsid w:val="00A53AF0"/>
    <w:rsid w:val="00A54ED7"/>
    <w:rsid w:val="00A61561"/>
    <w:rsid w:val="00A63249"/>
    <w:rsid w:val="00A6691F"/>
    <w:rsid w:val="00A67E6A"/>
    <w:rsid w:val="00A70F49"/>
    <w:rsid w:val="00A72203"/>
    <w:rsid w:val="00A7281F"/>
    <w:rsid w:val="00A73299"/>
    <w:rsid w:val="00A73949"/>
    <w:rsid w:val="00A76707"/>
    <w:rsid w:val="00A7697E"/>
    <w:rsid w:val="00A76C98"/>
    <w:rsid w:val="00A76E20"/>
    <w:rsid w:val="00A770B3"/>
    <w:rsid w:val="00A8284E"/>
    <w:rsid w:val="00A85921"/>
    <w:rsid w:val="00A870EE"/>
    <w:rsid w:val="00A91D91"/>
    <w:rsid w:val="00A95D52"/>
    <w:rsid w:val="00A960E3"/>
    <w:rsid w:val="00A96F81"/>
    <w:rsid w:val="00A9709D"/>
    <w:rsid w:val="00A973A8"/>
    <w:rsid w:val="00AA054E"/>
    <w:rsid w:val="00AA0A10"/>
    <w:rsid w:val="00AA2094"/>
    <w:rsid w:val="00AA2947"/>
    <w:rsid w:val="00AA7461"/>
    <w:rsid w:val="00AB1894"/>
    <w:rsid w:val="00AB22DF"/>
    <w:rsid w:val="00AB2C3F"/>
    <w:rsid w:val="00AB30EA"/>
    <w:rsid w:val="00AB458B"/>
    <w:rsid w:val="00AB45E4"/>
    <w:rsid w:val="00AB6157"/>
    <w:rsid w:val="00AB7542"/>
    <w:rsid w:val="00AC022D"/>
    <w:rsid w:val="00AC0629"/>
    <w:rsid w:val="00AC70C7"/>
    <w:rsid w:val="00AC79E0"/>
    <w:rsid w:val="00AD32CE"/>
    <w:rsid w:val="00AD515A"/>
    <w:rsid w:val="00AD5187"/>
    <w:rsid w:val="00AD6B11"/>
    <w:rsid w:val="00AD6B34"/>
    <w:rsid w:val="00AD6F90"/>
    <w:rsid w:val="00AE0286"/>
    <w:rsid w:val="00AE247F"/>
    <w:rsid w:val="00AE4A24"/>
    <w:rsid w:val="00AE4FC7"/>
    <w:rsid w:val="00AE7235"/>
    <w:rsid w:val="00AF01E3"/>
    <w:rsid w:val="00AF23AE"/>
    <w:rsid w:val="00AF2EF7"/>
    <w:rsid w:val="00AF3741"/>
    <w:rsid w:val="00AF3B5C"/>
    <w:rsid w:val="00B0014A"/>
    <w:rsid w:val="00B00B50"/>
    <w:rsid w:val="00B00DB2"/>
    <w:rsid w:val="00B016E3"/>
    <w:rsid w:val="00B02B0B"/>
    <w:rsid w:val="00B03817"/>
    <w:rsid w:val="00B04283"/>
    <w:rsid w:val="00B05BA8"/>
    <w:rsid w:val="00B0741D"/>
    <w:rsid w:val="00B07AD8"/>
    <w:rsid w:val="00B07B20"/>
    <w:rsid w:val="00B1081B"/>
    <w:rsid w:val="00B14406"/>
    <w:rsid w:val="00B14F01"/>
    <w:rsid w:val="00B15525"/>
    <w:rsid w:val="00B15C0B"/>
    <w:rsid w:val="00B16706"/>
    <w:rsid w:val="00B174BA"/>
    <w:rsid w:val="00B17AF3"/>
    <w:rsid w:val="00B223B5"/>
    <w:rsid w:val="00B229AD"/>
    <w:rsid w:val="00B237BC"/>
    <w:rsid w:val="00B26EBB"/>
    <w:rsid w:val="00B27499"/>
    <w:rsid w:val="00B335C4"/>
    <w:rsid w:val="00B3369E"/>
    <w:rsid w:val="00B33D9A"/>
    <w:rsid w:val="00B40D81"/>
    <w:rsid w:val="00B424F5"/>
    <w:rsid w:val="00B43167"/>
    <w:rsid w:val="00B435BE"/>
    <w:rsid w:val="00B43A9D"/>
    <w:rsid w:val="00B467B0"/>
    <w:rsid w:val="00B47F9B"/>
    <w:rsid w:val="00B50534"/>
    <w:rsid w:val="00B51FCB"/>
    <w:rsid w:val="00B5289B"/>
    <w:rsid w:val="00B52E10"/>
    <w:rsid w:val="00B5331D"/>
    <w:rsid w:val="00B543D6"/>
    <w:rsid w:val="00B556B0"/>
    <w:rsid w:val="00B56736"/>
    <w:rsid w:val="00B57687"/>
    <w:rsid w:val="00B578E3"/>
    <w:rsid w:val="00B57CE5"/>
    <w:rsid w:val="00B63379"/>
    <w:rsid w:val="00B648F2"/>
    <w:rsid w:val="00B655D1"/>
    <w:rsid w:val="00B7002C"/>
    <w:rsid w:val="00B728C7"/>
    <w:rsid w:val="00B73FF2"/>
    <w:rsid w:val="00B74CBA"/>
    <w:rsid w:val="00B74ED3"/>
    <w:rsid w:val="00B768CF"/>
    <w:rsid w:val="00B81A44"/>
    <w:rsid w:val="00B86BB5"/>
    <w:rsid w:val="00B91072"/>
    <w:rsid w:val="00B91B6E"/>
    <w:rsid w:val="00B94B2C"/>
    <w:rsid w:val="00B96F7D"/>
    <w:rsid w:val="00B970D0"/>
    <w:rsid w:val="00BA49F4"/>
    <w:rsid w:val="00BA5C41"/>
    <w:rsid w:val="00BA6ACA"/>
    <w:rsid w:val="00BA7232"/>
    <w:rsid w:val="00BA7809"/>
    <w:rsid w:val="00BB29AA"/>
    <w:rsid w:val="00BB449C"/>
    <w:rsid w:val="00BB44D7"/>
    <w:rsid w:val="00BC2561"/>
    <w:rsid w:val="00BC3E3E"/>
    <w:rsid w:val="00BC422A"/>
    <w:rsid w:val="00BC5128"/>
    <w:rsid w:val="00BC5608"/>
    <w:rsid w:val="00BD04C9"/>
    <w:rsid w:val="00BD29C8"/>
    <w:rsid w:val="00BD3536"/>
    <w:rsid w:val="00BD37FD"/>
    <w:rsid w:val="00BE0B46"/>
    <w:rsid w:val="00BE225E"/>
    <w:rsid w:val="00BE237E"/>
    <w:rsid w:val="00BE3703"/>
    <w:rsid w:val="00BE567F"/>
    <w:rsid w:val="00BF0A29"/>
    <w:rsid w:val="00BF25CD"/>
    <w:rsid w:val="00BF5553"/>
    <w:rsid w:val="00BF75CD"/>
    <w:rsid w:val="00BF7E68"/>
    <w:rsid w:val="00C00D4F"/>
    <w:rsid w:val="00C00F1C"/>
    <w:rsid w:val="00C0346D"/>
    <w:rsid w:val="00C0358F"/>
    <w:rsid w:val="00C03BB0"/>
    <w:rsid w:val="00C041CF"/>
    <w:rsid w:val="00C0696A"/>
    <w:rsid w:val="00C11CFA"/>
    <w:rsid w:val="00C12034"/>
    <w:rsid w:val="00C1396B"/>
    <w:rsid w:val="00C1501F"/>
    <w:rsid w:val="00C16775"/>
    <w:rsid w:val="00C1698A"/>
    <w:rsid w:val="00C17150"/>
    <w:rsid w:val="00C17E6C"/>
    <w:rsid w:val="00C249CC"/>
    <w:rsid w:val="00C24E5F"/>
    <w:rsid w:val="00C255B6"/>
    <w:rsid w:val="00C262E7"/>
    <w:rsid w:val="00C26F3A"/>
    <w:rsid w:val="00C2770B"/>
    <w:rsid w:val="00C30296"/>
    <w:rsid w:val="00C3170E"/>
    <w:rsid w:val="00C31947"/>
    <w:rsid w:val="00C40053"/>
    <w:rsid w:val="00C4294D"/>
    <w:rsid w:val="00C444C8"/>
    <w:rsid w:val="00C452DD"/>
    <w:rsid w:val="00C45856"/>
    <w:rsid w:val="00C46603"/>
    <w:rsid w:val="00C5320B"/>
    <w:rsid w:val="00C54316"/>
    <w:rsid w:val="00C55208"/>
    <w:rsid w:val="00C5527D"/>
    <w:rsid w:val="00C61B1A"/>
    <w:rsid w:val="00C62A53"/>
    <w:rsid w:val="00C709F9"/>
    <w:rsid w:val="00C70FF7"/>
    <w:rsid w:val="00C73A00"/>
    <w:rsid w:val="00C73A70"/>
    <w:rsid w:val="00C76054"/>
    <w:rsid w:val="00C779A2"/>
    <w:rsid w:val="00C80546"/>
    <w:rsid w:val="00C83CAD"/>
    <w:rsid w:val="00C8419E"/>
    <w:rsid w:val="00C851D7"/>
    <w:rsid w:val="00C85C8B"/>
    <w:rsid w:val="00C867AD"/>
    <w:rsid w:val="00C87F9F"/>
    <w:rsid w:val="00C9545D"/>
    <w:rsid w:val="00C9625C"/>
    <w:rsid w:val="00C97337"/>
    <w:rsid w:val="00C978C6"/>
    <w:rsid w:val="00C97F2A"/>
    <w:rsid w:val="00C97F9B"/>
    <w:rsid w:val="00CA112D"/>
    <w:rsid w:val="00CA1F9F"/>
    <w:rsid w:val="00CA2179"/>
    <w:rsid w:val="00CA3D8A"/>
    <w:rsid w:val="00CA4A87"/>
    <w:rsid w:val="00CB0C0C"/>
    <w:rsid w:val="00CB4B3E"/>
    <w:rsid w:val="00CB50EF"/>
    <w:rsid w:val="00CB623F"/>
    <w:rsid w:val="00CB791A"/>
    <w:rsid w:val="00CB7D1B"/>
    <w:rsid w:val="00CC11DF"/>
    <w:rsid w:val="00CC1A6E"/>
    <w:rsid w:val="00CC3F62"/>
    <w:rsid w:val="00CC536E"/>
    <w:rsid w:val="00CC59DD"/>
    <w:rsid w:val="00CC7FC6"/>
    <w:rsid w:val="00CD47B2"/>
    <w:rsid w:val="00CD5AFD"/>
    <w:rsid w:val="00CD6E6D"/>
    <w:rsid w:val="00CD7091"/>
    <w:rsid w:val="00CD74EB"/>
    <w:rsid w:val="00CE49F8"/>
    <w:rsid w:val="00CE4E1E"/>
    <w:rsid w:val="00CE66B5"/>
    <w:rsid w:val="00CF2D77"/>
    <w:rsid w:val="00CF52DF"/>
    <w:rsid w:val="00CF5832"/>
    <w:rsid w:val="00CF5911"/>
    <w:rsid w:val="00CF7221"/>
    <w:rsid w:val="00CF724E"/>
    <w:rsid w:val="00D059F5"/>
    <w:rsid w:val="00D117F5"/>
    <w:rsid w:val="00D11B30"/>
    <w:rsid w:val="00D13661"/>
    <w:rsid w:val="00D142BD"/>
    <w:rsid w:val="00D146DE"/>
    <w:rsid w:val="00D17FEC"/>
    <w:rsid w:val="00D200E7"/>
    <w:rsid w:val="00D21427"/>
    <w:rsid w:val="00D22164"/>
    <w:rsid w:val="00D22B86"/>
    <w:rsid w:val="00D22F2F"/>
    <w:rsid w:val="00D24194"/>
    <w:rsid w:val="00D2460F"/>
    <w:rsid w:val="00D2590F"/>
    <w:rsid w:val="00D26321"/>
    <w:rsid w:val="00D27150"/>
    <w:rsid w:val="00D27EB3"/>
    <w:rsid w:val="00D32D2A"/>
    <w:rsid w:val="00D35E02"/>
    <w:rsid w:val="00D378C9"/>
    <w:rsid w:val="00D37B9F"/>
    <w:rsid w:val="00D40FA1"/>
    <w:rsid w:val="00D41425"/>
    <w:rsid w:val="00D41EFF"/>
    <w:rsid w:val="00D46275"/>
    <w:rsid w:val="00D467CA"/>
    <w:rsid w:val="00D4759B"/>
    <w:rsid w:val="00D500A4"/>
    <w:rsid w:val="00D51205"/>
    <w:rsid w:val="00D516FC"/>
    <w:rsid w:val="00D51F2D"/>
    <w:rsid w:val="00D535EE"/>
    <w:rsid w:val="00D54FC4"/>
    <w:rsid w:val="00D57019"/>
    <w:rsid w:val="00D574C1"/>
    <w:rsid w:val="00D57615"/>
    <w:rsid w:val="00D577C9"/>
    <w:rsid w:val="00D606B7"/>
    <w:rsid w:val="00D60DF0"/>
    <w:rsid w:val="00D61A94"/>
    <w:rsid w:val="00D62282"/>
    <w:rsid w:val="00D6356C"/>
    <w:rsid w:val="00D64A32"/>
    <w:rsid w:val="00D6553A"/>
    <w:rsid w:val="00D657CA"/>
    <w:rsid w:val="00D65CEE"/>
    <w:rsid w:val="00D73338"/>
    <w:rsid w:val="00D775F3"/>
    <w:rsid w:val="00D77868"/>
    <w:rsid w:val="00D77F25"/>
    <w:rsid w:val="00D809B4"/>
    <w:rsid w:val="00D84C2A"/>
    <w:rsid w:val="00D9064B"/>
    <w:rsid w:val="00D95D17"/>
    <w:rsid w:val="00D978C6"/>
    <w:rsid w:val="00DA03F6"/>
    <w:rsid w:val="00DA134A"/>
    <w:rsid w:val="00DA1A2E"/>
    <w:rsid w:val="00DA3413"/>
    <w:rsid w:val="00DA426E"/>
    <w:rsid w:val="00DA4339"/>
    <w:rsid w:val="00DA462C"/>
    <w:rsid w:val="00DA4B1B"/>
    <w:rsid w:val="00DA4EFC"/>
    <w:rsid w:val="00DA648D"/>
    <w:rsid w:val="00DA6A7B"/>
    <w:rsid w:val="00DA726D"/>
    <w:rsid w:val="00DB1B8D"/>
    <w:rsid w:val="00DB2693"/>
    <w:rsid w:val="00DB377C"/>
    <w:rsid w:val="00DB3DEA"/>
    <w:rsid w:val="00DB40BD"/>
    <w:rsid w:val="00DB4B8E"/>
    <w:rsid w:val="00DB4F4B"/>
    <w:rsid w:val="00DC070F"/>
    <w:rsid w:val="00DC3462"/>
    <w:rsid w:val="00DC3858"/>
    <w:rsid w:val="00DC3A57"/>
    <w:rsid w:val="00DC7A95"/>
    <w:rsid w:val="00DD1DAF"/>
    <w:rsid w:val="00DD55C2"/>
    <w:rsid w:val="00DD759E"/>
    <w:rsid w:val="00DE314E"/>
    <w:rsid w:val="00DE4CFB"/>
    <w:rsid w:val="00DF045B"/>
    <w:rsid w:val="00DF0F58"/>
    <w:rsid w:val="00DF1ED8"/>
    <w:rsid w:val="00DF3785"/>
    <w:rsid w:val="00DF3D27"/>
    <w:rsid w:val="00DF6074"/>
    <w:rsid w:val="00E02239"/>
    <w:rsid w:val="00E047EC"/>
    <w:rsid w:val="00E07D42"/>
    <w:rsid w:val="00E163E9"/>
    <w:rsid w:val="00E240F5"/>
    <w:rsid w:val="00E30004"/>
    <w:rsid w:val="00E31A5B"/>
    <w:rsid w:val="00E333AC"/>
    <w:rsid w:val="00E3456B"/>
    <w:rsid w:val="00E35C16"/>
    <w:rsid w:val="00E36085"/>
    <w:rsid w:val="00E36813"/>
    <w:rsid w:val="00E42382"/>
    <w:rsid w:val="00E603DF"/>
    <w:rsid w:val="00E63745"/>
    <w:rsid w:val="00E66134"/>
    <w:rsid w:val="00E6699F"/>
    <w:rsid w:val="00E67845"/>
    <w:rsid w:val="00E67B40"/>
    <w:rsid w:val="00E703AE"/>
    <w:rsid w:val="00E72373"/>
    <w:rsid w:val="00E72C92"/>
    <w:rsid w:val="00E74A40"/>
    <w:rsid w:val="00E76AF9"/>
    <w:rsid w:val="00E84EF0"/>
    <w:rsid w:val="00E8649C"/>
    <w:rsid w:val="00E87886"/>
    <w:rsid w:val="00E87CDE"/>
    <w:rsid w:val="00E91330"/>
    <w:rsid w:val="00E91FC1"/>
    <w:rsid w:val="00E92D54"/>
    <w:rsid w:val="00E9323C"/>
    <w:rsid w:val="00E95FD8"/>
    <w:rsid w:val="00EA0283"/>
    <w:rsid w:val="00EA357E"/>
    <w:rsid w:val="00EA5DE1"/>
    <w:rsid w:val="00EB0C86"/>
    <w:rsid w:val="00EB0E16"/>
    <w:rsid w:val="00EB1A57"/>
    <w:rsid w:val="00EB236F"/>
    <w:rsid w:val="00EB237E"/>
    <w:rsid w:val="00EC1546"/>
    <w:rsid w:val="00EC15D5"/>
    <w:rsid w:val="00EC384A"/>
    <w:rsid w:val="00EC4D18"/>
    <w:rsid w:val="00EC5B23"/>
    <w:rsid w:val="00EC5DED"/>
    <w:rsid w:val="00EC6BD8"/>
    <w:rsid w:val="00ED0356"/>
    <w:rsid w:val="00ED0D71"/>
    <w:rsid w:val="00ED3DCD"/>
    <w:rsid w:val="00ED3DD5"/>
    <w:rsid w:val="00ED4FDB"/>
    <w:rsid w:val="00ED56BE"/>
    <w:rsid w:val="00ED74D7"/>
    <w:rsid w:val="00EE095F"/>
    <w:rsid w:val="00EE0DA8"/>
    <w:rsid w:val="00EE40F8"/>
    <w:rsid w:val="00EE6DD6"/>
    <w:rsid w:val="00EF0867"/>
    <w:rsid w:val="00EF1A10"/>
    <w:rsid w:val="00EF1A9F"/>
    <w:rsid w:val="00EF1B27"/>
    <w:rsid w:val="00EF4370"/>
    <w:rsid w:val="00EF5AD7"/>
    <w:rsid w:val="00F03FA7"/>
    <w:rsid w:val="00F048EF"/>
    <w:rsid w:val="00F06AAD"/>
    <w:rsid w:val="00F146BE"/>
    <w:rsid w:val="00F22013"/>
    <w:rsid w:val="00F22356"/>
    <w:rsid w:val="00F226E0"/>
    <w:rsid w:val="00F2522F"/>
    <w:rsid w:val="00F25B7F"/>
    <w:rsid w:val="00F30180"/>
    <w:rsid w:val="00F31A29"/>
    <w:rsid w:val="00F3279A"/>
    <w:rsid w:val="00F37236"/>
    <w:rsid w:val="00F44634"/>
    <w:rsid w:val="00F45473"/>
    <w:rsid w:val="00F46389"/>
    <w:rsid w:val="00F505EC"/>
    <w:rsid w:val="00F5088F"/>
    <w:rsid w:val="00F51657"/>
    <w:rsid w:val="00F5223C"/>
    <w:rsid w:val="00F55F69"/>
    <w:rsid w:val="00F57787"/>
    <w:rsid w:val="00F61E82"/>
    <w:rsid w:val="00F6243A"/>
    <w:rsid w:val="00F63323"/>
    <w:rsid w:val="00F636FE"/>
    <w:rsid w:val="00F648B2"/>
    <w:rsid w:val="00F67EBD"/>
    <w:rsid w:val="00F70EA4"/>
    <w:rsid w:val="00F77851"/>
    <w:rsid w:val="00F80FAB"/>
    <w:rsid w:val="00F81AAC"/>
    <w:rsid w:val="00F81E3B"/>
    <w:rsid w:val="00F827E1"/>
    <w:rsid w:val="00F856DA"/>
    <w:rsid w:val="00F879B3"/>
    <w:rsid w:val="00F927B5"/>
    <w:rsid w:val="00F94BD0"/>
    <w:rsid w:val="00F95403"/>
    <w:rsid w:val="00F954EE"/>
    <w:rsid w:val="00F96705"/>
    <w:rsid w:val="00F96750"/>
    <w:rsid w:val="00F9704D"/>
    <w:rsid w:val="00FA0166"/>
    <w:rsid w:val="00FA2400"/>
    <w:rsid w:val="00FA33E9"/>
    <w:rsid w:val="00FA55C8"/>
    <w:rsid w:val="00FA64BE"/>
    <w:rsid w:val="00FA74C6"/>
    <w:rsid w:val="00FB24ED"/>
    <w:rsid w:val="00FB29AF"/>
    <w:rsid w:val="00FB313D"/>
    <w:rsid w:val="00FB4003"/>
    <w:rsid w:val="00FB4EBA"/>
    <w:rsid w:val="00FB7086"/>
    <w:rsid w:val="00FC1B94"/>
    <w:rsid w:val="00FC3B26"/>
    <w:rsid w:val="00FC6384"/>
    <w:rsid w:val="00FC6733"/>
    <w:rsid w:val="00FD224E"/>
    <w:rsid w:val="00FD2677"/>
    <w:rsid w:val="00FD28B8"/>
    <w:rsid w:val="00FD4D00"/>
    <w:rsid w:val="00FE0BD8"/>
    <w:rsid w:val="00FE1709"/>
    <w:rsid w:val="00FE1FC9"/>
    <w:rsid w:val="00FF32DE"/>
    <w:rsid w:val="00FF4205"/>
    <w:rsid w:val="00FF5858"/>
    <w:rsid w:val="00FF6930"/>
    <w:rsid w:val="36725D5C"/>
    <w:rsid w:val="3CFE2AD9"/>
    <w:rsid w:val="3EC79034"/>
    <w:rsid w:val="4119874D"/>
    <w:rsid w:val="42EC885E"/>
    <w:rsid w:val="440F045F"/>
    <w:rsid w:val="563EF20D"/>
    <w:rsid w:val="6233BE84"/>
    <w:rsid w:val="77E82626"/>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B6E44"/>
  <w15:docId w15:val="{9C04BF69-CA55-48B5-A60C-B108C2F75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5D5"/>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Heading3">
    <w:name w:val="heading 3"/>
    <w:basedOn w:val="Normal"/>
    <w:next w:val="Normal"/>
    <w:link w:val="Heading3Char"/>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Heading4">
    <w:name w:val="heading 4"/>
    <w:basedOn w:val="Normal"/>
    <w:next w:val="Normal"/>
    <w:link w:val="Heading4Char"/>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Heading6">
    <w:name w:val="heading 6"/>
    <w:basedOn w:val="Normal"/>
    <w:next w:val="Normal"/>
    <w:link w:val="Heading6Char"/>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rsid w:val="00020300"/>
    <w:rPr>
      <w:rFonts w:asciiTheme="majorHAnsi" w:eastAsiaTheme="majorEastAsia" w:hAnsiTheme="majorHAnsi" w:cstheme="majorBidi"/>
      <w:sz w:val="24"/>
      <w:szCs w:val="22"/>
      <w:lang w:val="en-GB" w:eastAsia="en-GB"/>
    </w:rPr>
  </w:style>
  <w:style w:type="character" w:customStyle="1" w:styleId="Heading3Char">
    <w:name w:val="Heading 3 Char"/>
    <w:basedOn w:val="DefaultParagraphFont"/>
    <w:link w:val="Heading3"/>
    <w:rsid w:val="00020300"/>
    <w:rPr>
      <w:rFonts w:asciiTheme="majorHAnsi" w:eastAsiaTheme="majorEastAsia" w:hAnsiTheme="majorHAnsi" w:cstheme="majorBidi"/>
      <w:sz w:val="24"/>
      <w:szCs w:val="24"/>
      <w:lang w:val="en-GB" w:eastAsia="en-GB"/>
    </w:rPr>
  </w:style>
  <w:style w:type="character" w:customStyle="1" w:styleId="Heading1Char">
    <w:name w:val="Heading 1 Char"/>
    <w:basedOn w:val="DefaultParagraphFont"/>
    <w:link w:val="Heading1"/>
    <w:rsid w:val="00FE0BD8"/>
    <w:rPr>
      <w:rFonts w:asciiTheme="majorHAnsi" w:eastAsiaTheme="majorEastAsia" w:hAnsiTheme="majorHAnsi" w:cstheme="majorBidi"/>
      <w:b/>
      <w:sz w:val="32"/>
      <w:szCs w:val="32"/>
      <w:lang w:val="en-GB" w:eastAsia="en-GB"/>
    </w:rPr>
  </w:style>
  <w:style w:type="character" w:customStyle="1" w:styleId="Heading2Char">
    <w:name w:val="Heading 2 Char"/>
    <w:basedOn w:val="DefaultParagraphFont"/>
    <w:link w:val="Heading2"/>
    <w:rsid w:val="003C167E"/>
    <w:rPr>
      <w:rFonts w:asciiTheme="majorHAnsi" w:eastAsiaTheme="majorEastAsia" w:hAnsiTheme="majorHAnsi" w:cstheme="majorBidi"/>
      <w:b/>
      <w:sz w:val="28"/>
      <w:szCs w:val="28"/>
      <w:lang w:val="en-GB" w:eastAsia="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autoRedefine/>
    <w:rsid w:val="002574D1"/>
    <w:pPr>
      <w:numPr>
        <w:numId w:val="2"/>
      </w:numPr>
    </w:pPr>
    <w:rPr>
      <w:b/>
      <w:sz w:val="28"/>
    </w:rPr>
  </w:style>
  <w:style w:type="character" w:customStyle="1" w:styleId="Title1Char">
    <w:name w:val="Title 1 Char"/>
    <w:basedOn w:val="DefaultParagraphFont"/>
    <w:link w:val="Title1"/>
    <w:rsid w:val="003C4EB5"/>
    <w:rPr>
      <w:rFonts w:eastAsiaTheme="majorEastAsia" w:cstheme="minorHAnsi"/>
      <w:b/>
      <w:sz w:val="28"/>
      <w:szCs w:val="22"/>
      <w:lang w:val="en-GB" w:eastAsia="en-GB"/>
    </w:rPr>
  </w:style>
  <w:style w:type="paragraph" w:styleId="ListParagraph">
    <w:name w:val="List Paragraph"/>
    <w:aliases w:val="Paragraphe EI,Paragraphe de liste1,EC,Paragraphe de liste,Normal Nivel 1,List Paragraph Main,List first level,List Paragraph_Sections"/>
    <w:basedOn w:val="Normal"/>
    <w:link w:val="ListParagraphChar"/>
    <w:autoRedefine/>
    <w:uiPriority w:val="34"/>
    <w:qFormat/>
    <w:rsid w:val="00695AF2"/>
    <w:pPr>
      <w:numPr>
        <w:numId w:val="8"/>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ListParagraph"/>
    <w:link w:val="Title3Char"/>
    <w:autoRedefine/>
    <w:rsid w:val="002574D1"/>
    <w:pPr>
      <w:numPr>
        <w:ilvl w:val="3"/>
        <w:numId w:val="2"/>
      </w:numPr>
    </w:pPr>
  </w:style>
  <w:style w:type="character" w:customStyle="1" w:styleId="Title3Char">
    <w:name w:val="Title 3 Char"/>
    <w:basedOn w:val="DefaultParagraphFont"/>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DefaultParagraphFon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b/>
      <w:sz w:val="28"/>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sz w:val="24"/>
      <w:szCs w:val="22"/>
      <w:lang w:val="en-GB" w:eastAsia="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rsid w:val="00AA054E"/>
    <w:rPr>
      <w:rFonts w:asciiTheme="majorHAnsi" w:eastAsiaTheme="majorEastAsia" w:hAnsiTheme="majorHAnsi" w:cstheme="majorBidi"/>
      <w:i/>
      <w:iCs/>
      <w:color w:val="44546A" w:themeColor="text2"/>
      <w:sz w:val="21"/>
      <w:szCs w:val="21"/>
      <w:lang w:val="en-GB" w:eastAsia="en-GB"/>
    </w:rPr>
  </w:style>
  <w:style w:type="paragraph" w:styleId="Title">
    <w:name w:val="Title"/>
    <w:basedOn w:val="Normal"/>
    <w:next w:val="Normal"/>
    <w:link w:val="TitleChar"/>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leChar">
    <w:name w:val="Title Char"/>
    <w:basedOn w:val="DefaultParagraphFont"/>
    <w:link w:val="Title"/>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Subtitle">
    <w:name w:val="Subtitle"/>
    <w:basedOn w:val="Normal"/>
    <w:next w:val="Normal"/>
    <w:link w:val="SubtitleChar"/>
    <w:uiPriority w:val="11"/>
    <w:qFormat/>
    <w:rsid w:val="00366D42"/>
    <w:pPr>
      <w:numPr>
        <w:ilvl w:val="1"/>
      </w:numPr>
    </w:pPr>
    <w:rPr>
      <w:rFonts w:asciiTheme="majorHAnsi" w:eastAsiaTheme="majorEastAsia" w:hAnsiTheme="majorHAnsi" w:cstheme="majorBidi"/>
      <w:b/>
      <w:sz w:val="28"/>
    </w:rPr>
  </w:style>
  <w:style w:type="character" w:customStyle="1" w:styleId="SubtitleChar">
    <w:name w:val="Subtitle Char"/>
    <w:basedOn w:val="DefaultParagraphFont"/>
    <w:link w:val="Subtitle"/>
    <w:uiPriority w:val="11"/>
    <w:rsid w:val="00366D42"/>
    <w:rPr>
      <w:rFonts w:asciiTheme="majorHAnsi" w:eastAsiaTheme="majorEastAsia" w:hAnsiTheme="majorHAnsi" w:cstheme="majorBidi"/>
      <w:b/>
      <w:sz w:val="28"/>
      <w:szCs w:val="24"/>
      <w:lang w:val="en-GB"/>
    </w:rPr>
  </w:style>
  <w:style w:type="character" w:customStyle="1" w:styleId="Heading7Char">
    <w:name w:val="Heading 7 Char"/>
    <w:basedOn w:val="DefaultParagraphFont"/>
    <w:link w:val="Heading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Heading8Char">
    <w:name w:val="Heading 8 Char"/>
    <w:basedOn w:val="DefaultParagraphFont"/>
    <w:link w:val="Heading8"/>
    <w:rsid w:val="00AA054E"/>
    <w:rPr>
      <w:rFonts w:asciiTheme="majorHAnsi" w:eastAsiaTheme="majorEastAsia" w:hAnsiTheme="majorHAnsi" w:cstheme="majorBidi"/>
      <w:b/>
      <w:bCs/>
      <w:color w:val="44546A" w:themeColor="text2"/>
      <w:sz w:val="24"/>
      <w:szCs w:val="24"/>
      <w:lang w:val="en-GB" w:eastAsia="en-GB"/>
    </w:rPr>
  </w:style>
  <w:style w:type="character" w:customStyle="1" w:styleId="Heading9Char">
    <w:name w:val="Heading 9 Char"/>
    <w:basedOn w:val="DefaultParagraphFont"/>
    <w:link w:val="Heading9"/>
    <w:rsid w:val="00AA054E"/>
    <w:rPr>
      <w:rFonts w:asciiTheme="majorHAnsi" w:eastAsiaTheme="majorEastAsia" w:hAnsiTheme="majorHAnsi" w:cstheme="majorBidi"/>
      <w:b/>
      <w:bCs/>
      <w:i/>
      <w:iCs/>
      <w:color w:val="44546A" w:themeColor="text2"/>
      <w:sz w:val="24"/>
      <w:szCs w:val="24"/>
      <w:lang w:val="en-GB" w:eastAsia="en-GB"/>
    </w:rPr>
  </w:style>
  <w:style w:type="paragraph" w:styleId="Caption">
    <w:name w:val="caption"/>
    <w:basedOn w:val="Normal"/>
    <w:next w:val="Normal"/>
    <w:uiPriority w:val="35"/>
    <w:semiHidden/>
    <w:unhideWhenUsed/>
    <w:qFormat/>
    <w:rsid w:val="00AA054E"/>
    <w:rPr>
      <w:b/>
      <w:bCs/>
      <w:smallCaps/>
      <w:color w:val="595959"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054E"/>
    <w:rPr>
      <w:i/>
      <w:iCs/>
      <w:color w:val="404040" w:themeColor="text1" w:themeTint="BF"/>
    </w:rPr>
  </w:style>
  <w:style w:type="paragraph" w:styleId="IntenseQuote">
    <w:name w:val="Intense Quote"/>
    <w:basedOn w:val="Normal"/>
    <w:next w:val="Normal"/>
    <w:link w:val="IntenseQuoteCh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5B9BD5" w:themeColor="accent1"/>
      <w:sz w:val="28"/>
      <w:szCs w:val="28"/>
    </w:rPr>
  </w:style>
  <w:style w:type="character" w:styleId="SubtleEmphasis">
    <w:name w:val="Subtle Emphasis"/>
    <w:aliases w:val="Text,Emphase pâle,Diskret betoning"/>
    <w:basedOn w:val="DefaultParagraphFont"/>
    <w:uiPriority w:val="19"/>
    <w:qFormat/>
    <w:rsid w:val="00287C8F"/>
    <w:rPr>
      <w:rFonts w:asciiTheme="majorHAnsi" w:hAnsiTheme="majorHAnsi"/>
      <w:i/>
      <w:iCs/>
      <w:color w:val="auto"/>
      <w:sz w:val="22"/>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AA054E"/>
    <w:p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qFormat/>
    <w:rsid w:val="007E7997"/>
    <w:pPr>
      <w:tabs>
        <w:tab w:val="center" w:pos="4536"/>
        <w:tab w:val="right" w:pos="9072"/>
      </w:tabs>
    </w:pPr>
  </w:style>
  <w:style w:type="character" w:customStyle="1" w:styleId="HeaderChar">
    <w:name w:val="Header Char"/>
    <w:basedOn w:val="DefaultParagraphFont"/>
    <w:link w:val="Header"/>
    <w:rsid w:val="007E7997"/>
    <w:rPr>
      <w:sz w:val="22"/>
    </w:rPr>
  </w:style>
  <w:style w:type="paragraph" w:styleId="Footer">
    <w:name w:val="footer"/>
    <w:basedOn w:val="Normal"/>
    <w:link w:val="FooterChar"/>
    <w:uiPriority w:val="99"/>
    <w:unhideWhenUsed/>
    <w:rsid w:val="007E7997"/>
    <w:pPr>
      <w:tabs>
        <w:tab w:val="center" w:pos="4536"/>
        <w:tab w:val="right" w:pos="9072"/>
      </w:tabs>
    </w:pPr>
  </w:style>
  <w:style w:type="character" w:customStyle="1" w:styleId="FooterChar">
    <w:name w:val="Footer Char"/>
    <w:basedOn w:val="DefaultParagraphFont"/>
    <w:link w:val="Footer"/>
    <w:uiPriority w:val="99"/>
    <w:rsid w:val="007E7997"/>
    <w:rPr>
      <w:sz w:val="22"/>
    </w:rPr>
  </w:style>
  <w:style w:type="paragraph" w:customStyle="1" w:styleId="00aPagenumber">
    <w:name w:val="00a_Page number"/>
    <w:basedOn w:val="Normal"/>
    <w:rsid w:val="007E7997"/>
    <w:pPr>
      <w:spacing w:line="280" w:lineRule="atLeast"/>
      <w:jc w:val="right"/>
    </w:pPr>
    <w:rPr>
      <w:rFonts w:ascii="Georgia" w:hAnsi="Georgia"/>
      <w:color w:val="000000"/>
      <w:lang w:eastAsia="de-DE"/>
    </w:rPr>
  </w:style>
  <w:style w:type="paragraph" w:customStyle="1" w:styleId="02Date">
    <w:name w:val="02_Date"/>
    <w:basedOn w:val="Normal"/>
    <w:rsid w:val="00636E02"/>
    <w:pPr>
      <w:spacing w:line="220" w:lineRule="exact"/>
    </w:pPr>
    <w:rPr>
      <w:rFonts w:ascii="Georgia" w:hAnsi="Georgia"/>
      <w:sz w:val="17"/>
      <w:lang w:eastAsia="de-DE"/>
    </w:rPr>
  </w:style>
  <w:style w:type="paragraph" w:styleId="TOC1">
    <w:name w:val="toc 1"/>
    <w:basedOn w:val="Normal"/>
    <w:next w:val="Normal"/>
    <w:autoRedefine/>
    <w:uiPriority w:val="39"/>
    <w:unhideWhenUsed/>
    <w:rsid w:val="00B81A44"/>
    <w:pPr>
      <w:tabs>
        <w:tab w:val="left" w:pos="440"/>
        <w:tab w:val="right" w:leader="dot" w:pos="9062"/>
      </w:tabs>
      <w:spacing w:after="100"/>
    </w:pPr>
  </w:style>
  <w:style w:type="paragraph" w:styleId="TOC2">
    <w:name w:val="toc 2"/>
    <w:basedOn w:val="Normal"/>
    <w:next w:val="Normal"/>
    <w:autoRedefine/>
    <w:uiPriority w:val="39"/>
    <w:unhideWhenUsed/>
    <w:rsid w:val="00BC422A"/>
    <w:pPr>
      <w:spacing w:after="100"/>
      <w:ind w:left="220"/>
    </w:pPr>
  </w:style>
  <w:style w:type="paragraph" w:styleId="TOC3">
    <w:name w:val="toc 3"/>
    <w:basedOn w:val="Normal"/>
    <w:next w:val="Normal"/>
    <w:autoRedefine/>
    <w:uiPriority w:val="39"/>
    <w:unhideWhenUsed/>
    <w:rsid w:val="00BC422A"/>
    <w:pPr>
      <w:spacing w:after="100"/>
      <w:ind w:left="440"/>
    </w:pPr>
  </w:style>
  <w:style w:type="character" w:styleId="Hyperlink">
    <w:name w:val="Hyperlink"/>
    <w:basedOn w:val="DefaultParagraphFont"/>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871163"/>
    <w:pPr>
      <w:numPr>
        <w:numId w:val="9"/>
      </w:numPr>
      <w:spacing w:after="250" w:line="276" w:lineRule="auto"/>
      <w:contextualSpacing/>
      <w:jc w:val="both"/>
    </w:pPr>
    <w:rPr>
      <w:rFonts w:asciiTheme="minorHAnsi" w:hAnsiTheme="minorHAnsi" w:cstheme="minorHAnsi"/>
      <w:b/>
      <w:bCs/>
      <w:sz w:val="22"/>
      <w:szCs w:val="22"/>
    </w:rPr>
  </w:style>
  <w:style w:type="character" w:customStyle="1" w:styleId="QuestionstyleChar">
    <w:name w:val="Question style Char"/>
    <w:basedOn w:val="DefaultParagraphFont"/>
    <w:link w:val="Questionstyle"/>
    <w:rsid w:val="00871163"/>
    <w:rPr>
      <w:rFonts w:eastAsia="Times New Roman" w:cstheme="minorHAnsi"/>
      <w:b/>
      <w:bCs/>
      <w:sz w:val="22"/>
      <w:szCs w:val="22"/>
      <w:lang w:val="en-GB" w:eastAsia="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semiHidden/>
    <w:unhideWhenUsed/>
    <w:qFormat/>
    <w:rsid w:val="006F53E8"/>
    <w:rPr>
      <w:sz w:val="16"/>
    </w:rPr>
  </w:style>
  <w:style w:type="character" w:customStyle="1" w:styleId="FootnoteTextChar">
    <w:name w:val="Footnote Text Char"/>
    <w:basedOn w:val="DefaultParagraphFont"/>
    <w:link w:val="FootnoteText"/>
    <w:uiPriority w:val="99"/>
    <w:semiHidden/>
    <w:rsid w:val="006F53E8"/>
    <w:rPr>
      <w:sz w:val="16"/>
      <w:lang w:val="en-GB"/>
    </w:rPr>
  </w:style>
  <w:style w:type="character" w:styleId="FootnoteReference">
    <w:name w:val="footnote reference"/>
    <w:aliases w:val="SUPERS,Footnote reference number,Footnote symbol,note TESI,-E Fußnotenzeichen,number,BVI fnr,Footnote Reference Superscript,(Footnote Reference),EN Footnote Reference,Voetnootverwijzing,Times 10 Point,Exposant 3 Poi,16 Point, BVI fnr"/>
    <w:basedOn w:val="DefaultParagraphFont"/>
    <w:uiPriority w:val="99"/>
    <w:unhideWhenUsed/>
    <w:qFormat/>
    <w:rsid w:val="00A91D91"/>
    <w:rPr>
      <w:rFonts w:asciiTheme="majorHAnsi" w:hAnsiTheme="majorHAnsi"/>
      <w:sz w:val="16"/>
      <w:vertAlign w:val="superscript"/>
    </w:rPr>
  </w:style>
  <w:style w:type="paragraph" w:customStyle="1" w:styleId="Footnote">
    <w:name w:val="Footnote"/>
    <w:basedOn w:val="FootnoteText"/>
    <w:link w:val="FootnoteChar"/>
    <w:rsid w:val="00B50534"/>
    <w:rPr>
      <w:lang w:val="nl-BE"/>
    </w:rPr>
  </w:style>
  <w:style w:type="character" w:customStyle="1" w:styleId="FootnoteChar">
    <w:name w:val="Footnote Char"/>
    <w:basedOn w:val="FootnoteTextChar"/>
    <w:link w:val="Footnote"/>
    <w:rsid w:val="00B50534"/>
    <w:rPr>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
    <w:rsid w:val="00287C8F"/>
    <w:pPr>
      <w:numPr>
        <w:numId w:val="5"/>
      </w:numPr>
      <w:tabs>
        <w:tab w:val="clear" w:pos="284"/>
        <w:tab w:val="num" w:pos="567"/>
      </w:tabs>
      <w:ind w:left="567" w:hanging="454"/>
    </w:pPr>
    <w:rPr>
      <w:rFonts w:ascii="Georgia" w:hAnsi="Georgia"/>
      <w:sz w:val="20"/>
      <w:lang w:eastAsia="de-DE"/>
    </w:rPr>
  </w:style>
  <w:style w:type="paragraph" w:styleId="BalloonText">
    <w:name w:val="Balloon Text"/>
    <w:basedOn w:val="Normal"/>
    <w:link w:val="BalloonTextChar"/>
    <w:uiPriority w:val="99"/>
    <w:semiHidden/>
    <w:unhideWhenUsed/>
    <w:rsid w:val="003C167E"/>
    <w:rPr>
      <w:rFonts w:ascii="Tahoma" w:hAnsi="Tahoma" w:cs="Tahoma"/>
      <w:sz w:val="16"/>
      <w:szCs w:val="16"/>
    </w:rPr>
  </w:style>
  <w:style w:type="character" w:customStyle="1" w:styleId="BalloonTextChar">
    <w:name w:val="Balloon Text Char"/>
    <w:basedOn w:val="DefaultParagraphFont"/>
    <w:link w:val="BalloonText"/>
    <w:uiPriority w:val="99"/>
    <w:semiHidden/>
    <w:rsid w:val="003C167E"/>
    <w:rPr>
      <w:rFonts w:ascii="Tahoma" w:hAnsi="Tahoma" w:cs="Tahoma"/>
      <w:sz w:val="16"/>
      <w:szCs w:val="16"/>
      <w:lang w:val="en-GB"/>
    </w:rPr>
  </w:style>
  <w:style w:type="character" w:styleId="CommentReference">
    <w:name w:val="annotation reference"/>
    <w:basedOn w:val="DefaultParagraphFont"/>
    <w:uiPriority w:val="99"/>
    <w:semiHidden/>
    <w:unhideWhenUsed/>
    <w:rsid w:val="00FA2400"/>
    <w:rPr>
      <w:sz w:val="16"/>
      <w:szCs w:val="16"/>
    </w:rPr>
  </w:style>
  <w:style w:type="paragraph" w:styleId="CommentText">
    <w:name w:val="annotation text"/>
    <w:basedOn w:val="Normal"/>
    <w:link w:val="CommentTextChar"/>
    <w:uiPriority w:val="99"/>
    <w:unhideWhenUsed/>
    <w:rsid w:val="00FA2400"/>
    <w:rPr>
      <w:sz w:val="20"/>
    </w:rPr>
  </w:style>
  <w:style w:type="character" w:customStyle="1" w:styleId="CommentTextChar">
    <w:name w:val="Comment Text Char"/>
    <w:basedOn w:val="DefaultParagraphFont"/>
    <w:link w:val="CommentText"/>
    <w:uiPriority w:val="99"/>
    <w:rsid w:val="00FA2400"/>
    <w:rPr>
      <w:lang w:val="en-GB"/>
    </w:rPr>
  </w:style>
  <w:style w:type="paragraph" w:styleId="CommentSubject">
    <w:name w:val="annotation subject"/>
    <w:basedOn w:val="CommentText"/>
    <w:next w:val="CommentText"/>
    <w:link w:val="CommentSubjectChar"/>
    <w:uiPriority w:val="99"/>
    <w:semiHidden/>
    <w:unhideWhenUsed/>
    <w:rsid w:val="00FA2400"/>
    <w:rPr>
      <w:b/>
      <w:bCs/>
    </w:rPr>
  </w:style>
  <w:style w:type="character" w:customStyle="1" w:styleId="CommentSubjectChar">
    <w:name w:val="Comment Subject Char"/>
    <w:basedOn w:val="CommentTextChar"/>
    <w:link w:val="CommentSubject"/>
    <w:uiPriority w:val="99"/>
    <w:semiHidden/>
    <w:rsid w:val="00FA2400"/>
    <w:rPr>
      <w:b/>
      <w:bCs/>
      <w:lang w:val="en-GB"/>
    </w:rPr>
  </w:style>
  <w:style w:type="paragraph" w:styleId="Revision">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FollowedHyperlink">
    <w:name w:val="FollowedHyperlink"/>
    <w:basedOn w:val="DefaultParagraphFont"/>
    <w:uiPriority w:val="99"/>
    <w:semiHidden/>
    <w:unhideWhenUsed/>
    <w:rsid w:val="007B354B"/>
    <w:rPr>
      <w:color w:val="954F72" w:themeColor="followedHyperlink"/>
      <w:u w:val="single"/>
    </w:rPr>
  </w:style>
  <w:style w:type="paragraph" w:styleId="NormalWeb">
    <w:name w:val="Normal (Web)"/>
    <w:basedOn w:val="Normal"/>
    <w:uiPriority w:val="99"/>
    <w:semiHidden/>
    <w:unhideWhenUsed/>
    <w:rsid w:val="00B424F5"/>
    <w:pPr>
      <w:spacing w:before="100" w:beforeAutospacing="1" w:after="100" w:afterAutospacing="1"/>
    </w:pPr>
  </w:style>
  <w:style w:type="character" w:customStyle="1" w:styleId="outputecliaff">
    <w:name w:val="outputecliaff"/>
    <w:basedOn w:val="DefaultParagraphFont"/>
    <w:rsid w:val="00595F08"/>
  </w:style>
  <w:style w:type="paragraph" w:customStyle="1" w:styleId="05HeadlinenoIndex">
    <w:name w:val="05_Headline no Index"/>
    <w:basedOn w:val="Normal"/>
    <w:rsid w:val="005C7E1F"/>
    <w:pPr>
      <w:spacing w:after="250" w:line="300" w:lineRule="exact"/>
      <w:jc w:val="both"/>
    </w:pPr>
    <w:rPr>
      <w:rFonts w:ascii="Georgia" w:hAnsi="Georgia"/>
      <w:b/>
      <w:lang w:eastAsia="de-DE"/>
    </w:rPr>
  </w:style>
  <w:style w:type="paragraph" w:customStyle="1" w:styleId="04BodyText">
    <w:name w:val="04_Body Text"/>
    <w:basedOn w:val="Normal"/>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basedOn w:val="DefaultParagraphFont"/>
    <w:link w:val="ListParagraph"/>
    <w:uiPriority w:val="34"/>
    <w:rsid w:val="00695AF2"/>
    <w:rPr>
      <w:rFonts w:eastAsiaTheme="majorEastAsia" w:cstheme="minorHAnsi"/>
      <w:sz w:val="22"/>
      <w:szCs w:val="22"/>
      <w:lang w:val="en-GB" w:eastAsia="en-GB"/>
    </w:rPr>
  </w:style>
  <w:style w:type="table" w:customStyle="1" w:styleId="TableGrid3">
    <w:name w:val="Table Grid3"/>
    <w:basedOn w:val="TableNormal"/>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MAConfidentialRestricted">
    <w:name w:val="ESMA Confidential/Restricted"/>
    <w:basedOn w:val="Strong"/>
    <w:uiPriority w:val="1"/>
    <w:qFormat/>
    <w:rsid w:val="00FA64BE"/>
    <w:rPr>
      <w:b w:val="0"/>
      <w:bCs/>
      <w:caps/>
      <w:smallCaps w:val="0"/>
      <w:color w:val="70AD47" w:themeColor="accent6"/>
      <w:sz w:val="22"/>
    </w:rPr>
  </w:style>
  <w:style w:type="paragraph" w:customStyle="1" w:styleId="Paragraph">
    <w:name w:val="Paragraph"/>
    <w:basedOn w:val="ListParagraph"/>
    <w:link w:val="ParagraphChar"/>
    <w:qFormat/>
    <w:rsid w:val="00CB0C0C"/>
    <w:pPr>
      <w:numPr>
        <w:numId w:val="32"/>
      </w:numPr>
      <w:tabs>
        <w:tab w:val="clear" w:pos="0"/>
        <w:tab w:val="clear" w:pos="142"/>
        <w:tab w:val="clear" w:pos="284"/>
        <w:tab w:val="clear" w:pos="567"/>
      </w:tabs>
      <w:autoSpaceDE/>
      <w:autoSpaceDN/>
      <w:adjustRightInd/>
      <w:spacing w:before="120" w:after="120" w:line="276" w:lineRule="auto"/>
      <w:textAlignment w:val="baseline"/>
    </w:pPr>
    <w:rPr>
      <w:rFonts w:ascii="Arial" w:eastAsiaTheme="minorEastAsia" w:hAnsi="Arial" w:cs="Arial"/>
      <w:color w:val="1A1A1A" w:themeColor="background1" w:themeShade="1A"/>
    </w:rPr>
  </w:style>
  <w:style w:type="character" w:customStyle="1" w:styleId="ParagraphChar">
    <w:name w:val="Paragraph Char"/>
    <w:basedOn w:val="DefaultParagraphFont"/>
    <w:link w:val="Paragraph"/>
    <w:rsid w:val="00CB0C0C"/>
    <w:rPr>
      <w:rFonts w:ascii="Arial" w:hAnsi="Arial" w:cs="Arial"/>
      <w:color w:val="1A1A1A" w:themeColor="background1" w:themeShade="1A"/>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33908436">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37201994">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437221792">
          <w:marLeft w:val="547"/>
          <w:marRight w:val="0"/>
          <w:marTop w:val="120"/>
          <w:marBottom w:val="120"/>
          <w:divBdr>
            <w:top w:val="none" w:sz="0" w:space="0" w:color="auto"/>
            <w:left w:val="none" w:sz="0" w:space="0" w:color="auto"/>
            <w:bottom w:val="none" w:sz="0" w:space="0" w:color="auto"/>
            <w:right w:val="none" w:sz="0" w:space="0" w:color="auto"/>
          </w:divBdr>
        </w:div>
        <w:div w:id="627320154">
          <w:marLeft w:val="547"/>
          <w:marRight w:val="0"/>
          <w:marTop w:val="120"/>
          <w:marBottom w:val="120"/>
          <w:divBdr>
            <w:top w:val="none" w:sz="0" w:space="0" w:color="auto"/>
            <w:left w:val="none" w:sz="0" w:space="0" w:color="auto"/>
            <w:bottom w:val="none" w:sz="0" w:space="0" w:color="auto"/>
            <w:right w:val="none" w:sz="0" w:space="0" w:color="auto"/>
          </w:divBdr>
        </w:div>
      </w:divsChild>
    </w:div>
    <w:div w:id="743265188">
      <w:bodyDiv w:val="1"/>
      <w:marLeft w:val="0"/>
      <w:marRight w:val="0"/>
      <w:marTop w:val="0"/>
      <w:marBottom w:val="0"/>
      <w:divBdr>
        <w:top w:val="none" w:sz="0" w:space="0" w:color="auto"/>
        <w:left w:val="none" w:sz="0" w:space="0" w:color="auto"/>
        <w:bottom w:val="none" w:sz="0" w:space="0" w:color="auto"/>
        <w:right w:val="none" w:sz="0" w:space="0" w:color="auto"/>
      </w:divBdr>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093010987">
          <w:marLeft w:val="547"/>
          <w:marRight w:val="0"/>
          <w:marTop w:val="120"/>
          <w:marBottom w:val="120"/>
          <w:divBdr>
            <w:top w:val="none" w:sz="0" w:space="0" w:color="auto"/>
            <w:left w:val="none" w:sz="0" w:space="0" w:color="auto"/>
            <w:bottom w:val="none" w:sz="0" w:space="0" w:color="auto"/>
            <w:right w:val="none" w:sz="0" w:space="0" w:color="auto"/>
          </w:divBdr>
        </w:div>
        <w:div w:id="1467972504">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2432951">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713226">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51534017">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872621579">
      <w:bodyDiv w:val="1"/>
      <w:marLeft w:val="0"/>
      <w:marRight w:val="0"/>
      <w:marTop w:val="0"/>
      <w:marBottom w:val="0"/>
      <w:divBdr>
        <w:top w:val="none" w:sz="0" w:space="0" w:color="auto"/>
        <w:left w:val="none" w:sz="0" w:space="0" w:color="auto"/>
        <w:bottom w:val="none" w:sz="0" w:space="0" w:color="auto"/>
        <w:right w:val="none" w:sz="0" w:space="0" w:color="auto"/>
      </w:divBdr>
    </w:div>
    <w:div w:id="962080478">
      <w:bodyDiv w:val="1"/>
      <w:marLeft w:val="0"/>
      <w:marRight w:val="0"/>
      <w:marTop w:val="0"/>
      <w:marBottom w:val="0"/>
      <w:divBdr>
        <w:top w:val="none" w:sz="0" w:space="0" w:color="auto"/>
        <w:left w:val="none" w:sz="0" w:space="0" w:color="auto"/>
        <w:bottom w:val="none" w:sz="0" w:space="0" w:color="auto"/>
        <w:right w:val="none" w:sz="0" w:space="0" w:color="auto"/>
      </w:divBdr>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554805026">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8912395">
      <w:bodyDiv w:val="1"/>
      <w:marLeft w:val="0"/>
      <w:marRight w:val="0"/>
      <w:marTop w:val="0"/>
      <w:marBottom w:val="0"/>
      <w:divBdr>
        <w:top w:val="none" w:sz="0" w:space="0" w:color="auto"/>
        <w:left w:val="none" w:sz="0" w:space="0" w:color="auto"/>
        <w:bottom w:val="none" w:sz="0" w:space="0" w:color="auto"/>
        <w:right w:val="none" w:sz="0" w:space="0" w:color="auto"/>
      </w:divBdr>
    </w:div>
    <w:div w:id="1425295946">
      <w:bodyDiv w:val="1"/>
      <w:marLeft w:val="0"/>
      <w:marRight w:val="0"/>
      <w:marTop w:val="0"/>
      <w:marBottom w:val="0"/>
      <w:divBdr>
        <w:top w:val="none" w:sz="0" w:space="0" w:color="auto"/>
        <w:left w:val="none" w:sz="0" w:space="0" w:color="auto"/>
        <w:bottom w:val="none" w:sz="0" w:space="0" w:color="auto"/>
        <w:right w:val="none" w:sz="0" w:space="0" w:color="auto"/>
      </w:divBdr>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334718046">
          <w:marLeft w:val="547"/>
          <w:marRight w:val="0"/>
          <w:marTop w:val="120"/>
          <w:marBottom w:val="120"/>
          <w:divBdr>
            <w:top w:val="none" w:sz="0" w:space="0" w:color="auto"/>
            <w:left w:val="none" w:sz="0" w:space="0" w:color="auto"/>
            <w:bottom w:val="none" w:sz="0" w:space="0" w:color="auto"/>
            <w:right w:val="none" w:sz="0" w:space="0" w:color="auto"/>
          </w:divBdr>
        </w:div>
        <w:div w:id="1910724800">
          <w:marLeft w:val="547"/>
          <w:marRight w:val="0"/>
          <w:marTop w:val="120"/>
          <w:marBottom w:val="120"/>
          <w:divBdr>
            <w:top w:val="none" w:sz="0" w:space="0" w:color="auto"/>
            <w:left w:val="none" w:sz="0" w:space="0" w:color="auto"/>
            <w:bottom w:val="none" w:sz="0" w:space="0" w:color="auto"/>
            <w:right w:val="none" w:sz="0" w:space="0" w:color="auto"/>
          </w:divBdr>
        </w:div>
      </w:divsChild>
    </w:div>
    <w:div w:id="1503087984">
      <w:bodyDiv w:val="1"/>
      <w:marLeft w:val="0"/>
      <w:marRight w:val="0"/>
      <w:marTop w:val="0"/>
      <w:marBottom w:val="0"/>
      <w:divBdr>
        <w:top w:val="none" w:sz="0" w:space="0" w:color="auto"/>
        <w:left w:val="none" w:sz="0" w:space="0" w:color="auto"/>
        <w:bottom w:val="none" w:sz="0" w:space="0" w:color="auto"/>
        <w:right w:val="none" w:sz="0" w:space="0" w:color="auto"/>
      </w:divBdr>
    </w:div>
    <w:div w:id="1525359563">
      <w:bodyDiv w:val="1"/>
      <w:marLeft w:val="0"/>
      <w:marRight w:val="0"/>
      <w:marTop w:val="0"/>
      <w:marBottom w:val="0"/>
      <w:divBdr>
        <w:top w:val="none" w:sz="0" w:space="0" w:color="auto"/>
        <w:left w:val="none" w:sz="0" w:space="0" w:color="auto"/>
        <w:bottom w:val="none" w:sz="0" w:space="0" w:color="auto"/>
        <w:right w:val="none" w:sz="0" w:space="0" w:color="auto"/>
      </w:divBdr>
    </w:div>
    <w:div w:id="1535144967">
      <w:bodyDiv w:val="1"/>
      <w:marLeft w:val="0"/>
      <w:marRight w:val="0"/>
      <w:marTop w:val="0"/>
      <w:marBottom w:val="0"/>
      <w:divBdr>
        <w:top w:val="none" w:sz="0" w:space="0" w:color="auto"/>
        <w:left w:val="none" w:sz="0" w:space="0" w:color="auto"/>
        <w:bottom w:val="none" w:sz="0" w:space="0" w:color="auto"/>
        <w:right w:val="none" w:sz="0" w:space="0" w:color="auto"/>
      </w:divBdr>
    </w:div>
    <w:div w:id="1597983348">
      <w:bodyDiv w:val="1"/>
      <w:marLeft w:val="0"/>
      <w:marRight w:val="0"/>
      <w:marTop w:val="0"/>
      <w:marBottom w:val="0"/>
      <w:divBdr>
        <w:top w:val="none" w:sz="0" w:space="0" w:color="auto"/>
        <w:left w:val="none" w:sz="0" w:space="0" w:color="auto"/>
        <w:bottom w:val="none" w:sz="0" w:space="0" w:color="auto"/>
        <w:right w:val="none" w:sz="0" w:space="0" w:color="auto"/>
      </w:divBdr>
    </w:div>
    <w:div w:id="1604996733">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1780953536">
      <w:bodyDiv w:val="1"/>
      <w:marLeft w:val="0"/>
      <w:marRight w:val="0"/>
      <w:marTop w:val="0"/>
      <w:marBottom w:val="0"/>
      <w:divBdr>
        <w:top w:val="none" w:sz="0" w:space="0" w:color="auto"/>
        <w:left w:val="none" w:sz="0" w:space="0" w:color="auto"/>
        <w:bottom w:val="none" w:sz="0" w:space="0" w:color="auto"/>
        <w:right w:val="none" w:sz="0" w:space="0" w:color="auto"/>
      </w:divBdr>
    </w:div>
    <w:div w:id="1818372730">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384447457">
          <w:marLeft w:val="126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322007622">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image" Target="media/image2.jp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esma.europa.eu/legal-notic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sherpa.esma.europa.eu/sites/MKT/SMK/_layouts/15/DocIdRedir.aspx?ID=ESMA70-156-1484"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d0fb0f98-34f9-4d57-9559-eb8efd17aa5e">
      <Value>6</Value>
      <Value>509</Value>
      <Value>508</Value>
      <Value>20</Value>
    </TaxCatchAll>
    <eed0a0b2ea6941718a34434e243f3d8f xmlns="d0fb0f98-34f9-4d57-9559-eb8efd17aa5e">
      <Terms xmlns="http://schemas.microsoft.com/office/infopath/2007/PartnerControls">
        <TermInfo xmlns="http://schemas.microsoft.com/office/infopath/2007/PartnerControls">
          <TermName xmlns="http://schemas.microsoft.com/office/infopath/2007/PartnerControls">Report</TermName>
          <TermId xmlns="http://schemas.microsoft.com/office/infopath/2007/PartnerControls">78753201-1e9e-4a21-a088-6ff602b5c999</TermId>
        </TermInfo>
      </Terms>
    </eed0a0b2ea6941718a34434e243f3d8f>
    <n644e5dfaa29486bad4a4fc019c6d2df xmlns="d0fb0f98-34f9-4d57-9559-eb8efd17aa5e">
      <Terms xmlns="http://schemas.microsoft.com/office/infopath/2007/PartnerControls">
        <TermInfo xmlns="http://schemas.microsoft.com/office/infopath/2007/PartnerControls">
          <TermName xmlns="http://schemas.microsoft.com/office/infopath/2007/PartnerControls">Qualification of crypto-assets - ESMA Guidelines on classification</TermName>
          <TermId xmlns="http://schemas.microsoft.com/office/infopath/2007/PartnerControls">4332d316-c095-4f91-9af2-56426177b6b7</TermId>
        </TermInfo>
      </Terms>
    </n644e5dfaa29486bad4a4fc019c6d2df>
    <j69a081f486747f6ac8a5aeed63facfd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MeetingDate xmlns="d0fb0f98-34f9-4d57-9559-eb8efd17aa5e" xsi:nil="true"/>
    <Year xmlns="d0fb0f98-34f9-4d57-9559-eb8efd17aa5e">2025</Year>
    <a9b3b1dad23b4ba58c3f3e36a96e1d9c xmlns="d0fb0f98-34f9-4d57-9559-eb8efd17aa5e">
      <Terms xmlns="http://schemas.microsoft.com/office/infopath/2007/PartnerControls"/>
    </a9b3b1dad23b4ba58c3f3e36a96e1d9c>
    <caa5aeb1a6644849b60fbe2335e12657 xmlns="d0fb0f98-34f9-4d57-9559-eb8efd17aa5e">
      <Terms xmlns="http://schemas.microsoft.com/office/infopath/2007/PartnerControls">
        <TermInfo xmlns="http://schemas.microsoft.com/office/infopath/2007/PartnerControls">
          <TermName xmlns="http://schemas.microsoft.com/office/infopath/2007/PartnerControls">European Green Bonds</TermName>
          <TermId xmlns="http://schemas.microsoft.com/office/infopath/2007/PartnerControls">f68cfe7f-8b0c-4445-b5d7-ad808afd8270</TermId>
        </TermInfo>
      </Terms>
    </caa5aeb1a6644849b60fbe2335e12657>
    <_dlc_DocId xmlns="d0fb0f98-34f9-4d57-9559-eb8efd17aa5e">ESMA12-437499640-3046</_dlc_DocId>
    <_dlc_DocIdUrl xmlns="d0fb0f98-34f9-4d57-9559-eb8efd17aa5e">
      <Url>https://securitiesandmarketsauth.sharepoint.com/sites/sherpa-daru/_layouts/15/DocIdRedir.aspx?ID=ESMA12-437499640-3046</Url>
      <Description>ESMA12-437499640-3046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Projects Document" ma:contentTypeID="0x010100503F0D35E53D034B940919FAB1A37C880700C6AD09EDF1492341843D00183F05DEB3" ma:contentTypeVersion="27" ma:contentTypeDescription="" ma:contentTypeScope="" ma:versionID="d34fef912863cac6dfebdfb03ae49ef2">
  <xsd:schema xmlns:xsd="http://www.w3.org/2001/XMLSchema" xmlns:xs="http://www.w3.org/2001/XMLSchema" xmlns:p="http://schemas.microsoft.com/office/2006/metadata/properties" xmlns:ns2="d0fb0f98-34f9-4d57-9559-eb8efd17aa5e" xmlns:ns3="865d8a05-f056-4017-b8dd-1de195fc3e23" targetNamespace="http://schemas.microsoft.com/office/2006/metadata/properties" ma:root="true" ma:fieldsID="7e11c17e85f2e7699576c4f9eb43d193" ns2:_="" ns3:_="">
    <xsd:import namespace="d0fb0f98-34f9-4d57-9559-eb8efd17aa5e"/>
    <xsd:import namespace="865d8a05-f056-4017-b8dd-1de195fc3e23"/>
    <xsd:element name="properties">
      <xsd:complexType>
        <xsd:sequence>
          <xsd:element name="documentManagement">
            <xsd:complexType>
              <xsd:all>
                <xsd:element ref="ns2:Year"/>
                <xsd:element ref="ns2:MeetingDate" minOccurs="0"/>
                <xsd:element ref="ns2:TaxCatchAll" minOccurs="0"/>
                <xsd:element ref="ns2:TaxCatchAllLabel" minOccurs="0"/>
                <xsd:element ref="ns2:eed0a0b2ea6941718a34434e243f3d8f" minOccurs="0"/>
                <xsd:element ref="ns2:j69a081f486747f6ac8a5aeed63facfd" minOccurs="0"/>
                <xsd:element ref="ns2:a9b3b1dad23b4ba58c3f3e36a96e1d9c" minOccurs="0"/>
                <xsd:element ref="ns2:caa5aeb1a6644849b60fbe2335e12657" minOccurs="0"/>
                <xsd:element ref="ns2:n644e5dfaa29486bad4a4fc019c6d2df" minOccurs="0"/>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5" ma:displayName="Year" ma:default="" ma:internalName="Year" ma:readOnly="false">
      <xsd:simpleType>
        <xsd:restriction base="dms:Text">
          <xsd:maxLength value="4"/>
        </xsd:restriction>
      </xsd:simpleType>
    </xsd:element>
    <xsd:element name="MeetingDate" ma:index="7" nillable="true" ma:displayName="Meeting Date" ma:format="DateOnly" ma:internalName="MeetingDate" ma:readOnly="false">
      <xsd:simpleType>
        <xsd:restriction base="dms:DateTime"/>
      </xsd:simpleType>
    </xsd:element>
    <xsd:element name="TaxCatchAll" ma:index="8" nillable="true" ma:displayName="Taxonomy Catch All Column" ma:hidden="true" ma:list="{226adf03-de49-4967-ab93-d74c7d05cbd5}"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226adf03-de49-4967-ab93-d74c7d05cbd5}"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eed0a0b2ea6941718a34434e243f3d8f" ma:index="17" nillable="true" ma:taxonomy="true" ma:internalName="eed0a0b2ea6941718a34434e243f3d8f" ma:taxonomyFieldName="DocumentType" ma:displayName="Document Type" ma:readOnly="false" ma:default="5;#Note|b9e1c92e-303a-4555-86f0-5c711c65937e" ma:fieldId="{eed0a0b2-ea69-4171-8a34-434e243f3d8f}"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18" ma:taxonomy="true" ma:internalName="j69a081f486747f6ac8a5aeed63facfd" ma:taxonomyFieldName="ConfidentialityLevel" ma:displayName="Confidentiality Level" ma:readOnly="false" ma:default="8;#Restricted|187aa7e6-627f-4951-b138-6ff841dc883d" ma:fieldId="{369a081f-4867-47f6-ac8a-5aeed63facfd}"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19" nillable="true" ma:taxonomy="true" ma:internalName="a9b3b1dad23b4ba58c3f3e36a96e1d9c" ma:taxonomyFieldName="EsmaAudience" ma:displayName="Audience" ma:readOnly="false" ma:fieldId="{a9b3b1da-d23b-4ba5-8c3f-3e36a96e1d9c}"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caa5aeb1a6644849b60fbe2335e12657" ma:index="20" nillable="true" ma:taxonomy="true" ma:internalName="caa5aeb1a6644849b60fbe2335e12657" ma:taxonomyFieldName="Topic" ma:displayName="Topic" ma:readOnly="false" ma:fieldId="{caa5aeb1-a664-4849-b60f-be2335e12657}" ma:sspId="d4b01e31-ead0-4f68-a8e9-2aaca35f2e62" ma:termSetId="9a9b884f-1937-4ba8-b5f2-ea2505275fea" ma:anchorId="00000000-0000-0000-0000-000000000000" ma:open="true" ma:isKeyword="false">
      <xsd:complexType>
        <xsd:sequence>
          <xsd:element ref="pc:Terms" minOccurs="0" maxOccurs="1"/>
        </xsd:sequence>
      </xsd:complexType>
    </xsd:element>
    <xsd:element name="n644e5dfaa29486bad4a4fc019c6d2df" ma:index="21" nillable="true" ma:taxonomy="true" ma:internalName="n644e5dfaa29486bad4a4fc019c6d2df" ma:taxonomyFieldName="SubTopic" ma:displayName="Sub Topic" ma:readOnly="false" ma:fieldId="{7644e5df-aa29-486b-ad4a-4fc019c6d2df}" ma:sspId="d4b01e31-ead0-4f68-a8e9-2aaca35f2e62" ma:termSetId="e8ea3c90-637e-4220-bd5c-1240989cf81e"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5d8a05-f056-4017-b8dd-1de195fc3e23"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DateTaken" ma:index="31" nillable="true" ma:displayName="MediaServiceDateTaken" ma:hidden="true" ma:indexed="true" ma:internalName="MediaServiceDateTaken"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LengthInSeconds" ma:index="3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BC0C5A-5A55-4279-A037-D43AA8D96806}">
  <ds:schemaRefs>
    <ds:schemaRef ds:uri="http://schemas.microsoft.com/sharepoint/events"/>
  </ds:schemaRefs>
</ds:datastoreItem>
</file>

<file path=customXml/itemProps2.xml><?xml version="1.0" encoding="utf-8"?>
<ds:datastoreItem xmlns:ds="http://schemas.openxmlformats.org/officeDocument/2006/customXml" ds:itemID="{8337F5EE-E87B-49CE-96B5-F95CE63A0DF2}">
  <ds:schemaRefs>
    <ds:schemaRef ds:uri="http://schemas.openxmlformats.org/package/2006/metadata/core-properties"/>
    <ds:schemaRef ds:uri="http://purl.org/dc/terms/"/>
    <ds:schemaRef ds:uri="d0fb0f98-34f9-4d57-9559-eb8efd17aa5e"/>
    <ds:schemaRef ds:uri="http://purl.org/dc/elements/1.1/"/>
    <ds:schemaRef ds:uri="http://schemas.microsoft.com/office/infopath/2007/PartnerControls"/>
    <ds:schemaRef ds:uri="865d8a05-f056-4017-b8dd-1de195fc3e23"/>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52151C37-7AB0-45DC-A9ED-E58388F1CE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865d8a05-f056-4017-b8dd-1de195fc3e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5.xml><?xml version="1.0" encoding="utf-8"?>
<ds:datastoreItem xmlns:ds="http://schemas.openxmlformats.org/officeDocument/2006/customXml" ds:itemID="{4F80F4C4-F0A0-4061-B9D6-D46D7D39B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Template>
  <TotalTime>1</TotalTime>
  <Pages>14</Pages>
  <Words>3393</Words>
  <Characters>19341</Characters>
  <Application>Microsoft Office Word</Application>
  <DocSecurity>8</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ESMA</Company>
  <LinksUpToDate>false</LinksUpToDate>
  <CharactersWithSpaces>22689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Alina.Dragomir@esma.europa.eu</dc:creator>
  <cp:keywords/>
  <cp:lastModifiedBy>Bertoncello, Nicolò</cp:lastModifiedBy>
  <cp:revision>2</cp:revision>
  <cp:lastPrinted>2017-07-24T14:47:00Z</cp:lastPrinted>
  <dcterms:created xsi:type="dcterms:W3CDTF">2025-09-18T17:10:00Z</dcterms:created>
  <dcterms:modified xsi:type="dcterms:W3CDTF">2025-09-18T17:10:00Z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6;#Regular|07f1e362-856b-423d-bea6-a14079762141</vt:lpwstr>
  </property>
  <property fmtid="{D5CDD505-2E9C-101B-9397-08002B2CF9AE}" pid="4" name="ContentTypeId">
    <vt:lpwstr>0x010100503F0D35E53D034B940919FAB1A37C880700C6AD09EDF1492341843D00183F05DEB3</vt:lpwstr>
  </property>
  <property fmtid="{D5CDD505-2E9C-101B-9397-08002B2CF9AE}" pid="5" name="_dlc_DocIdItemGuid">
    <vt:lpwstr>569bcf0d-12b0-4e1e-b129-58e1e8da7205</vt:lpwstr>
  </property>
  <property fmtid="{D5CDD505-2E9C-101B-9397-08002B2CF9AE}" pid="6" name="DocumentType">
    <vt:lpwstr>20;#Report|78753201-1e9e-4a21-a088-6ff602b5c999</vt:lpwstr>
  </property>
  <property fmtid="{D5CDD505-2E9C-101B-9397-08002B2CF9AE}" pid="7" name="Topic">
    <vt:lpwstr>508;#European Green Bonds|f68cfe7f-8b0c-4445-b5d7-ad808afd8270</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9;#Credit Ratings Agency Unit|ac587c9e-f6a3-4205-8197-96cf16201777</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509;#Qualification of crypto-assets - ESMA Guidelines on classification|4332d316-c095-4f91-9af2-56426177b6b7</vt:lpwstr>
  </property>
  <property fmtid="{D5CDD505-2E9C-101B-9397-08002B2CF9AE}" pid="18" name="TeamTopic">
    <vt:lpwstr>87;#Other Work|f1a52b52-917d-42ef-9667-945839604bb2</vt:lpwstr>
  </property>
  <property fmtid="{D5CDD505-2E9C-101B-9397-08002B2CF9AE}" pid="19" name="URL">
    <vt:lpwstr/>
  </property>
  <property fmtid="{D5CDD505-2E9C-101B-9397-08002B2CF9AE}" pid="20" name="DocumentSetDescription">
    <vt:lpwstr/>
  </property>
  <property fmtid="{D5CDD505-2E9C-101B-9397-08002B2CF9AE}" pid="21" name="MSIP_Label_05ae7051-b702-462d-8e81-9ac0b6085f00_Extended_MSFT_Method">
    <vt:lpwstr>Standard</vt:lpwstr>
  </property>
  <property fmtid="{D5CDD505-2E9C-101B-9397-08002B2CF9AE}" pid="22" name="MSIP_Label_05ae7051-b702-462d-8e81-9ac0b6085f00_Removed">
    <vt:lpwstr>False</vt:lpwstr>
  </property>
  <property fmtid="{D5CDD505-2E9C-101B-9397-08002B2CF9AE}" pid="23" name="MSIP_Label_05ae7051-b702-462d-8e81-9ac0b6085f00_ActionId">
    <vt:lpwstr>4dcb8942-b9fd-4687-9c67-fe5cb333f037</vt:lpwstr>
  </property>
  <property fmtid="{D5CDD505-2E9C-101B-9397-08002B2CF9AE}" pid="24" name="MSIP_Label_05ae7051-b702-462d-8e81-9ac0b6085f00_Name">
    <vt:lpwstr>Regular</vt:lpwstr>
  </property>
  <property fmtid="{D5CDD505-2E9C-101B-9397-08002B2CF9AE}" pid="25" name="MSIP_Label_05ae7051-b702-462d-8e81-9ac0b6085f00_SetDate">
    <vt:lpwstr>2025-06-17T15:19:03Z</vt:lpwstr>
  </property>
  <property fmtid="{D5CDD505-2E9C-101B-9397-08002B2CF9AE}" pid="26" name="MSIP_Label_05ae7051-b702-462d-8e81-9ac0b6085f00_SiteId">
    <vt:lpwstr>e406f268-4ae7-4c80-8994-02493da00c03</vt:lpwstr>
  </property>
  <property fmtid="{D5CDD505-2E9C-101B-9397-08002B2CF9AE}" pid="27" name="MSIP_Label_05ae7051-b702-462d-8e81-9ac0b6085f00_Enabled">
    <vt:lpwstr>True</vt:lpwstr>
  </property>
  <property fmtid="{D5CDD505-2E9C-101B-9397-08002B2CF9AE}" pid="28" name="Sensitivity">
    <vt:lpwstr>Regular</vt:lpwstr>
  </property>
</Properties>
</file>