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A6CE0"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60AD4DEB" w:rsidR="00C85C8B" w:rsidRPr="00B16706" w:rsidRDefault="00670EFF" w:rsidP="00C85C8B">
                <w:pPr>
                  <w:rPr>
                    <w:rFonts w:ascii="Arial" w:hAnsi="Arial" w:cs="Arial"/>
                    <w:color w:val="808080"/>
                    <w:sz w:val="16"/>
                    <w:szCs w:val="20"/>
                    <w:lang w:eastAsia="de-DE"/>
                  </w:rPr>
                </w:pPr>
                <w:r>
                  <w:rPr>
                    <w:rFonts w:ascii="Arial" w:hAnsi="Arial" w:cs="Arial"/>
                    <w:color w:val="808080"/>
                    <w:sz w:val="16"/>
                    <w:szCs w:val="20"/>
                    <w:lang w:eastAsia="de-DE"/>
                  </w:rPr>
                  <w:t>FIX Trading Community</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56965CA9" w:rsidR="00C85C8B" w:rsidRPr="00B16706" w:rsidRDefault="0010364E"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70EFF">
                  <w:rPr>
                    <w:rFonts w:ascii="Arial" w:hAnsi="Arial" w:cs="Arial"/>
                    <w:sz w:val="16"/>
                    <w:szCs w:val="20"/>
                    <w:lang w:eastAsia="de-DE"/>
                  </w:rPr>
                  <w:t>Non-financial counterparty</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1B6C06D0" w:rsidR="00C85C8B" w:rsidRPr="00B16706" w:rsidRDefault="00670EFF"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63718D4F" w:rsidR="00C85C8B" w:rsidRPr="00B16706" w:rsidRDefault="00670EFF"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28F61314" w14:textId="7ECD9BAA" w:rsidR="00011037" w:rsidRDefault="00011037" w:rsidP="00011037">
      <w:permStart w:id="785210304" w:edGrp="everyone"/>
      <w:r>
        <w:t xml:space="preserve">Yes, we broadly agree with the challenges outlined by ESMA. We consider the areas below to be amongst the most important identified. </w:t>
      </w:r>
    </w:p>
    <w:p w14:paraId="1703E984" w14:textId="77777777" w:rsidR="00011037" w:rsidRDefault="00011037" w:rsidP="00011037"/>
    <w:p w14:paraId="0346A5E2" w14:textId="38C3C5DC" w:rsidR="00011037" w:rsidRPr="00011037" w:rsidRDefault="00011037" w:rsidP="00011037">
      <w:pPr>
        <w:rPr>
          <w:b/>
          <w:bCs/>
        </w:rPr>
      </w:pPr>
      <w:r w:rsidRPr="00011037">
        <w:rPr>
          <w:b/>
          <w:bCs/>
        </w:rPr>
        <w:t>Frequent regulatory changes and lack of flexibility to enable a phased implementation, synchronisation and coordination of the changes in the different reporting regimes</w:t>
      </w:r>
      <w:r>
        <w:rPr>
          <w:b/>
          <w:bCs/>
        </w:rPr>
        <w:t>.</w:t>
      </w:r>
    </w:p>
    <w:p w14:paraId="48568ABF" w14:textId="77777777" w:rsidR="00011037" w:rsidRDefault="00011037" w:rsidP="00011037">
      <w:r>
        <w:t>Carefully considered alignment of changes between the reporting regimes would be beneficial both in terms of timing and design; changes to one reporting regime should only be made after consideration of any implications for the other regimes. It has been noted that changing several regimes at the same time could significantly increase the time required for consultation, design and implementation. However it has also been observed that this could be mitigated by an overall reduction in the number of individual changes.</w:t>
      </w:r>
    </w:p>
    <w:p w14:paraId="5C43ACCA" w14:textId="77777777" w:rsidR="00011037" w:rsidRDefault="00011037" w:rsidP="00011037"/>
    <w:p w14:paraId="3B158B58" w14:textId="2B4895FA" w:rsidR="00011037" w:rsidRPr="00011037" w:rsidRDefault="00011037" w:rsidP="00011037">
      <w:pPr>
        <w:rPr>
          <w:b/>
          <w:bCs/>
        </w:rPr>
      </w:pPr>
      <w:r w:rsidRPr="00011037">
        <w:rPr>
          <w:b/>
          <w:bCs/>
        </w:rPr>
        <w:t>Duplicative reporting of the same derivative instruments under MiFIR, EMIR, and REMIT</w:t>
      </w:r>
      <w:r>
        <w:rPr>
          <w:b/>
          <w:bCs/>
        </w:rPr>
        <w:t>.</w:t>
      </w:r>
    </w:p>
    <w:p w14:paraId="448F842A" w14:textId="77777777" w:rsidR="00011037" w:rsidRDefault="00011037" w:rsidP="00011037">
      <w:r>
        <w:t>We believe this presents opportunities for simplification and refer to our responses to questions 3 to 16 for further details.</w:t>
      </w:r>
    </w:p>
    <w:p w14:paraId="31B58D48" w14:textId="77777777" w:rsidR="00011037" w:rsidRDefault="00011037" w:rsidP="00011037"/>
    <w:p w14:paraId="50CE06E3" w14:textId="1CF9DD86" w:rsidR="00011037" w:rsidRPr="00011037" w:rsidRDefault="00011037" w:rsidP="00011037">
      <w:pPr>
        <w:rPr>
          <w:b/>
          <w:bCs/>
        </w:rPr>
      </w:pPr>
      <w:r w:rsidRPr="00011037">
        <w:rPr>
          <w:b/>
          <w:bCs/>
        </w:rPr>
        <w:t>Different terminology and definitions within different reporting regimes</w:t>
      </w:r>
      <w:r>
        <w:rPr>
          <w:b/>
          <w:bCs/>
        </w:rPr>
        <w:t>.</w:t>
      </w:r>
    </w:p>
    <w:p w14:paraId="0AEB252F" w14:textId="77777777" w:rsidR="00011037" w:rsidRDefault="00011037" w:rsidP="00011037">
      <w:r>
        <w:t>We consider that the use of a single data dictionary is possible (e.g., under ISO 20022) and highly desirable. Aside from the options proposed in this consultation, we believe that an exercise to review the existing reporting schemas and more closely align common elements against a single model would be beneficial. However, it should be noted that market participants have already incurred costs and hence any further changes should be combined with additional changes to reporting regimes to minimise implementation cost and burden.</w:t>
      </w:r>
    </w:p>
    <w:p w14:paraId="3CDC09FD" w14:textId="77777777" w:rsidR="00011037" w:rsidRDefault="00011037" w:rsidP="00011037"/>
    <w:p w14:paraId="6F593952" w14:textId="607808BF" w:rsidR="00011037" w:rsidRPr="00011037" w:rsidRDefault="00011037" w:rsidP="00011037">
      <w:pPr>
        <w:rPr>
          <w:b/>
          <w:bCs/>
        </w:rPr>
      </w:pPr>
      <w:r w:rsidRPr="00011037">
        <w:rPr>
          <w:b/>
          <w:bCs/>
        </w:rPr>
        <w:t>Dual-sided reporting obligation under EMIR and SFTR</w:t>
      </w:r>
      <w:r>
        <w:rPr>
          <w:b/>
          <w:bCs/>
        </w:rPr>
        <w:t>.</w:t>
      </w:r>
    </w:p>
    <w:p w14:paraId="27FA1FD1" w14:textId="77777777" w:rsidR="00011037" w:rsidRDefault="00011037" w:rsidP="00011037">
      <w:r>
        <w:t xml:space="preserve">Members have raised </w:t>
      </w:r>
      <w:proofErr w:type="gramStart"/>
      <w:r>
        <w:t>a number of</w:t>
      </w:r>
      <w:proofErr w:type="gramEnd"/>
      <w:r>
        <w:t xml:space="preserve"> concerns in this area. The need for reconciliation between the reports from two counterparties to a trade introduces additional onboarding cost and complexity. The mechanism (and resourcing) for managing the reconciliation process adds considerable extra cost and friction. We consider the following options could offer an alternative solution; ensuring the accuracy and validation of reports is maintained:</w:t>
      </w:r>
    </w:p>
    <w:p w14:paraId="41A36C84" w14:textId="065BF657" w:rsidR="00011037" w:rsidRDefault="00011037" w:rsidP="00394FED">
      <w:pPr>
        <w:pStyle w:val="ListParagraph"/>
      </w:pPr>
      <w:r>
        <w:t>Option 1 is to retain the current process but reduce the number of matching fields to a minimum and/or, in some cases, increase matching tolerances</w:t>
      </w:r>
    </w:p>
    <w:p w14:paraId="118F100F" w14:textId="445EB5C7" w:rsidR="00926BDA" w:rsidRDefault="00011037" w:rsidP="00394FED">
      <w:pPr>
        <w:pStyle w:val="ListParagraph"/>
      </w:pPr>
      <w:r>
        <w:lastRenderedPageBreak/>
        <w:t>Option 2 is to remove the reconciliation requirement entirely. We recognise that this would require a reliable way of connecting equivalent reports from the two counterparties (e.g. UTI) and would require careful consideration in the next phase of this review.</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042B0F0C" w14:textId="1963DAB3" w:rsidR="00926BDA" w:rsidRDefault="00E636BB" w:rsidP="00926BDA">
      <w:permStart w:id="545925079" w:edGrp="everyone"/>
      <w:r w:rsidRPr="00E636BB">
        <w:t>Yes, we agree with the proposed principles and have no other items to add</w:t>
      </w:r>
      <w:r>
        <w:t>.</w:t>
      </w:r>
      <w:r w:rsidRPr="00E636BB">
        <w:t xml:space="preserve"> </w:t>
      </w:r>
      <w:permEnd w:id="545925079"/>
      <w:r w:rsidR="00926BDA">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F63CE54" w14:textId="77777777" w:rsidR="00AD389B" w:rsidRDefault="00AD389B" w:rsidP="00AD389B">
      <w:permStart w:id="666895774" w:edGrp="everyone"/>
      <w:r>
        <w:t>We believe there are benefits in simplifying reporting regimes which will translate into reduced overhead for ongoing maintenance/support, and a lower barrier to entry for new participants.</w:t>
      </w:r>
    </w:p>
    <w:p w14:paraId="0F3CDE72" w14:textId="77777777" w:rsidR="00AD389B" w:rsidRDefault="00AD389B" w:rsidP="00AD389B"/>
    <w:p w14:paraId="52EF3BF1" w14:textId="77777777" w:rsidR="00AD389B" w:rsidRDefault="00AD389B" w:rsidP="00AD389B">
      <w:r>
        <w:t xml:space="preserve">Having said that, we note that to ‘replicate’ MiFIR transaction reporting requirements in EMIR and vice versa would result in the addition of many reporting fields into EMIR and MiFIR respectively, due to the differences in scope and regulatory objective of each regime. This may not achieve the stated objective of streamline the reporting regimes. </w:t>
      </w:r>
    </w:p>
    <w:p w14:paraId="2BE2A301" w14:textId="77777777" w:rsidR="00AD389B" w:rsidRDefault="00AD389B" w:rsidP="00AD389B"/>
    <w:p w14:paraId="3EDB6BB6" w14:textId="77777777" w:rsidR="00AD389B" w:rsidRDefault="00AD389B" w:rsidP="00AD389B">
      <w:r>
        <w:t xml:space="preserve">We consider that there are critical differences between the reporting regimes which would need to be considered in case of any simplification </w:t>
      </w:r>
      <w:proofErr w:type="gramStart"/>
      <w:r>
        <w:t>in order to</w:t>
      </w:r>
      <w:proofErr w:type="gramEnd"/>
      <w:r>
        <w:t xml:space="preserve"> balance the scope of information required with the goal of simplification and reduction of burden on the industry.</w:t>
      </w:r>
    </w:p>
    <w:p w14:paraId="3C2E7014" w14:textId="77777777" w:rsidR="00AD389B" w:rsidRDefault="00AD389B" w:rsidP="00AD389B"/>
    <w:p w14:paraId="02BFF2D2" w14:textId="77777777" w:rsidR="00AD389B" w:rsidRDefault="00AD389B" w:rsidP="00AD389B">
      <w:r>
        <w:t>The regulatory purpose of MiFIR is market abuse detection, while EMIR focuses on systemic risk and risk management and SFTR covers the lifecycle of financing transactions. Given the differences in regulatory objectives, the reporting fields vary significantly under each regime, although there is overlap in some instances. Please see Q16 as well.</w:t>
      </w:r>
    </w:p>
    <w:p w14:paraId="62CA0701" w14:textId="77777777" w:rsidR="00AD389B" w:rsidRDefault="00AD389B" w:rsidP="00AD389B"/>
    <w:p w14:paraId="18D323A1" w14:textId="77777777" w:rsidR="00AD389B" w:rsidRDefault="00AD389B" w:rsidP="00AD389B">
      <w:r>
        <w:t xml:space="preserve">The differences in instrument scope would also require detailed analysis. The proposal under option 1a to capture ETDs under MiFIR but not under EMIR would be more aligned with other global regulatory jurisdictions. This approach would reduce regulatory divergences and achieve some simplification. </w:t>
      </w:r>
    </w:p>
    <w:p w14:paraId="51E50A08" w14:textId="77777777" w:rsidR="00AD389B" w:rsidRDefault="00AD389B" w:rsidP="00AD389B"/>
    <w:p w14:paraId="770A99F3" w14:textId="77777777" w:rsidR="00AD389B" w:rsidRDefault="00AD389B" w:rsidP="00AD389B">
      <w:r>
        <w:t>Similarly, we see a simplification advantage in removing OTC derivatives from the scope of MiFIR, with the caveat that further analysis would be required to determine which market abuse-related fields under MiFIR would need to be added to EMIR. It may not be practical or necessary to include all MiFIR market abuse detection fields in EMIR to achieve the regulatory objectives.</w:t>
      </w:r>
    </w:p>
    <w:p w14:paraId="5F627125" w14:textId="77777777" w:rsidR="00AD389B" w:rsidRDefault="00AD389B" w:rsidP="00AD389B"/>
    <w:p w14:paraId="6CC0F48A" w14:textId="77777777" w:rsidR="00AD389B" w:rsidRDefault="00AD389B" w:rsidP="00AD389B">
      <w:r>
        <w:lastRenderedPageBreak/>
        <w:t xml:space="preserve">Some of our members have suggested that only ETDs traded on EU trading venues (TOTV) should be in scope for reporting requirements, and that those ETDs executed outside the EU are excluded from the scope. This approach would mean that the criteria of whether the ETD underlying is a TOTV instrument would not be required anymore and fall away. Currently, for example, an ETD with a TOTV underlying traded on a US venue presents a challenge for reporting purposes due to differences in reference data and instrument ID standards, which makes reporting under EU rules more difficult. Please refer also to Q16, as some of our members believe this issue applies more broadly across all the reporting options presented. </w:t>
      </w:r>
    </w:p>
    <w:p w14:paraId="0E986D85" w14:textId="77777777" w:rsidR="00AD389B" w:rsidRDefault="00AD389B" w:rsidP="00AD389B"/>
    <w:p w14:paraId="6D0251D2" w14:textId="2EFAAB9E" w:rsidR="00926BDA" w:rsidRDefault="00AD389B" w:rsidP="00926BDA">
      <w:r>
        <w:t>Lastly, we also note that SFTR is not currently covered under option 1a.</w:t>
      </w:r>
      <w:permEnd w:id="666895774"/>
      <w:r w:rsidR="00926BDA">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6EB0489D" w14:textId="2A05D7EF" w:rsidR="00520D31" w:rsidRDefault="00520D31" w:rsidP="00520D31">
      <w:permStart w:id="1901729855" w:edGrp="everyone"/>
      <w:r>
        <w:t xml:space="preserve">While we are supportive of simplification to the reporting regime, we note the following potential risks: </w:t>
      </w:r>
    </w:p>
    <w:p w14:paraId="675ED61B" w14:textId="77777777" w:rsidR="00520D31" w:rsidRDefault="00520D31" w:rsidP="00520D31"/>
    <w:p w14:paraId="7BDEA6D8" w14:textId="77777777" w:rsidR="00520D31" w:rsidRDefault="00520D31" w:rsidP="00520D31">
      <w:r>
        <w:t xml:space="preserve">Provided the intent is to retain market abuse detection across all MiFID asset classes, any removal of instruments from the scope of MiFIR reporting obligations (e.g. OTC derivatives) would require careful analysis whether and if so which additional market abuse related MiFIR fields should be added to EMIR to allow for effective market abuse monitoring without creating unnecessary burden to the industry. </w:t>
      </w:r>
    </w:p>
    <w:p w14:paraId="7F908CB9" w14:textId="77777777" w:rsidR="00520D31" w:rsidRDefault="00520D31" w:rsidP="00520D31"/>
    <w:p w14:paraId="27B39765" w14:textId="77777777" w:rsidR="00520D31" w:rsidRDefault="00520D31" w:rsidP="00520D31">
      <w:r>
        <w:t>Furthermore, we believe that SFTR serves a distinct regulatory purpose, namely monitoring the securities financing markets, and hence is difficult to compare with either EMIR or MiFIR. The data elements, lifecycle reporting requirements and instrument scope under SFTR is quite distinct and differentiated and does not seem to be easily combined with either the MiFIR or EMIR framework.</w:t>
      </w:r>
    </w:p>
    <w:p w14:paraId="569CA14F" w14:textId="77777777" w:rsidR="00520D31" w:rsidRDefault="00520D31" w:rsidP="00520D31"/>
    <w:p w14:paraId="271C2CA6" w14:textId="2FC3B8F6" w:rsidR="00926BDA" w:rsidRDefault="00520D31" w:rsidP="00520D31">
      <w:r>
        <w:t>While we recognise that option 1a sets out a more medium-term vision, we believe there are quicker wins in the short-term, specifically relating to simplifying the field lists in the existing reporting regimes where there is overlap, and to remove dual-sided reconciliation requirements where possible. We elaborate on this in our response to Q22.</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69B77063" w:rsidR="00926BDA" w:rsidRDefault="00800C6A" w:rsidP="00926BDA">
      <w:permStart w:id="1034637762" w:edGrp="everyone"/>
      <w:r w:rsidRPr="00800C6A">
        <w:t>Please see our responses to Q3 and Q4.</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37820CF0" w:rsidR="00926BDA" w:rsidRDefault="00DC28C1" w:rsidP="00926BDA">
      <w:permStart w:id="276758894" w:edGrp="everyone"/>
      <w:r w:rsidRPr="00DC28C1">
        <w:t>We agree that removing overlapping and duplicative reporting would be a positive outcome for market participants</w:t>
      </w:r>
      <w:r>
        <w:t>.</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542748A5" w14:textId="7D88BD88" w:rsidR="00E26467" w:rsidRDefault="00E26467" w:rsidP="00E26467">
      <w:permStart w:id="1327239170" w:edGrp="everyone"/>
      <w:r>
        <w:t xml:space="preserve">In our view, there are several limitations and risks to option 1b as outlined below: </w:t>
      </w:r>
    </w:p>
    <w:p w14:paraId="6FB869A0" w14:textId="77777777" w:rsidR="00E26467" w:rsidRDefault="00E26467" w:rsidP="00E26467"/>
    <w:p w14:paraId="021ABFFB" w14:textId="77777777" w:rsidR="00E26467" w:rsidRDefault="00E26467" w:rsidP="00E26467">
      <w:r w:rsidRPr="00E26467">
        <w:rPr>
          <w:b/>
          <w:bCs/>
        </w:rPr>
        <w:t>High implementation cost:</w:t>
      </w:r>
      <w:r>
        <w:t xml:space="preserve"> Option 1b represents a major change and would require a major overhaul of existing reporting systems, resulting in significant costs and operational risk. The need to make changes across all asset classes at the same time adds further complexity and would require appropriate testing, which may lead to additional burden. </w:t>
      </w:r>
    </w:p>
    <w:p w14:paraId="17153A41" w14:textId="77777777" w:rsidR="00E26467" w:rsidRDefault="00E26467" w:rsidP="00E26467"/>
    <w:p w14:paraId="5743B216" w14:textId="77777777" w:rsidR="00E26467" w:rsidRDefault="00E26467" w:rsidP="00E26467">
      <w:r w:rsidRPr="00E26467">
        <w:rPr>
          <w:b/>
          <w:bCs/>
        </w:rPr>
        <w:t>Backward compatibility</w:t>
      </w:r>
      <w:r>
        <w:t>: Option 1b raises the question on how backward compatibility of data would be maintained. Without robust transitional arrangements, firms may face inconsistencies between historical and current data, undermining data quality and regulatory oversight.</w:t>
      </w:r>
    </w:p>
    <w:p w14:paraId="59E6EA9A" w14:textId="77777777" w:rsidR="00E26467" w:rsidRDefault="00E26467" w:rsidP="00E26467"/>
    <w:p w14:paraId="5B13CEC9" w14:textId="77777777" w:rsidR="00E26467" w:rsidRDefault="00E26467" w:rsidP="00E26467">
      <w:r w:rsidRPr="00E26467">
        <w:rPr>
          <w:b/>
          <w:bCs/>
        </w:rPr>
        <w:t>Cost-benefit considerations:</w:t>
      </w:r>
      <w:r>
        <w:t xml:space="preserve"> Firms have already implemented the existing regimes (e.g., EMIR Refit, MiFIR, and SFTR). As such, the marginal benefit of Option 1b may be limited compared to the effort and cost required to implement it. Furthermore, the absence of a simultaneous change in the UK raises concerns about regulatory divergence which could lead to inefficiencies.</w:t>
      </w:r>
    </w:p>
    <w:p w14:paraId="75728CCC" w14:textId="77777777" w:rsidR="00E26467" w:rsidRDefault="00E26467" w:rsidP="00E26467"/>
    <w:p w14:paraId="21F0C8DE" w14:textId="77777777" w:rsidR="00E26467" w:rsidRDefault="00E26467" w:rsidP="00E26467">
      <w:r w:rsidRPr="00E26467">
        <w:rPr>
          <w:b/>
          <w:bCs/>
        </w:rPr>
        <w:t>Lack of alignment with SFTR</w:t>
      </w:r>
      <w:r>
        <w:t>: SFTR differs significantly in scope, objectives, and structure from both EMIR and MiFIR. Attempting to merge the three into a single reporting framework would be challenging and may result in a framework that is overly complex or ill-suited to the specific nuances of each regime and ultimately not achieve the objective of simplifying the existing reporting regimes.</w:t>
      </w:r>
    </w:p>
    <w:p w14:paraId="2DBF6691" w14:textId="77777777" w:rsidR="00E26467" w:rsidRDefault="00E26467" w:rsidP="00E26467"/>
    <w:p w14:paraId="1CFEB751" w14:textId="2D56A9F1" w:rsidR="00926BDA" w:rsidRDefault="00E26467" w:rsidP="00E26467">
      <w:r>
        <w:t>In our view, it is difficult to justify the costs and risks of implementing option 1b without clear evidence of material improvements in reporting burden on the industry.</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7E88191B" w14:textId="2F8751FC" w:rsidR="00EA7D1A" w:rsidRDefault="00EA7D1A" w:rsidP="00EA7D1A">
      <w:permStart w:id="275065348" w:edGrp="everyone"/>
      <w:r>
        <w:lastRenderedPageBreak/>
        <w:t>We think it’s worth considering an amended option 1b: This would include keeping SFTR in place, stipulating MiFIR for transaction reporting of securities and derivatives, and relying on EMIR for position reporting for derivatives. This approach would recognise the conceptual differences of SFTR, and reduce additional implementation costs. It would also have the benefit of removing overlapping reporting requirements across MiFIR and EMIR.</w:t>
      </w:r>
    </w:p>
    <w:p w14:paraId="7986B094" w14:textId="77777777" w:rsidR="00EA7D1A" w:rsidRDefault="00EA7D1A" w:rsidP="00EA7D1A"/>
    <w:p w14:paraId="156B7223" w14:textId="46381EEA" w:rsidR="00926BDA" w:rsidRDefault="00EA7D1A" w:rsidP="00EA7D1A">
      <w:r>
        <w:t>This approach would require a further analysis of extraterritorial impacts including impact of third country firms, as well as implications for delegated reporting regimes under MiFIR and EMIR.</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3DC94556" w14:textId="25A94282" w:rsidR="00FA77F8" w:rsidRDefault="00FA77F8" w:rsidP="00FA77F8">
      <w:permStart w:id="1249454344" w:edGrp="everyone"/>
      <w:r>
        <w:t xml:space="preserve">In our view, option 2a offers the below advantages: </w:t>
      </w:r>
    </w:p>
    <w:p w14:paraId="0398C411" w14:textId="77777777" w:rsidR="00FA77F8" w:rsidRDefault="00FA77F8" w:rsidP="00FA77F8"/>
    <w:p w14:paraId="6D75B92C" w14:textId="77777777" w:rsidR="00FA77F8" w:rsidRDefault="00FA77F8" w:rsidP="00FA77F8">
      <w:r w:rsidRPr="00FA77F8">
        <w:rPr>
          <w:b/>
          <w:bCs/>
        </w:rPr>
        <w:t>Elimination of overlapping reporting</w:t>
      </w:r>
      <w:r>
        <w:t xml:space="preserve">: Removing overlapping/ duplicative reporting is beneficial as it simplifies the reporting process, thereby improving efficiency and reduce unnecessary complexity in the current framework. </w:t>
      </w:r>
    </w:p>
    <w:p w14:paraId="30F6BBB7" w14:textId="77777777" w:rsidR="00FA77F8" w:rsidRDefault="00FA77F8" w:rsidP="00FA77F8"/>
    <w:p w14:paraId="584DD162" w14:textId="77777777" w:rsidR="00FA77F8" w:rsidRDefault="00FA77F8" w:rsidP="00FA77F8">
      <w:r w:rsidRPr="00FA77F8">
        <w:rPr>
          <w:b/>
          <w:bCs/>
        </w:rPr>
        <w:t>Removal of reconciliation for dual-sided reporting:</w:t>
      </w:r>
      <w:r>
        <w:t xml:space="preserve"> Eliminating the requirement to reconcile dual-sided reports reduces complexity and costs. We believe this will be a beneficial change for the industry. </w:t>
      </w:r>
    </w:p>
    <w:p w14:paraId="10BB69EA" w14:textId="77777777" w:rsidR="00FA77F8" w:rsidRDefault="00FA77F8" w:rsidP="00FA77F8"/>
    <w:p w14:paraId="5A8801BA" w14:textId="3C6674F1" w:rsidR="00926BDA" w:rsidRDefault="00FA77F8" w:rsidP="00FA77F8">
      <w:r w:rsidRPr="00FA77F8">
        <w:rPr>
          <w:b/>
          <w:bCs/>
        </w:rPr>
        <w:t>Transition to a report-once approach:</w:t>
      </w:r>
      <w:r>
        <w:t xml:space="preserve"> Moving to a single-sided, report-once model simplifies the process significantly and improves data consistency, while reducing reporting burden on firms. This has been a long-standing industry request.</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23F40A3D" w14:textId="15DE87DF" w:rsidR="003E7384" w:rsidRDefault="003E7384" w:rsidP="003E7384">
      <w:permStart w:id="199837036" w:edGrp="everyone"/>
      <w:r>
        <w:t>Whi</w:t>
      </w:r>
      <w:r w:rsidR="00024171">
        <w:t>l</w:t>
      </w:r>
      <w:r>
        <w:t xml:space="preserve">st we agree there are advantages to option 2a, as outlined in our response to Q9 above; we also share concerns on </w:t>
      </w:r>
      <w:proofErr w:type="gramStart"/>
      <w:r>
        <w:t>a number of</w:t>
      </w:r>
      <w:proofErr w:type="gramEnd"/>
      <w:r>
        <w:t xml:space="preserve"> risks and limitations to option 2a: </w:t>
      </w:r>
    </w:p>
    <w:p w14:paraId="05AB4490" w14:textId="77777777" w:rsidR="00024171" w:rsidRDefault="00024171" w:rsidP="003E7384"/>
    <w:p w14:paraId="64399DD3" w14:textId="77777777" w:rsidR="003E7384" w:rsidRDefault="003E7384" w:rsidP="003E7384">
      <w:r w:rsidRPr="00024171">
        <w:rPr>
          <w:b/>
          <w:bCs/>
        </w:rPr>
        <w:t>Fundamental differences between regimes:</w:t>
      </w:r>
      <w:r>
        <w:t xml:space="preserve"> Combining reporting requirements from different regimes into one template may be challenging due to different objectives and purpose as well as different data elements of each regime. As mentioned above, SFTR </w:t>
      </w:r>
      <w:proofErr w:type="gramStart"/>
      <w:r>
        <w:t>in particular is</w:t>
      </w:r>
      <w:proofErr w:type="gramEnd"/>
      <w:r>
        <w:t xml:space="preserve"> quite distinct from MiFIR and EMIR in many aspects. Position reporting and trade/transaction reporting are very different in regulatory purpose and reporting logic. It is not entirely clear how these different regimes could be combined into a single reporting schema.</w:t>
      </w:r>
    </w:p>
    <w:p w14:paraId="6EC93FD0" w14:textId="77777777" w:rsidR="00024171" w:rsidRDefault="00024171" w:rsidP="003E7384"/>
    <w:p w14:paraId="1168956D" w14:textId="77777777" w:rsidR="003E7384" w:rsidRDefault="003E7384" w:rsidP="003E7384">
      <w:r w:rsidRPr="00024171">
        <w:rPr>
          <w:b/>
          <w:bCs/>
        </w:rPr>
        <w:t>Differences in reporting workflows</w:t>
      </w:r>
      <w:r>
        <w:t xml:space="preserve">: EMIR reports are submitted to trade repositories, while MiFIR reports are sent via an ARM to National Competent Authorities (NCAs). Option 2a </w:t>
      </w:r>
      <w:r>
        <w:lastRenderedPageBreak/>
        <w:t xml:space="preserve">would require significant changes to the reporting infrastructure and workflow of transaction reports. </w:t>
      </w:r>
    </w:p>
    <w:p w14:paraId="19A740BF" w14:textId="77777777" w:rsidR="00024171" w:rsidRDefault="00024171" w:rsidP="003E7384"/>
    <w:p w14:paraId="74392E0B" w14:textId="77777777" w:rsidR="003E7384" w:rsidRDefault="003E7384" w:rsidP="003E7384">
      <w:r w:rsidRPr="00024171">
        <w:rPr>
          <w:b/>
          <w:bCs/>
        </w:rPr>
        <w:t>Increased burden for firm with limited reporting obligations:</w:t>
      </w:r>
      <w:r>
        <w:t xml:space="preserve"> Some firms are only in scope for one reporting regime. Under option 2a, they would incur development/maintenance costs in having to adapt to other reporting regimes that they were not previously exposed to, leading to potentially disproportionate compliance costs.</w:t>
      </w:r>
    </w:p>
    <w:p w14:paraId="7A02190C" w14:textId="77777777" w:rsidR="00024171" w:rsidRDefault="00024171" w:rsidP="003E7384"/>
    <w:p w14:paraId="56C38C26" w14:textId="2240F357" w:rsidR="00926BDA" w:rsidRDefault="003E7384" w:rsidP="003E7384">
      <w:r w:rsidRPr="00024171">
        <w:rPr>
          <w:b/>
          <w:bCs/>
        </w:rPr>
        <w:t>Risk of long lead times:</w:t>
      </w:r>
      <w:r>
        <w:t xml:space="preserve"> A lengthy implementation period will inherently carry higher risks of disruption due to events (including market, regulatory and political changes), which may impact feasibility, budgets and priorities.</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11193B62" w14:textId="24C91F52" w:rsidR="00AC7622" w:rsidRDefault="00AC7622" w:rsidP="00AC7622">
      <w:permStart w:id="2123508368" w:edGrp="everyone"/>
      <w:r>
        <w:t xml:space="preserve">As highlighted in Q10, this call for evidence does not provide any details on how a unified reporting schema would reconcile the fundamental differences across MiFIR, EMIR and SFTR. It is not entirely clear what a common reporting schema would look like. </w:t>
      </w:r>
    </w:p>
    <w:p w14:paraId="2CAF86E3" w14:textId="77777777" w:rsidR="00AC7622" w:rsidRDefault="00AC7622" w:rsidP="00AC7622"/>
    <w:p w14:paraId="1007D813" w14:textId="77777777" w:rsidR="00AC7622" w:rsidRDefault="00AC7622" w:rsidP="00AC7622">
      <w:r>
        <w:t xml:space="preserve">We note that all three reporting regimes share certain reporting ‘themes’, such as data elements relating to counterparties, instrument and transaction details, as well as the reporting entity. However, significant divergences remain in terms of scope of instruments and reportable events. MiFIR focuses on transactions and executions, while EMIR includes position level and collateral reporting and SFTR covers lifecycle events including collateral positions. </w:t>
      </w:r>
    </w:p>
    <w:p w14:paraId="0E7C8092" w14:textId="77777777" w:rsidR="00AC7622" w:rsidRDefault="00AC7622" w:rsidP="00AC7622"/>
    <w:p w14:paraId="04BEB89B" w14:textId="64DD071F" w:rsidR="00926BDA" w:rsidRDefault="00AC7622" w:rsidP="00AC7622">
      <w:r>
        <w:t>Any proposed unified reporting schema would require further extensive analysis and should be subject to a comprehensive industry feedback process.</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1DECA6A0" w:rsidR="00926BDA" w:rsidRDefault="003C729B" w:rsidP="00926BDA">
      <w:permStart w:id="16780711" w:edGrp="everyone"/>
      <w:r w:rsidRPr="003C729B">
        <w:t>As noted in Q9, the transition to a report-once framework would be significant change for the industry. Simplifying reporting by using a single data model/ schema across all different types of reporting is in principle an approach that would significantly reduce complexity and burden on the industry</w:t>
      </w:r>
      <w:r>
        <w:t>.</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lastRenderedPageBreak/>
        <w:t>&lt;ESMA_QUESTION_CASR_13&gt;</w:t>
      </w:r>
    </w:p>
    <w:p w14:paraId="34A33672" w14:textId="6AB324C4" w:rsidR="00845855" w:rsidRDefault="00845855" w:rsidP="00845855">
      <w:permStart w:id="1489376342" w:edGrp="everyone"/>
      <w:r>
        <w:t xml:space="preserve">We are of the view that the same risks and limitations apply to option 2b as option 2a, see Q10. </w:t>
      </w:r>
    </w:p>
    <w:p w14:paraId="2504AEEA" w14:textId="77777777" w:rsidR="00845855" w:rsidRDefault="00845855" w:rsidP="00845855"/>
    <w:p w14:paraId="746C80F6" w14:textId="77777777" w:rsidR="00845855" w:rsidRDefault="00845855" w:rsidP="00845855">
      <w:r>
        <w:t>In addition, option 2b will likely lead to further costs and implementation complexity than option 2a.</w:t>
      </w:r>
    </w:p>
    <w:p w14:paraId="450DC7A0" w14:textId="77777777" w:rsidR="00845855" w:rsidRDefault="00845855" w:rsidP="00845855"/>
    <w:p w14:paraId="4183663D" w14:textId="019C5D80" w:rsidR="00926BDA" w:rsidRDefault="00845855" w:rsidP="00845855">
      <w:r>
        <w:t>We are concerned that additional complexity will be introduced by extending this ‘general’ reporting schema into counterparty and instrument types not currently covered by MiFIR/EMIR/SFTR. This could render any single data dictionary/schema so large and complex as to be unworkable.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0F597F01" w:rsidR="00926BDA" w:rsidRDefault="00B32A3D" w:rsidP="00926BDA">
      <w:permStart w:id="1849847968" w:edGrp="everyone"/>
      <w:r w:rsidRPr="00B32A3D">
        <w:t>We refer to our response to Q11</w:t>
      </w:r>
      <w:r w:rsidR="00E86929">
        <w:t>.</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98DA982" w14:textId="62B9D247" w:rsidR="00314E4F" w:rsidRDefault="00314E4F" w:rsidP="00314E4F">
      <w:permStart w:id="695482675" w:edGrp="everyone"/>
      <w:r>
        <w:t xml:space="preserve">We are broadly supportive of the 'report once' approach as a long-term objective. However, we advocate for simplifying the current reporting framework as a first key priority. </w:t>
      </w:r>
    </w:p>
    <w:p w14:paraId="51762029" w14:textId="77777777" w:rsidR="00314E4F" w:rsidRDefault="00314E4F" w:rsidP="00314E4F"/>
    <w:p w14:paraId="53069A83" w14:textId="2AACC77B" w:rsidR="00926BDA" w:rsidRDefault="00314E4F" w:rsidP="00314E4F">
      <w:r>
        <w:t>In our view, streamlining of reporting should focus on aligning core data elements and reporting ‘themes’ where appropriate and removing duplicative reporting without necessarily requiring full integration into a single unified report as an immediate priority. Further details on this can be found in our response to question 16.</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1DFD0811" w14:textId="3AAC28B4" w:rsidR="004F0680" w:rsidRDefault="004F0680" w:rsidP="004F0680">
      <w:permStart w:id="1784418006" w:edGrp="everyone"/>
      <w:r>
        <w:t xml:space="preserve">We believe there are several intermediate approaches that should be considered, which would lead to meaningful simplification and efficiency gains without a full integration of reporting regimes. </w:t>
      </w:r>
    </w:p>
    <w:p w14:paraId="0F2B2A34" w14:textId="77777777" w:rsidR="004F0680" w:rsidRDefault="004F0680" w:rsidP="004F0680">
      <w:r w:rsidRPr="00390334">
        <w:rPr>
          <w:b/>
          <w:bCs/>
        </w:rPr>
        <w:lastRenderedPageBreak/>
        <w:t>1. Simplify Existing Reporting Regimes:</w:t>
      </w:r>
      <w:r>
        <w:t xml:space="preserve"> To eliminate friction, it is essential to move towards common data elements and components wherever possible. This involves removing inconsistencies and unnecessary data elements, particularly those that are already reported by another party (which generally requires firms to hold significant amounts of data that are (a) only used for reporting, (b) already reported by another counterparty). </w:t>
      </w:r>
    </w:p>
    <w:p w14:paraId="03BE4D9C" w14:textId="77777777" w:rsidR="00390334" w:rsidRDefault="00390334" w:rsidP="004F0680"/>
    <w:p w14:paraId="05FEBEF2" w14:textId="77777777" w:rsidR="004F0680" w:rsidRDefault="004F0680" w:rsidP="004F0680">
      <w:r>
        <w:t xml:space="preserve">For example, both MiFIR and EMIR include fields capturing counterparty/ executing entity and/or broker IDs. They also both include the same transaction related fields, such as transaction IDs, transaction types, maturity, underlying and notional currency. Similarly, some of the collateral related fields under EMIR have an overlap with those reported under SFTR. </w:t>
      </w:r>
    </w:p>
    <w:p w14:paraId="691829A0" w14:textId="77777777" w:rsidR="00390334" w:rsidRDefault="00390334" w:rsidP="004F0680"/>
    <w:p w14:paraId="18F00A48" w14:textId="77777777" w:rsidR="004F0680" w:rsidRDefault="004F0680" w:rsidP="004F0680">
      <w:r>
        <w:t xml:space="preserve">We also note that certain data elements exist across all three regimes, which should be considered for alignment. For example, MiFIR requires buyer and seller details, while EMIR and SFTR require counterparty IDs and side of transaction (e.g. buy or sell). These fields serve the same purpose but are expressed differently and should be reviewed for alignment. </w:t>
      </w:r>
    </w:p>
    <w:p w14:paraId="636EC761" w14:textId="77777777" w:rsidR="00390334" w:rsidRDefault="00390334" w:rsidP="004F0680"/>
    <w:p w14:paraId="4BC720C1" w14:textId="77777777" w:rsidR="004F0680" w:rsidRDefault="004F0680" w:rsidP="004F0680">
      <w:r w:rsidRPr="00390334">
        <w:rPr>
          <w:b/>
          <w:bCs/>
        </w:rPr>
        <w:t>2.</w:t>
      </w:r>
      <w:r>
        <w:t xml:space="preserve"> </w:t>
      </w:r>
      <w:r w:rsidRPr="00390334">
        <w:rPr>
          <w:b/>
          <w:bCs/>
        </w:rPr>
        <w:t>Restructuring of EMIR and SFTR to a Single-Sided Reporting Regime:</w:t>
      </w:r>
      <w:r>
        <w:t xml:space="preserve"> Transitioning EMIR and SFTR to a single-sided reporting regime would streamline the reporting process. This change would require careful consideration of the lineage of reports across trading counterparties, as identified by ESMA in the 2024 CP. However, it would ultimately speed up reporting by shifting the reconciliation requirement to ESMA. Please refer to our response to Q22 for more on this.</w:t>
      </w:r>
    </w:p>
    <w:p w14:paraId="5AEFEC09" w14:textId="77777777" w:rsidR="00390334" w:rsidRDefault="00390334" w:rsidP="004F0680"/>
    <w:p w14:paraId="31407996" w14:textId="77777777" w:rsidR="004F0680" w:rsidRDefault="004F0680" w:rsidP="004F0680">
      <w:r w:rsidRPr="00390334">
        <w:rPr>
          <w:b/>
          <w:bCs/>
        </w:rPr>
        <w:t>3. Transition to Option 1a with Single-Sided Reporting for EMIR and SFTR:</w:t>
      </w:r>
      <w:r>
        <w:t xml:space="preserve"> The goal is to move towards Option 1a while transitioning EMIR and SFTR to a single-sided reporting regime. This approach would address the dual-sided reporting issue, which has been highlighted by ESMA. By doing so, the reconciliation process would be expedited, and the overall reporting efficiency would be improved.</w:t>
      </w:r>
    </w:p>
    <w:p w14:paraId="2A1C6C2B" w14:textId="77777777" w:rsidR="00390334" w:rsidRDefault="00390334" w:rsidP="004F0680"/>
    <w:p w14:paraId="07469BB7" w14:textId="340EBBDC" w:rsidR="00926BDA" w:rsidRDefault="004F0680" w:rsidP="004F0680">
      <w:r w:rsidRPr="00390334">
        <w:rPr>
          <w:b/>
          <w:bCs/>
        </w:rPr>
        <w:t>4. Only EU ETDs should be in scope for EU reporting:</w:t>
      </w:r>
      <w:r>
        <w:t xml:space="preserve"> As mentioned in our response to Q3, some of our members have proposed that only ETDs traded on EU trading venues (TOTV) should be in scope for reporting requirements, and that those ETDs executed outside the EU are excluded from the scope. This approach would mean that the criteria of whether the ETD underlying is a TOTV instrument would not be required anymore and fall away. Currently, for example, an ETD (with a TOTV underlying) traded on a US venue represents a challenge for reporting purposes due to differences in reference data and instrument ID standards (</w:t>
      </w:r>
      <w:proofErr w:type="gramStart"/>
      <w:r>
        <w:t>in particular identification</w:t>
      </w:r>
      <w:proofErr w:type="gramEnd"/>
      <w:r>
        <w:t xml:space="preserve"> of the Cheapest to Deliver Bond, which can change over time). These differences which make reporting under EU rules more difficult.</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43056529" w:rsidR="00926BDA" w:rsidRDefault="00F8033D" w:rsidP="00926BDA">
      <w:permStart w:id="1438851636" w:edGrp="everyone"/>
      <w:r w:rsidRPr="00F8033D">
        <w:lastRenderedPageBreak/>
        <w:t>Our members do not have a strong view on this question, other than to note that for firms who transact and report in both the UK and EU, any differences introduced between the two reporting frameworks will introduce some complexity and cost.</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640AA54A" w14:textId="276F2334" w:rsidR="00B026D6" w:rsidRDefault="00B026D6" w:rsidP="00B026D6">
      <w:permStart w:id="1962436404" w:edGrp="everyone"/>
      <w:r>
        <w:t xml:space="preserve">There are, theoretically, attractions to this where trading venues already carry reporting obligations and where they already have all the data required to report. In such cases, consolidation could streamline processes. </w:t>
      </w:r>
    </w:p>
    <w:p w14:paraId="1D2C0AE2" w14:textId="77777777" w:rsidR="00B026D6" w:rsidRDefault="00B026D6" w:rsidP="00B026D6"/>
    <w:p w14:paraId="07740398" w14:textId="77777777" w:rsidR="00B026D6" w:rsidRDefault="00B026D6" w:rsidP="00B026D6">
      <w:r>
        <w:t xml:space="preserve">However, there are also potential drawbacks: </w:t>
      </w:r>
    </w:p>
    <w:p w14:paraId="1BBF3986" w14:textId="77777777" w:rsidR="00B026D6" w:rsidRDefault="00B026D6" w:rsidP="00B026D6"/>
    <w:p w14:paraId="08BA8D6D" w14:textId="77777777" w:rsidR="00B026D6" w:rsidRDefault="00B026D6" w:rsidP="00B026D6">
      <w:r w:rsidRPr="00B026D6">
        <w:rPr>
          <w:b/>
          <w:bCs/>
        </w:rPr>
        <w:t>Implementation scope:</w:t>
      </w:r>
      <w:r>
        <w:t xml:space="preserve"> Any approach which requires venues not currently covered by one or more of the reporting regimes to start reporting, or requires them to source additional data fields from their participants, will be a significant amount of work, potentially outweighing any benefits.</w:t>
      </w:r>
    </w:p>
    <w:p w14:paraId="551D0893" w14:textId="77777777" w:rsidR="00B026D6" w:rsidRDefault="00B026D6" w:rsidP="00B026D6"/>
    <w:p w14:paraId="77D052B4" w14:textId="77777777" w:rsidR="00B026D6" w:rsidRDefault="00B026D6" w:rsidP="00B026D6">
      <w:r w:rsidRPr="00B026D6">
        <w:rPr>
          <w:b/>
          <w:bCs/>
        </w:rPr>
        <w:t>Operational complexity:</w:t>
      </w:r>
      <w:r>
        <w:t xml:space="preserve"> The work required for participants to provide additional information on trading connections, the complexity of validation logic, processing and workflows, and associated potential impact on throughput and latency are important factors to be considered here. The experiences of the original MIFIR roll-out, where a lot of this work needed to be done for transaction reporting and record keeping purposes, demonstrates this as a real and legitimate concern. This is particularly important in the case of private or sensitive data, where the MiFIR rollout entailed the introduction of complicated mechanisms to encode/decode such data. Moving more reporting to trading venues would almost certainly introduce more of the same. </w:t>
      </w:r>
    </w:p>
    <w:p w14:paraId="624AB99F" w14:textId="77777777" w:rsidR="00B026D6" w:rsidRDefault="00B026D6" w:rsidP="00B026D6"/>
    <w:p w14:paraId="0E01C7DE" w14:textId="77777777" w:rsidR="00B026D6" w:rsidRDefault="00B026D6" w:rsidP="00B026D6">
      <w:r w:rsidRPr="00B026D6">
        <w:rPr>
          <w:b/>
          <w:bCs/>
        </w:rPr>
        <w:t>Fairness:</w:t>
      </w:r>
      <w:r>
        <w:t xml:space="preserve"> Concentrating reporting burden on a subset of industry participants risks creating imbalances and should be avoided</w:t>
      </w:r>
    </w:p>
    <w:p w14:paraId="481177DC" w14:textId="77777777" w:rsidR="00B026D6" w:rsidRDefault="00B026D6" w:rsidP="00B026D6"/>
    <w:p w14:paraId="33B78B8E" w14:textId="755D4884" w:rsidR="00926BDA" w:rsidRDefault="00B026D6" w:rsidP="00B026D6">
      <w:r w:rsidRPr="00B026D6">
        <w:rPr>
          <w:b/>
          <w:bCs/>
        </w:rPr>
        <w:t>Transition costs:</w:t>
      </w:r>
      <w:r>
        <w:t xml:space="preserve"> It should also be noted, of course, that investment firms have already built reporting capabilities and moving these to another party will introduce additional work, at least for that transition.</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lastRenderedPageBreak/>
        <w:t>&lt;ESMA_QUESTION_CASR_19&gt;</w:t>
      </w:r>
    </w:p>
    <w:p w14:paraId="1A3BE8DE" w14:textId="76DAB095" w:rsidR="00926BDA" w:rsidRDefault="00FE50C8" w:rsidP="00926BDA">
      <w:permStart w:id="105197077" w:edGrp="everyone"/>
      <w:r w:rsidRPr="00FE50C8">
        <w:t>Our members do not have a strong view on this question.</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2EE9F392" w14:textId="77777777" w:rsidR="000D06CF" w:rsidRDefault="000D06CF" w:rsidP="00926BDA">
      <w:permStart w:id="817709938" w:edGrp="everyone"/>
      <w:r w:rsidRPr="000D06CF">
        <w:t xml:space="preserve">Regardless of any potential benefits centralisation may bring, it should be noted that firms have already built to the current reporting framework, and any changes (including redirecting existing reporting flows) will entail implementation work. To be worth it, there would need to be material benefits in terms of simplification and ongoing cost reduction, while noting that the concentration of the reporting burden on a subset of industry participants risks creating imbalances and should be avoided. </w:t>
      </w:r>
    </w:p>
    <w:p w14:paraId="18F148C1" w14:textId="746A591F" w:rsidR="00926BDA" w:rsidRDefault="000D06CF" w:rsidP="00926BDA">
      <w:r w:rsidRPr="000D06CF">
        <w:t>Please see our responses to Q18 for further considerations.</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457A78D7" w14:textId="77777777" w:rsidR="005019F4" w:rsidRDefault="005019F4" w:rsidP="00926BDA">
      <w:permStart w:id="993723206" w:edGrp="everyone"/>
      <w:r w:rsidRPr="005019F4">
        <w:t xml:space="preserve">Yes. One example is with DLT/smart contracts as a possible solution to dual-side reporting/reconciliation requirements (as discussed in our responses to Q16 and Q22). We also note the CDM/DRR project relating to regulatory reporting and consider this approach worth investigating further. </w:t>
      </w:r>
    </w:p>
    <w:p w14:paraId="2ADC3A54" w14:textId="77777777" w:rsidR="005019F4" w:rsidRDefault="005019F4" w:rsidP="00926BDA"/>
    <w:p w14:paraId="1E85F6A9" w14:textId="067AAA19" w:rsidR="00926BDA" w:rsidRDefault="005019F4" w:rsidP="00926BDA">
      <w:r w:rsidRPr="005019F4">
        <w:t>However, such technologies should be investigated on a case-by-case basis, where the problem statement justifies a complete technological overhaul, rather than imposing a one-size-fits-all approach across all reporting frameworks.</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5F00306D" w14:textId="77777777" w:rsidR="00466AD5" w:rsidRDefault="00466AD5" w:rsidP="00926BDA">
      <w:permStart w:id="1652326327" w:edGrp="everyone"/>
      <w:r w:rsidRPr="00466AD5">
        <w:t xml:space="preserve">Our understanding from member feedback is that reconciliation, validation and handling of rejections is a burdensome process for the industry, particularly where different industry </w:t>
      </w:r>
      <w:r w:rsidRPr="00466AD5">
        <w:lastRenderedPageBreak/>
        <w:t xml:space="preserve">participants have different interpretations of the regulations. Reducing the field list would, in principle, help here. </w:t>
      </w:r>
    </w:p>
    <w:p w14:paraId="54FF5515" w14:textId="77777777" w:rsidR="00466AD5" w:rsidRDefault="00466AD5" w:rsidP="00926BDA"/>
    <w:p w14:paraId="79A9E5C3" w14:textId="77777777" w:rsidR="00466AD5" w:rsidRDefault="00466AD5" w:rsidP="00926BDA">
      <w:r w:rsidRPr="00466AD5">
        <w:t xml:space="preserve">An alternative is to use approaches </w:t>
      </w:r>
      <w:proofErr w:type="gramStart"/>
      <w:r w:rsidRPr="00466AD5">
        <w:t>similar to</w:t>
      </w:r>
      <w:proofErr w:type="gramEnd"/>
      <w:r w:rsidRPr="00466AD5">
        <w:t xml:space="preserve"> MiFIR where each party reports their view of the trade and the regulators then look for discrepancies. </w:t>
      </w:r>
    </w:p>
    <w:p w14:paraId="0BEC89C8" w14:textId="77777777" w:rsidR="00466AD5" w:rsidRDefault="00466AD5" w:rsidP="00926BDA"/>
    <w:p w14:paraId="6E39AACB" w14:textId="05E060C1" w:rsidR="00926BDA" w:rsidRDefault="00466AD5" w:rsidP="00926BDA">
      <w:r w:rsidRPr="00466AD5">
        <w:t>Another alternative is to soften the reconciliation requirements, e.g., fewer fields or greater tolerance levels.</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275EC94F" w:rsidR="00926BDA" w:rsidRDefault="00191228" w:rsidP="00926BDA">
      <w:permStart w:id="806124853" w:edGrp="everyone"/>
      <w:r w:rsidRPr="00191228">
        <w:t>Our members do not have a strong view. However, one option that has been suggested is the provision of the ability to allow reports to be batched across multiple days if they occur in very low volume (to the extent this is permitted under level 1 text). This may be appropriate for firms that undertake reportable activity on an infrequent basis and where lowering the reporting frequency would not diminish the efficacy of the reporting.</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044A2384" w:rsidR="00926BDA" w:rsidRDefault="0003528B" w:rsidP="00926BDA">
      <w:permStart w:id="1360161894" w:edGrp="everyone"/>
      <w:r w:rsidRPr="0003528B">
        <w:t>We refer to our response to Q16 where we feel that interim measures such as removing unnecessary reporting fields and moving to a common data dictionary will yield early benefits.</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 xml:space="preserve">Question for reporting entities under EMIR: what is your estimated average cost per transaction (on-going cost) to comply with the reporting requirements </w:t>
      </w:r>
      <w:r>
        <w:lastRenderedPageBreak/>
        <w:t>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w:t>
      </w:r>
      <w:r>
        <w:lastRenderedPageBreak/>
        <w:t>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9BE9" w14:textId="77777777" w:rsidR="00A62887" w:rsidRDefault="00A62887" w:rsidP="007E7997">
      <w:r>
        <w:separator/>
      </w:r>
    </w:p>
  </w:endnote>
  <w:endnote w:type="continuationSeparator" w:id="0">
    <w:p w14:paraId="02BD50D4" w14:textId="77777777" w:rsidR="00A62887" w:rsidRDefault="00A62887" w:rsidP="007E7997">
      <w:r>
        <w:continuationSeparator/>
      </w:r>
    </w:p>
  </w:endnote>
  <w:endnote w:type="continuationNotice" w:id="1">
    <w:p w14:paraId="2C4CF829" w14:textId="77777777" w:rsidR="00A62887" w:rsidRDefault="00A62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E9C3" w14:textId="77777777" w:rsidR="00A62887" w:rsidRDefault="00A62887" w:rsidP="007E7997">
      <w:r>
        <w:separator/>
      </w:r>
    </w:p>
  </w:footnote>
  <w:footnote w:type="continuationSeparator" w:id="0">
    <w:p w14:paraId="3CA4685E" w14:textId="77777777" w:rsidR="00A62887" w:rsidRDefault="00A62887" w:rsidP="007E7997">
      <w:r>
        <w:continuationSeparator/>
      </w:r>
    </w:p>
  </w:footnote>
  <w:footnote w:type="continuationNotice" w:id="1">
    <w:p w14:paraId="0792CAC3" w14:textId="77777777" w:rsidR="00A62887" w:rsidRDefault="00A62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6F0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412CF"/>
    <w:multiLevelType w:val="hybridMultilevel"/>
    <w:tmpl w:val="133A03D4"/>
    <w:lvl w:ilvl="0" w:tplc="26B2CE9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5"/>
  </w:num>
  <w:num w:numId="4" w16cid:durableId="1880320868">
    <w:abstractNumId w:val="4"/>
  </w:num>
  <w:num w:numId="5" w16cid:durableId="290864581">
    <w:abstractNumId w:val="14"/>
  </w:num>
  <w:num w:numId="6" w16cid:durableId="952590553">
    <w:abstractNumId w:val="27"/>
  </w:num>
  <w:num w:numId="7" w16cid:durableId="1159686949">
    <w:abstractNumId w:val="13"/>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2"/>
  </w:num>
  <w:num w:numId="16" w16cid:durableId="398749299">
    <w:abstractNumId w:val="26"/>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3"/>
  </w:num>
  <w:num w:numId="19" w16cid:durableId="558588771">
    <w:abstractNumId w:val="27"/>
  </w:num>
  <w:num w:numId="20" w16cid:durableId="1306933315">
    <w:abstractNumId w:val="11"/>
  </w:num>
  <w:num w:numId="21" w16cid:durableId="1623876054">
    <w:abstractNumId w:val="24"/>
  </w:num>
  <w:num w:numId="22" w16cid:durableId="783383837">
    <w:abstractNumId w:val="15"/>
  </w:num>
  <w:num w:numId="23" w16cid:durableId="2112964618">
    <w:abstractNumId w:val="21"/>
  </w:num>
  <w:num w:numId="24" w16cid:durableId="1958565453">
    <w:abstractNumId w:val="0"/>
  </w:num>
  <w:num w:numId="25" w16cid:durableId="1372725395">
    <w:abstractNumId w:val="19"/>
  </w:num>
  <w:num w:numId="26" w16cid:durableId="1686445133">
    <w:abstractNumId w:val="17"/>
  </w:num>
  <w:num w:numId="27" w16cid:durableId="1247768697">
    <w:abstractNumId w:val="10"/>
  </w:num>
  <w:num w:numId="28" w16cid:durableId="954170948">
    <w:abstractNumId w:val="2"/>
  </w:num>
  <w:num w:numId="29" w16cid:durableId="837424337">
    <w:abstractNumId w:val="18"/>
  </w:num>
  <w:num w:numId="30" w16cid:durableId="299657983">
    <w:abstractNumId w:val="5"/>
  </w:num>
  <w:num w:numId="31" w16cid:durableId="699822250">
    <w:abstractNumId w:val="16"/>
  </w:num>
  <w:num w:numId="32" w16cid:durableId="730466929">
    <w:abstractNumId w:val="12"/>
    <w:lvlOverride w:ilvl="0">
      <w:startOverride w:val="1"/>
    </w:lvlOverride>
  </w:num>
  <w:num w:numId="33" w16cid:durableId="552498262">
    <w:abstractNumId w:val="20"/>
  </w:num>
  <w:num w:numId="34" w16cid:durableId="1829132647">
    <w:abstractNumId w:val="12"/>
    <w:lvlOverride w:ilvl="0">
      <w:startOverride w:val="1"/>
    </w:lvlOverride>
  </w:num>
  <w:num w:numId="35" w16cid:durableId="1915964461">
    <w:abstractNumId w:val="12"/>
    <w:lvlOverride w:ilvl="0">
      <w:startOverride w:val="1"/>
    </w:lvlOverride>
  </w:num>
  <w:num w:numId="36" w16cid:durableId="1385182617">
    <w:abstractNumId w:val="12"/>
    <w:lvlOverride w:ilvl="0">
      <w:startOverride w:val="1"/>
    </w:lvlOverride>
  </w:num>
  <w:num w:numId="37" w16cid:durableId="162669567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037"/>
    <w:rsid w:val="00011CC1"/>
    <w:rsid w:val="00011F6C"/>
    <w:rsid w:val="0001249B"/>
    <w:rsid w:val="00012D68"/>
    <w:rsid w:val="000142BB"/>
    <w:rsid w:val="0001633D"/>
    <w:rsid w:val="00016D5B"/>
    <w:rsid w:val="0001726F"/>
    <w:rsid w:val="00020098"/>
    <w:rsid w:val="00020300"/>
    <w:rsid w:val="00021A9A"/>
    <w:rsid w:val="00022ADA"/>
    <w:rsid w:val="00024171"/>
    <w:rsid w:val="00026327"/>
    <w:rsid w:val="00027EC9"/>
    <w:rsid w:val="000310AB"/>
    <w:rsid w:val="00033934"/>
    <w:rsid w:val="0003528B"/>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6CF"/>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1904"/>
    <w:rsid w:val="0010364E"/>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228"/>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17692"/>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4E4F"/>
    <w:rsid w:val="00314F25"/>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0334"/>
    <w:rsid w:val="0039135B"/>
    <w:rsid w:val="00394FED"/>
    <w:rsid w:val="003A34E7"/>
    <w:rsid w:val="003A3CB1"/>
    <w:rsid w:val="003A3D55"/>
    <w:rsid w:val="003A5CC4"/>
    <w:rsid w:val="003A73A4"/>
    <w:rsid w:val="003B102E"/>
    <w:rsid w:val="003B26BA"/>
    <w:rsid w:val="003B4E3D"/>
    <w:rsid w:val="003B7E44"/>
    <w:rsid w:val="003C167E"/>
    <w:rsid w:val="003C481D"/>
    <w:rsid w:val="003C4EB5"/>
    <w:rsid w:val="003C729B"/>
    <w:rsid w:val="003D1099"/>
    <w:rsid w:val="003D2CED"/>
    <w:rsid w:val="003D344A"/>
    <w:rsid w:val="003D3BB8"/>
    <w:rsid w:val="003D72F4"/>
    <w:rsid w:val="003D7C07"/>
    <w:rsid w:val="003E13FD"/>
    <w:rsid w:val="003E1C24"/>
    <w:rsid w:val="003E61FC"/>
    <w:rsid w:val="003E7384"/>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8A6"/>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66AD5"/>
    <w:rsid w:val="0046761C"/>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680"/>
    <w:rsid w:val="004F0CF3"/>
    <w:rsid w:val="004F5740"/>
    <w:rsid w:val="004F58C9"/>
    <w:rsid w:val="005019F4"/>
    <w:rsid w:val="005028B9"/>
    <w:rsid w:val="00503A3F"/>
    <w:rsid w:val="00505E17"/>
    <w:rsid w:val="00511A59"/>
    <w:rsid w:val="00511C3B"/>
    <w:rsid w:val="00513DA2"/>
    <w:rsid w:val="00514440"/>
    <w:rsid w:val="005166C3"/>
    <w:rsid w:val="00520D31"/>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0EFF"/>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0C6A"/>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5855"/>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2887"/>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622"/>
    <w:rsid w:val="00AC79E0"/>
    <w:rsid w:val="00AD32CE"/>
    <w:rsid w:val="00AD389B"/>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6D6"/>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2A3D"/>
    <w:rsid w:val="00B335C4"/>
    <w:rsid w:val="00B3369E"/>
    <w:rsid w:val="00B33D9A"/>
    <w:rsid w:val="00B40401"/>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28C1"/>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26467"/>
    <w:rsid w:val="00E30004"/>
    <w:rsid w:val="00E31A5B"/>
    <w:rsid w:val="00E333AC"/>
    <w:rsid w:val="00E3456B"/>
    <w:rsid w:val="00E35C16"/>
    <w:rsid w:val="00E36085"/>
    <w:rsid w:val="00E36813"/>
    <w:rsid w:val="00E42382"/>
    <w:rsid w:val="00E603DF"/>
    <w:rsid w:val="00E636BB"/>
    <w:rsid w:val="00E63745"/>
    <w:rsid w:val="00E66134"/>
    <w:rsid w:val="00E6699F"/>
    <w:rsid w:val="00E67845"/>
    <w:rsid w:val="00E67B40"/>
    <w:rsid w:val="00E703AE"/>
    <w:rsid w:val="00E72373"/>
    <w:rsid w:val="00E72C92"/>
    <w:rsid w:val="00E74A40"/>
    <w:rsid w:val="00E76AF9"/>
    <w:rsid w:val="00E84EF0"/>
    <w:rsid w:val="00E8649C"/>
    <w:rsid w:val="00E86929"/>
    <w:rsid w:val="00E87886"/>
    <w:rsid w:val="00E87CDE"/>
    <w:rsid w:val="00E91330"/>
    <w:rsid w:val="00E91FC1"/>
    <w:rsid w:val="00E92D54"/>
    <w:rsid w:val="00E9323C"/>
    <w:rsid w:val="00E95FD8"/>
    <w:rsid w:val="00EA0283"/>
    <w:rsid w:val="00EA357E"/>
    <w:rsid w:val="00EA5DE1"/>
    <w:rsid w:val="00EA7D1A"/>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33D"/>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A77F8"/>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E50C8"/>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394FED"/>
    <w:pPr>
      <w:numPr>
        <w:numId w:val="37"/>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394FED"/>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B2B05731BEA4BA060E7AE02292DC2" ma:contentTypeVersion="18" ma:contentTypeDescription="Create a new document." ma:contentTypeScope="" ma:versionID="9654347641883154fdb61c53fdfb0dae">
  <xsd:schema xmlns:xsd="http://www.w3.org/2001/XMLSchema" xmlns:xs="http://www.w3.org/2001/XMLSchema" xmlns:p="http://schemas.microsoft.com/office/2006/metadata/properties" xmlns:ns2="dcf83731-3086-4851-8d0f-20613e53e4a8" xmlns:ns3="692c5ca5-c1a5-4565-81c0-9216d07212e2" targetNamespace="http://schemas.microsoft.com/office/2006/metadata/properties" ma:root="true" ma:fieldsID="e563b2dbc718a79f5df76d0adf76d302" ns2:_="" ns3:_="">
    <xsd:import namespace="dcf83731-3086-4851-8d0f-20613e53e4a8"/>
    <xsd:import namespace="692c5ca5-c1a5-4565-81c0-9216d07212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83731-3086-4851-8d0f-20613e53e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74c218-7e7d-42eb-a9d8-ee0b985739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c5ca5-c1a5-4565-81c0-9216d07212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ec9f1-8905-4462-bfd3-8e5974a0de00}" ma:internalName="TaxCatchAll" ma:showField="CatchAllData" ma:web="692c5ca5-c1a5-4565-81c0-9216d07212e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2c5ca5-c1a5-4565-81c0-9216d07212e2" xsi:nil="true"/>
    <lcf76f155ced4ddcb4097134ff3c332f xmlns="dcf83731-3086-4851-8d0f-20613e53e4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C7414-CE53-4F73-B819-936C02A56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83731-3086-4851-8d0f-20613e53e4a8"/>
    <ds:schemaRef ds:uri="692c5ca5-c1a5-4565-81c0-9216d0721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692c5ca5-c1a5-4565-81c0-9216d07212e2"/>
    <ds:schemaRef ds:uri="dcf83731-3086-4851-8d0f-20613e53e4a8"/>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18</TotalTime>
  <Pages>17</Pages>
  <Words>4892</Words>
  <Characters>27891</Characters>
  <Application>Microsoft Office Word</Application>
  <DocSecurity>8</DocSecurity>
  <Lines>232</Lines>
  <Paragraphs>65</Paragraphs>
  <ScaleCrop>false</ScaleCrop>
  <Company>ESMA</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Yuhang Wang</cp:lastModifiedBy>
  <cp:revision>34</cp:revision>
  <cp:lastPrinted>2017-07-24T14:47:00Z</cp:lastPrinted>
  <dcterms:created xsi:type="dcterms:W3CDTF">2025-09-17T11:01:00Z</dcterms:created>
  <dcterms:modified xsi:type="dcterms:W3CDTF">2025-09-17T15:15:00Z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0x010100260B2B05731BEA4BA060E7AE02292DC2</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y fmtid="{D5CDD505-2E9C-101B-9397-08002B2CF9AE}" pid="29" name="MediaServiceImageTags">
    <vt:lpwstr/>
  </property>
</Properties>
</file>