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hAnsiTheme="minorHAnsi" w:cstheme="minorBidi"/>
          <w:sz w:val="20"/>
          <w:szCs w:val="20"/>
        </w:rPr>
        <w:id w:val="-973058580"/>
        <w:docPartObj>
          <w:docPartGallery w:val="Cover Pages"/>
          <w:docPartUnique/>
        </w:docPartObj>
      </w:sdtPr>
      <w:sdtEndPr>
        <w:rPr>
          <w:highlight w:val="yellow"/>
        </w:rPr>
      </w:sdtEndPr>
      <w:sdtContent>
        <w:p w14:paraId="61BFF4B7" w14:textId="77777777" w:rsidR="00AF2EF7" w:rsidRPr="00B16706" w:rsidRDefault="00AF2EF7" w:rsidP="00AF2EF7">
          <w:pPr>
            <w:spacing w:line="276" w:lineRule="auto"/>
            <w:rPr>
              <w:rFonts w:asciiTheme="minorHAnsi" w:hAnsiTheme="minorHAnsi" w:cstheme="minorHAnsi"/>
              <w:color w:val="FF0000"/>
              <w:sz w:val="20"/>
              <w:szCs w:val="20"/>
            </w:rPr>
          </w:pPr>
        </w:p>
        <w:p w14:paraId="1C1BFAE2" w14:textId="77777777" w:rsidR="00AF2EF7" w:rsidRPr="00B16706" w:rsidRDefault="00AF2EF7" w:rsidP="00AF2EF7">
          <w:pPr>
            <w:spacing w:after="120" w:line="276" w:lineRule="auto"/>
            <w:rPr>
              <w:rFonts w:asciiTheme="minorHAnsi" w:hAnsiTheme="minorHAnsi" w:cstheme="minorHAnsi"/>
              <w:sz w:val="20"/>
              <w:szCs w:val="20"/>
            </w:rPr>
          </w:pPr>
        </w:p>
        <w:p w14:paraId="787460E0" w14:textId="77777777" w:rsidR="00AF2EF7" w:rsidRPr="00B16706" w:rsidRDefault="00AF2EF7" w:rsidP="00AF2EF7">
          <w:pPr>
            <w:spacing w:line="276" w:lineRule="auto"/>
            <w:rPr>
              <w:rFonts w:asciiTheme="minorHAnsi" w:hAnsiTheme="minorHAnsi" w:cstheme="minorHAnsi"/>
              <w:sz w:val="20"/>
              <w:szCs w:val="20"/>
            </w:rPr>
          </w:pPr>
        </w:p>
        <w:p w14:paraId="23B57B18" w14:textId="77777777" w:rsidR="00AF2EF7" w:rsidRPr="00B16706" w:rsidRDefault="00AF2EF7" w:rsidP="00AF2EF7">
          <w:pPr>
            <w:spacing w:line="276" w:lineRule="auto"/>
            <w:rPr>
              <w:rFonts w:asciiTheme="minorHAnsi" w:hAnsiTheme="minorHAnsi" w:cstheme="minorHAnsi"/>
              <w:sz w:val="20"/>
              <w:szCs w:val="20"/>
            </w:rPr>
          </w:pPr>
        </w:p>
        <w:tbl>
          <w:tblPr>
            <w:tblpPr w:leftFromText="8505" w:vertAnchor="page" w:horzAnchor="margin" w:tblpY="2571"/>
            <w:tblW w:w="10490" w:type="dxa"/>
            <w:tblLayout w:type="fixed"/>
            <w:tblCellMar>
              <w:left w:w="0" w:type="dxa"/>
              <w:right w:w="0" w:type="dxa"/>
            </w:tblCellMar>
            <w:tblLook w:val="01E0" w:firstRow="1" w:lastRow="1" w:firstColumn="1" w:lastColumn="1" w:noHBand="0" w:noVBand="0"/>
          </w:tblPr>
          <w:tblGrid>
            <w:gridCol w:w="10490"/>
          </w:tblGrid>
          <w:tr w:rsidR="000310AB" w:rsidRPr="00B16706" w14:paraId="2B695382" w14:textId="77777777" w:rsidTr="000310AB">
            <w:trPr>
              <w:trHeight w:hRule="exact" w:val="1492"/>
            </w:trPr>
            <w:tc>
              <w:tcPr>
                <w:tcW w:w="10490" w:type="dxa"/>
                <w:vAlign w:val="bottom"/>
              </w:tcPr>
              <w:p w14:paraId="0FBF0B89" w14:textId="77777777" w:rsidR="000310AB" w:rsidRPr="00FA64BE" w:rsidRDefault="000310AB" w:rsidP="000310AB">
                <w:pPr>
                  <w:pStyle w:val="Title"/>
                  <w:rPr>
                    <w:sz w:val="48"/>
                    <w:szCs w:val="48"/>
                  </w:rPr>
                </w:pPr>
                <w:r w:rsidRPr="00FA64BE">
                  <w:rPr>
                    <w:sz w:val="48"/>
                    <w:szCs w:val="48"/>
                  </w:rPr>
                  <w:t xml:space="preserve">Reply form </w:t>
                </w:r>
              </w:p>
              <w:p w14:paraId="2F2A3347" w14:textId="77777777" w:rsidR="000310AB" w:rsidRPr="00FA64BE" w:rsidRDefault="000310AB" w:rsidP="000310AB"/>
              <w:p w14:paraId="00FE0097" w14:textId="16164DCD" w:rsidR="000310AB" w:rsidRPr="00FA64BE" w:rsidRDefault="000310AB" w:rsidP="000310AB">
                <w:pPr>
                  <w:pStyle w:val="Title"/>
                  <w:spacing w:line="276" w:lineRule="auto"/>
                  <w:ind w:right="854"/>
                  <w:rPr>
                    <w:rFonts w:asciiTheme="minorHAnsi" w:hAnsiTheme="minorHAnsi" w:cstheme="minorHAnsi"/>
                    <w:sz w:val="24"/>
                    <w:szCs w:val="24"/>
                  </w:rPr>
                </w:pPr>
                <w:r>
                  <w:rPr>
                    <w:rFonts w:cs="Arial"/>
                    <w:color w:val="auto"/>
                    <w:sz w:val="24"/>
                    <w:szCs w:val="24"/>
                  </w:rPr>
                  <w:t>for</w:t>
                </w:r>
                <w:r w:rsidRPr="00FA64BE">
                  <w:rPr>
                    <w:rFonts w:cs="Arial"/>
                    <w:color w:val="auto"/>
                    <w:sz w:val="24"/>
                    <w:szCs w:val="24"/>
                  </w:rPr>
                  <w:t xml:space="preserve"> </w:t>
                </w:r>
                <w:r w:rsidRPr="00FA64BE">
                  <w:rPr>
                    <w:rFonts w:cs="Arial"/>
                    <w:bCs/>
                    <w:color w:val="auto"/>
                    <w:sz w:val="24"/>
                    <w:szCs w:val="24"/>
                  </w:rPr>
                  <w:t xml:space="preserve">the </w:t>
                </w:r>
                <w:r w:rsidR="00D40FA1">
                  <w:rPr>
                    <w:rFonts w:cs="Arial"/>
                    <w:bCs/>
                    <w:color w:val="auto"/>
                    <w:sz w:val="24"/>
                    <w:szCs w:val="24"/>
                  </w:rPr>
                  <w:t>Call for Evidence on a</w:t>
                </w:r>
                <w:r w:rsidR="006C791B">
                  <w:rPr>
                    <w:rFonts w:cs="Arial"/>
                    <w:bCs/>
                    <w:color w:val="auto"/>
                    <w:sz w:val="24"/>
                    <w:szCs w:val="24"/>
                  </w:rPr>
                  <w:t xml:space="preserve"> </w:t>
                </w:r>
                <w:r w:rsidR="005A5EF1">
                  <w:rPr>
                    <w:rFonts w:cs="Arial"/>
                    <w:bCs/>
                    <w:color w:val="auto"/>
                    <w:sz w:val="24"/>
                    <w:szCs w:val="24"/>
                  </w:rPr>
                  <w:t>C</w:t>
                </w:r>
                <w:r w:rsidR="006C791B" w:rsidRPr="006C791B">
                  <w:rPr>
                    <w:rFonts w:cs="Arial"/>
                    <w:bCs/>
                    <w:color w:val="auto"/>
                    <w:sz w:val="24"/>
                    <w:szCs w:val="24"/>
                  </w:rPr>
                  <w:t xml:space="preserve">omprehensive </w:t>
                </w:r>
                <w:r w:rsidR="005A5EF1">
                  <w:rPr>
                    <w:rFonts w:cs="Arial"/>
                    <w:bCs/>
                    <w:color w:val="auto"/>
                    <w:sz w:val="24"/>
                    <w:szCs w:val="24"/>
                  </w:rPr>
                  <w:t>A</w:t>
                </w:r>
                <w:r w:rsidR="006C791B" w:rsidRPr="006C791B">
                  <w:rPr>
                    <w:rFonts w:cs="Arial"/>
                    <w:bCs/>
                    <w:color w:val="auto"/>
                    <w:sz w:val="24"/>
                    <w:szCs w:val="24"/>
                  </w:rPr>
                  <w:t xml:space="preserve">pproach for the </w:t>
                </w:r>
                <w:r w:rsidR="005A5EF1">
                  <w:rPr>
                    <w:rFonts w:cs="Arial"/>
                    <w:bCs/>
                    <w:color w:val="auto"/>
                    <w:sz w:val="24"/>
                    <w:szCs w:val="24"/>
                  </w:rPr>
                  <w:t>S</w:t>
                </w:r>
                <w:r w:rsidR="006C791B" w:rsidRPr="006C791B">
                  <w:rPr>
                    <w:rFonts w:cs="Arial"/>
                    <w:bCs/>
                    <w:color w:val="auto"/>
                    <w:sz w:val="24"/>
                    <w:szCs w:val="24"/>
                  </w:rPr>
                  <w:t xml:space="preserve">implification of </w:t>
                </w:r>
                <w:r w:rsidR="005A5EF1">
                  <w:rPr>
                    <w:rFonts w:cs="Arial"/>
                    <w:bCs/>
                    <w:color w:val="auto"/>
                    <w:sz w:val="24"/>
                    <w:szCs w:val="24"/>
                  </w:rPr>
                  <w:t>F</w:t>
                </w:r>
                <w:r w:rsidR="006C791B" w:rsidRPr="006C791B">
                  <w:rPr>
                    <w:rFonts w:cs="Arial"/>
                    <w:bCs/>
                    <w:color w:val="auto"/>
                    <w:sz w:val="24"/>
                    <w:szCs w:val="24"/>
                  </w:rPr>
                  <w:t xml:space="preserve">inancial </w:t>
                </w:r>
                <w:r w:rsidR="005A5EF1">
                  <w:rPr>
                    <w:rFonts w:cs="Arial"/>
                    <w:bCs/>
                    <w:color w:val="auto"/>
                    <w:sz w:val="24"/>
                    <w:szCs w:val="24"/>
                  </w:rPr>
                  <w:t>T</w:t>
                </w:r>
                <w:r w:rsidR="006C791B" w:rsidRPr="006C791B">
                  <w:rPr>
                    <w:rFonts w:cs="Arial"/>
                    <w:bCs/>
                    <w:color w:val="auto"/>
                    <w:sz w:val="24"/>
                    <w:szCs w:val="24"/>
                  </w:rPr>
                  <w:t xml:space="preserve">ransaction </w:t>
                </w:r>
                <w:r w:rsidR="005A5EF1">
                  <w:rPr>
                    <w:rFonts w:cs="Arial"/>
                    <w:bCs/>
                    <w:color w:val="auto"/>
                    <w:sz w:val="24"/>
                    <w:szCs w:val="24"/>
                  </w:rPr>
                  <w:t>R</w:t>
                </w:r>
                <w:r w:rsidR="006C791B" w:rsidRPr="006C791B">
                  <w:rPr>
                    <w:rFonts w:cs="Arial"/>
                    <w:bCs/>
                    <w:color w:val="auto"/>
                    <w:sz w:val="24"/>
                    <w:szCs w:val="24"/>
                  </w:rPr>
                  <w:t>eporting</w:t>
                </w:r>
              </w:p>
            </w:tc>
          </w:tr>
          <w:tr w:rsidR="000310AB" w:rsidRPr="00B16706" w14:paraId="062F0352" w14:textId="77777777" w:rsidTr="000310AB">
            <w:trPr>
              <w:trHeight w:hRule="exact" w:val="747"/>
            </w:trPr>
            <w:tc>
              <w:tcPr>
                <w:tcW w:w="10490" w:type="dxa"/>
                <w:tcMar>
                  <w:top w:w="142" w:type="dxa"/>
                </w:tcMar>
              </w:tcPr>
              <w:p w14:paraId="02B573FB" w14:textId="77777777" w:rsidR="000310AB" w:rsidRPr="00B16706" w:rsidRDefault="000310AB" w:rsidP="000310AB">
                <w:pPr>
                  <w:pStyle w:val="Heading2"/>
                  <w:numPr>
                    <w:ilvl w:val="0"/>
                    <w:numId w:val="0"/>
                  </w:numPr>
                  <w:spacing w:before="0"/>
                  <w:rPr>
                    <w:sz w:val="22"/>
                    <w:szCs w:val="22"/>
                  </w:rPr>
                </w:pPr>
              </w:p>
            </w:tc>
          </w:tr>
        </w:tbl>
        <w:p w14:paraId="04401C2B" w14:textId="77777777" w:rsidR="00AF2EF7" w:rsidRPr="00B16706" w:rsidRDefault="00AF2EF7" w:rsidP="00AF2EF7">
          <w:pPr>
            <w:spacing w:line="276" w:lineRule="auto"/>
            <w:rPr>
              <w:rFonts w:asciiTheme="minorHAnsi" w:hAnsiTheme="minorHAnsi" w:cstheme="minorHAnsi"/>
              <w:sz w:val="20"/>
              <w:szCs w:val="20"/>
            </w:rPr>
          </w:pPr>
        </w:p>
        <w:p w14:paraId="5B933631" w14:textId="2F88045F" w:rsidR="00AF2EF7" w:rsidRPr="00B16706" w:rsidRDefault="00FA64BE" w:rsidP="00FA64BE">
          <w:pPr>
            <w:pStyle w:val="Heading2"/>
            <w:numPr>
              <w:ilvl w:val="0"/>
              <w:numId w:val="0"/>
            </w:numPr>
            <w:sectPr w:rsidR="00AF2EF7" w:rsidRPr="00B16706" w:rsidSect="007E7997">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r>
            <w:rPr>
              <w:noProof/>
            </w:rPr>
            <mc:AlternateContent>
              <mc:Choice Requires="wps">
                <w:drawing>
                  <wp:anchor distT="0" distB="0" distL="114300" distR="114300" simplePos="0" relativeHeight="251658240" behindDoc="1" locked="1" layoutInCell="1" allowOverlap="0" wp14:anchorId="101C8A94" wp14:editId="1D86A440">
                    <wp:simplePos x="0" y="0"/>
                    <wp:positionH relativeFrom="page">
                      <wp:align>left</wp:align>
                    </wp:positionH>
                    <wp:positionV relativeFrom="paragraph">
                      <wp:posOffset>-466725</wp:posOffset>
                    </wp:positionV>
                    <wp:extent cx="7570470" cy="9777095"/>
                    <wp:effectExtent l="0" t="0" r="0" b="0"/>
                    <wp:wrapNone/>
                    <wp:docPr id="8" name="Freeform: Shape 8"/>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6"/>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CE726E" id="Freeform: Shape 8" o:spid="_x0000_s1026" style="position:absolute;margin-left:0;margin-top:-36.75pt;width:596.1pt;height:769.8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" o:allowoverlap="f" path="m2939613,926867c5038819,-714379,6826523,267027,7569200,545025r,2628099l7569200,9779055r,l,9779055r,l,3173124,2939613,926867xe" stroked="f" strokeweight="1pt">
                    <v:fill r:id="rId17"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p w14:paraId="50F24FB7"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r w:rsidRPr="00B16706">
            <w:rPr>
              <w:rFonts w:asciiTheme="majorHAnsi" w:eastAsiaTheme="majorEastAsia" w:hAnsiTheme="majorHAnsi" w:cstheme="majorBidi"/>
              <w:b/>
              <w:sz w:val="22"/>
              <w:szCs w:val="20"/>
              <w:lang w:eastAsia="en-US"/>
            </w:rPr>
            <w:lastRenderedPageBreak/>
            <w:t xml:space="preserve">Responding to this paper </w:t>
          </w:r>
        </w:p>
        <w:p w14:paraId="46CF9AD5" w14:textId="41E1E65E"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invites comments on all matters in this </w:t>
          </w:r>
          <w:r w:rsidR="00CD7091">
            <w:rPr>
              <w:rFonts w:asciiTheme="minorHAnsi" w:eastAsiaTheme="minorEastAsia" w:hAnsiTheme="minorHAnsi" w:cstheme="minorBidi"/>
              <w:sz w:val="18"/>
              <w:szCs w:val="16"/>
              <w:lang w:eastAsia="en-US"/>
            </w:rPr>
            <w:t>call for evidence</w:t>
          </w:r>
          <w:r w:rsidRPr="00B16706">
            <w:rPr>
              <w:rFonts w:asciiTheme="minorHAnsi" w:eastAsiaTheme="minorEastAsia" w:hAnsiTheme="minorHAnsi" w:cstheme="minorBidi"/>
              <w:sz w:val="18"/>
              <w:szCs w:val="16"/>
              <w:lang w:eastAsia="en-US"/>
            </w:rPr>
            <w:t xml:space="preserve"> and </w:t>
          </w:r>
          <w:r w:rsidRPr="00B16706">
            <w:rPr>
              <w:rFonts w:asciiTheme="minorHAnsi" w:eastAsiaTheme="minorEastAsia" w:hAnsiTheme="minorHAnsi" w:cstheme="minorBidi"/>
              <w:sz w:val="18"/>
              <w:szCs w:val="16"/>
              <w:u w:val="dottedHeavy" w:color="BF8F00" w:themeColor="accent4" w:themeShade="BF"/>
              <w:lang w:eastAsia="en-US"/>
            </w:rPr>
            <w:t>in particular on</w:t>
          </w:r>
          <w:r w:rsidRPr="00B16706">
            <w:rPr>
              <w:rFonts w:asciiTheme="minorHAnsi" w:eastAsiaTheme="minorEastAsia" w:hAnsiTheme="minorHAnsi" w:cstheme="minorBidi"/>
              <w:sz w:val="18"/>
              <w:szCs w:val="16"/>
              <w:lang w:eastAsia="en-US"/>
            </w:rPr>
            <w:t xml:space="preserve"> the specific questions. Comments are most helpful if they:</w:t>
          </w:r>
        </w:p>
        <w:p w14:paraId="2573C72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respond to the question stated;</w:t>
          </w:r>
        </w:p>
        <w:p w14:paraId="65ACF578"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indicate the specific question to which the comment relates;</w:t>
          </w:r>
        </w:p>
        <w:p w14:paraId="3751DA8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contain a clear rationale; and</w:t>
          </w:r>
        </w:p>
        <w:p w14:paraId="5A3A4AE2"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describe any alternatives ESMA should consider.</w:t>
          </w:r>
        </w:p>
        <w:p w14:paraId="09579D04" w14:textId="5D303D54"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will consider all comments received </w:t>
          </w:r>
          <w:r w:rsidRPr="00A76C98">
            <w:rPr>
              <w:rFonts w:asciiTheme="minorHAnsi" w:eastAsiaTheme="minorEastAsia" w:hAnsiTheme="minorHAnsi" w:cstheme="minorBidi"/>
              <w:sz w:val="18"/>
              <w:szCs w:val="16"/>
              <w:lang w:eastAsia="en-US"/>
            </w:rPr>
            <w:t xml:space="preserve">by </w:t>
          </w:r>
          <w:r w:rsidR="00BF7E68">
            <w:rPr>
              <w:rFonts w:asciiTheme="minorHAnsi" w:eastAsiaTheme="minorEastAsia" w:hAnsiTheme="minorHAnsi" w:cstheme="minorBidi"/>
              <w:b/>
              <w:bCs/>
              <w:sz w:val="18"/>
              <w:szCs w:val="16"/>
              <w:lang w:eastAsia="en-US"/>
            </w:rPr>
            <w:t>19</w:t>
          </w:r>
          <w:r w:rsidR="005B4A69" w:rsidRPr="005B4A69">
            <w:rPr>
              <w:rFonts w:asciiTheme="minorHAnsi" w:eastAsiaTheme="minorEastAsia" w:hAnsiTheme="minorHAnsi" w:cstheme="minorBidi"/>
              <w:b/>
              <w:bCs/>
              <w:sz w:val="18"/>
              <w:szCs w:val="16"/>
              <w:vertAlign w:val="superscript"/>
              <w:lang w:eastAsia="en-US"/>
            </w:rPr>
            <w:t>th</w:t>
          </w:r>
          <w:r w:rsidR="005B4A69" w:rsidRPr="005B4A69">
            <w:rPr>
              <w:rFonts w:asciiTheme="minorHAnsi" w:eastAsiaTheme="minorEastAsia" w:hAnsiTheme="minorHAnsi" w:cstheme="minorBidi"/>
              <w:sz w:val="18"/>
              <w:szCs w:val="16"/>
              <w:lang w:eastAsia="en-US"/>
            </w:rPr>
            <w:t xml:space="preserve"> </w:t>
          </w:r>
          <w:r w:rsidR="004D19BD">
            <w:rPr>
              <w:rFonts w:asciiTheme="minorHAnsi" w:eastAsiaTheme="minorEastAsia" w:hAnsiTheme="minorHAnsi" w:cstheme="minorBidi"/>
              <w:b/>
              <w:sz w:val="18"/>
              <w:szCs w:val="16"/>
              <w:lang w:eastAsia="en-US"/>
            </w:rPr>
            <w:t>September</w:t>
          </w:r>
          <w:r w:rsidR="00C17150">
            <w:rPr>
              <w:rFonts w:asciiTheme="minorHAnsi" w:eastAsiaTheme="minorEastAsia" w:hAnsiTheme="minorHAnsi" w:cstheme="minorBidi"/>
              <w:b/>
              <w:sz w:val="18"/>
              <w:szCs w:val="16"/>
              <w:lang w:eastAsia="en-US"/>
            </w:rPr>
            <w:t xml:space="preserve"> 2025</w:t>
          </w:r>
          <w:r w:rsidR="002C76AE" w:rsidRPr="00A76C98">
            <w:rPr>
              <w:rFonts w:asciiTheme="minorHAnsi" w:eastAsiaTheme="minorEastAsia" w:hAnsiTheme="minorHAnsi" w:cstheme="minorBidi"/>
              <w:b/>
              <w:sz w:val="18"/>
              <w:szCs w:val="16"/>
              <w:lang w:eastAsia="en-US"/>
            </w:rPr>
            <w:t>.</w:t>
          </w:r>
          <w:r w:rsidR="002C76AE">
            <w:rPr>
              <w:rFonts w:asciiTheme="minorHAnsi" w:eastAsiaTheme="minorEastAsia" w:hAnsiTheme="minorHAnsi" w:cstheme="minorBidi"/>
              <w:b/>
              <w:sz w:val="18"/>
              <w:szCs w:val="16"/>
              <w:lang w:eastAsia="en-US"/>
            </w:rPr>
            <w:t xml:space="preserve"> </w:t>
          </w:r>
          <w:r w:rsidRPr="00B16706">
            <w:rPr>
              <w:rFonts w:asciiTheme="minorHAnsi" w:eastAsiaTheme="minorEastAsia" w:hAnsiTheme="minorHAnsi" w:cstheme="minorBidi"/>
              <w:b/>
              <w:sz w:val="18"/>
              <w:szCs w:val="16"/>
              <w:lang w:eastAsia="en-US"/>
            </w:rPr>
            <w:t xml:space="preserve"> </w:t>
          </w:r>
        </w:p>
        <w:p w14:paraId="71848F2A" w14:textId="77777777" w:rsidR="00C85C8B" w:rsidRPr="00B16706" w:rsidRDefault="00C85C8B" w:rsidP="00C85C8B">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Instructions</w:t>
          </w:r>
        </w:p>
        <w:p w14:paraId="057542CF" w14:textId="31609EB1" w:rsidR="00C85C8B" w:rsidRPr="00B16706" w:rsidRDefault="00C85C8B" w:rsidP="00C85C8B">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In order to facilitate analysis of responses to the </w:t>
          </w:r>
          <w:r w:rsidR="00C97337">
            <w:rPr>
              <w:rFonts w:asciiTheme="minorHAnsi" w:eastAsiaTheme="minorEastAsia" w:hAnsiTheme="minorHAnsi" w:cstheme="minorBidi"/>
              <w:sz w:val="18"/>
              <w:szCs w:val="16"/>
              <w:lang w:eastAsia="en-US"/>
            </w:rPr>
            <w:t>Call for Evidence</w:t>
          </w:r>
          <w:r w:rsidRPr="00B16706">
            <w:rPr>
              <w:rFonts w:asciiTheme="minorHAnsi" w:eastAsiaTheme="minorEastAsia" w:hAnsiTheme="minorHAnsi" w:cstheme="minorBidi"/>
              <w:sz w:val="18"/>
              <w:szCs w:val="16"/>
              <w:lang w:eastAsia="en-US"/>
            </w:rPr>
            <w:t>, respondents are requested to follow the below steps when preparing and submitting their response:</w:t>
          </w:r>
        </w:p>
        <w:p w14:paraId="7AAE3F58" w14:textId="495A59C6" w:rsidR="00A409C2"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Insert your responses to the questions in the </w:t>
          </w:r>
          <w:r w:rsidR="00C97337">
            <w:rPr>
              <w:rFonts w:eastAsiaTheme="minorEastAsia" w:cstheme="minorBidi"/>
              <w:sz w:val="18"/>
              <w:szCs w:val="16"/>
              <w:lang w:eastAsia="en-US"/>
            </w:rPr>
            <w:t>Call for Evidence</w:t>
          </w:r>
          <w:r w:rsidRPr="00A409C2">
            <w:rPr>
              <w:rFonts w:eastAsiaTheme="minorEastAsia" w:cstheme="minorBidi"/>
              <w:sz w:val="18"/>
              <w:szCs w:val="16"/>
              <w:lang w:eastAsia="en-US"/>
            </w:rPr>
            <w:t xml:space="preserve"> in the present response form. </w:t>
          </w:r>
        </w:p>
        <w:p w14:paraId="28D63108" w14:textId="0392516A" w:rsidR="00A409C2" w:rsidRPr="00871163" w:rsidRDefault="008279D3" w:rsidP="00A409C2">
          <w:pPr>
            <w:pStyle w:val="ListParagraph"/>
            <w:numPr>
              <w:ilvl w:val="0"/>
              <w:numId w:val="29"/>
            </w:numPr>
            <w:spacing w:after="250" w:line="276" w:lineRule="auto"/>
            <w:rPr>
              <w:rFonts w:eastAsiaTheme="minorEastAsia" w:cstheme="minorBidi"/>
              <w:sz w:val="18"/>
              <w:szCs w:val="16"/>
              <w:u w:val="single"/>
              <w:lang w:eastAsia="en-US"/>
            </w:rPr>
          </w:pPr>
          <w:r>
            <w:rPr>
              <w:rFonts w:eastAsiaTheme="minorEastAsia" w:cstheme="minorBidi"/>
              <w:sz w:val="18"/>
              <w:szCs w:val="16"/>
              <w:lang w:eastAsia="en-US"/>
            </w:rPr>
            <w:t>U</w:t>
          </w:r>
          <w:r w:rsidR="00A409C2" w:rsidRPr="00A409C2">
            <w:rPr>
              <w:rFonts w:eastAsiaTheme="minorEastAsia" w:cstheme="minorBidi"/>
              <w:sz w:val="18"/>
              <w:szCs w:val="16"/>
              <w:lang w:eastAsia="en-US"/>
            </w:rPr>
            <w:t>se this form and send your responses in Word format (</w:t>
          </w:r>
          <w:r w:rsidR="00A409C2" w:rsidRPr="00871163">
            <w:rPr>
              <w:rFonts w:eastAsiaTheme="minorEastAsia" w:cstheme="minorBidi"/>
              <w:b/>
              <w:bCs/>
              <w:sz w:val="18"/>
              <w:szCs w:val="16"/>
              <w:u w:val="single"/>
              <w:lang w:eastAsia="en-US"/>
            </w:rPr>
            <w:t>pdf documents will not be considered except for annexes</w:t>
          </w:r>
          <w:r w:rsidR="00A409C2" w:rsidRPr="00871163">
            <w:rPr>
              <w:rFonts w:eastAsiaTheme="minorEastAsia" w:cstheme="minorBidi"/>
              <w:sz w:val="18"/>
              <w:szCs w:val="16"/>
              <w:u w:val="single"/>
              <w:lang w:eastAsia="en-US"/>
            </w:rPr>
            <w:t>);</w:t>
          </w:r>
        </w:p>
        <w:p w14:paraId="6692798E" w14:textId="51F62ACA"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Please do not remove tags of the type &lt;ESMA_QUESTION</w:t>
          </w:r>
          <w:r w:rsidR="007148CC" w:rsidRPr="00A409C2">
            <w:rPr>
              <w:rFonts w:eastAsiaTheme="minorEastAsia" w:cstheme="minorBidi"/>
              <w:sz w:val="18"/>
              <w:szCs w:val="16"/>
              <w:lang w:eastAsia="en-US"/>
            </w:rPr>
            <w:t xml:space="preserve"> </w:t>
          </w:r>
          <w:r w:rsidRPr="00A409C2">
            <w:rPr>
              <w:rFonts w:eastAsiaTheme="minorEastAsia" w:cstheme="minorBidi"/>
              <w:sz w:val="18"/>
              <w:szCs w:val="16"/>
              <w:lang w:eastAsia="en-US"/>
            </w:rPr>
            <w:t>_</w:t>
          </w:r>
          <w:r w:rsidR="00340647">
            <w:rPr>
              <w:rFonts w:eastAsiaTheme="minorEastAsia" w:cstheme="minorBidi"/>
              <w:sz w:val="18"/>
              <w:szCs w:val="16"/>
              <w:lang w:eastAsia="en-US"/>
            </w:rPr>
            <w:t>CASR</w:t>
          </w:r>
          <w:r w:rsidRPr="00A409C2">
            <w:rPr>
              <w:rFonts w:eastAsiaTheme="minorEastAsia" w:cstheme="minorBidi"/>
              <w:sz w:val="18"/>
              <w:szCs w:val="16"/>
              <w:lang w:eastAsia="en-US"/>
            </w:rPr>
            <w:t>_1&gt;. Your response to each question has to be framed by the two tags corresponding to the question.</w:t>
          </w:r>
        </w:p>
        <w:p w14:paraId="1C4E226A" w14:textId="1D43AA8A"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If you do not wish to respond to a given question, please do not delete it but simply leave the text “TYPE YOUR TEXT HERE” between the tags.</w:t>
          </w:r>
        </w:p>
        <w:p w14:paraId="7C8B1093" w14:textId="019DBA5D"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When you have drafted your response, name your response form according to the following convention: ESMA_</w:t>
          </w:r>
          <w:r w:rsidR="00340647">
            <w:rPr>
              <w:rFonts w:eastAsiaTheme="minorEastAsia" w:cstheme="minorBidi"/>
              <w:sz w:val="18"/>
              <w:szCs w:val="16"/>
              <w:lang w:eastAsia="en-US"/>
            </w:rPr>
            <w:t>CASR</w:t>
          </w:r>
          <w:r w:rsidRPr="00A409C2">
            <w:rPr>
              <w:rFonts w:eastAsiaTheme="minorEastAsia" w:cstheme="minorBidi"/>
              <w:sz w:val="18"/>
              <w:szCs w:val="16"/>
              <w:lang w:eastAsia="en-US"/>
            </w:rPr>
            <w:t>_nameofrespondent_RESPONSEFORM. For example, for a respondent named ABCD, the response form would be entitled ESMA_</w:t>
          </w:r>
          <w:r w:rsidR="00340647">
            <w:rPr>
              <w:rFonts w:eastAsiaTheme="minorEastAsia" w:cstheme="minorBidi"/>
              <w:sz w:val="18"/>
              <w:szCs w:val="16"/>
              <w:lang w:eastAsia="en-US"/>
            </w:rPr>
            <w:t>CASR</w:t>
          </w:r>
          <w:r w:rsidRPr="00A409C2">
            <w:rPr>
              <w:rFonts w:eastAsiaTheme="minorEastAsia" w:cstheme="minorBidi"/>
              <w:sz w:val="18"/>
              <w:szCs w:val="16"/>
              <w:lang w:eastAsia="en-US"/>
            </w:rPr>
            <w:t>_ABCD_RESPONSEFORM.</w:t>
          </w:r>
        </w:p>
        <w:p w14:paraId="28EEA743" w14:textId="0DC50177" w:rsidR="00A02199" w:rsidRPr="00A409C2" w:rsidRDefault="00B16706" w:rsidP="00AF2EF7">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Upload the form containing your responses, </w:t>
          </w:r>
          <w:r w:rsidRPr="00A409C2">
            <w:rPr>
              <w:rFonts w:eastAsiaTheme="minorEastAsia" w:cstheme="minorBidi"/>
              <w:b/>
              <w:bCs/>
              <w:sz w:val="18"/>
              <w:szCs w:val="16"/>
              <w:lang w:eastAsia="en-US"/>
            </w:rPr>
            <w:t>in Word format</w:t>
          </w:r>
          <w:r w:rsidRPr="00A409C2">
            <w:rPr>
              <w:rFonts w:eastAsiaTheme="minorEastAsia" w:cstheme="minorBidi"/>
              <w:sz w:val="18"/>
              <w:szCs w:val="16"/>
              <w:lang w:eastAsia="en-US"/>
            </w:rPr>
            <w:t xml:space="preserve">, to ESMA’s website (www.esma.europa.eu under the heading “Your input – Open Consultations” -&gt;  </w:t>
          </w:r>
          <w:r w:rsidR="00340647">
            <w:rPr>
              <w:rFonts w:eastAsiaTheme="minorEastAsia" w:cstheme="minorBidi"/>
              <w:sz w:val="18"/>
              <w:szCs w:val="16"/>
              <w:lang w:eastAsia="en-US"/>
            </w:rPr>
            <w:t>Call for evidence on a comprehensive approach for the simplification of financial transaction reporting</w:t>
          </w:r>
          <w:r w:rsidR="00A409C2" w:rsidRPr="00A409C2">
            <w:rPr>
              <w:rFonts w:eastAsiaTheme="minorEastAsia" w:cstheme="minorBidi"/>
              <w:sz w:val="18"/>
              <w:szCs w:val="16"/>
              <w:lang w:eastAsia="en-US"/>
            </w:rPr>
            <w:t xml:space="preserve">”). </w:t>
          </w:r>
        </w:p>
        <w:p w14:paraId="6BB993D0" w14:textId="77777777"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Publication of responses</w:t>
          </w:r>
        </w:p>
        <w:p w14:paraId="214D8BBA" w14:textId="7E7B7DDF"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All contributions received will be published following the close of the consultation, unless you request otherwise. Please clearly and prominently indicate in your submission any part you do not wish to be </w:t>
          </w:r>
          <w:r w:rsidR="00896D5B" w:rsidRPr="00B16706">
            <w:rPr>
              <w:rFonts w:asciiTheme="minorHAnsi" w:eastAsiaTheme="minorEastAsia" w:hAnsiTheme="minorHAnsi" w:cstheme="minorBidi"/>
              <w:sz w:val="18"/>
              <w:szCs w:val="16"/>
              <w:lang w:eastAsia="en-US"/>
            </w:rPr>
            <w:t>publicly</w:t>
          </w:r>
          <w:r w:rsidRPr="00B16706">
            <w:rPr>
              <w:rFonts w:asciiTheme="minorHAnsi" w:eastAsiaTheme="minorEastAsia" w:hAnsiTheme="minorHAnsi" w:cstheme="minorBidi"/>
              <w:sz w:val="18"/>
              <w:szCs w:val="16"/>
              <w:lang w:eastAsia="en-US"/>
            </w:rPr>
            <w:t xml:space="preserve">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Data protection</w:t>
          </w:r>
        </w:p>
        <w:p w14:paraId="1D46B82F"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Information on data protection can be found at </w:t>
          </w:r>
          <w:hyperlink r:id="rId18" w:history="1">
            <w:r w:rsidRPr="00B16706">
              <w:rPr>
                <w:rFonts w:asciiTheme="minorHAnsi" w:eastAsiaTheme="minorEastAsia" w:hAnsiTheme="minorHAnsi" w:cstheme="minorBidi"/>
                <w:color w:val="0563C1" w:themeColor="hyperlink"/>
                <w:sz w:val="18"/>
                <w:szCs w:val="16"/>
                <w:u w:val="single"/>
                <w:lang w:eastAsia="en-US"/>
              </w:rPr>
              <w:t>www.esma.europa.eu</w:t>
            </w:r>
          </w:hyperlink>
          <w:r w:rsidRPr="00B16706">
            <w:rPr>
              <w:rFonts w:asciiTheme="minorHAnsi" w:eastAsiaTheme="minorEastAsia" w:hAnsiTheme="minorHAnsi" w:cstheme="minorBidi"/>
              <w:sz w:val="18"/>
              <w:szCs w:val="16"/>
              <w:lang w:eastAsia="en-US"/>
            </w:rPr>
            <w:t xml:space="preserve"> under the heading </w:t>
          </w:r>
          <w:hyperlink r:id="rId19" w:history="1">
            <w:r w:rsidRPr="00B16706">
              <w:rPr>
                <w:rFonts w:asciiTheme="minorHAnsi" w:eastAsiaTheme="minorEastAsia" w:hAnsiTheme="minorHAnsi" w:cstheme="minorBidi"/>
                <w:color w:val="0563C1" w:themeColor="hyperlink"/>
                <w:sz w:val="18"/>
                <w:szCs w:val="16"/>
                <w:u w:val="single"/>
                <w:lang w:eastAsia="en-US"/>
              </w:rPr>
              <w:t>Legal Notice</w:t>
            </w:r>
          </w:hyperlink>
          <w:r w:rsidRPr="00B16706">
            <w:rPr>
              <w:rFonts w:asciiTheme="minorHAnsi" w:eastAsiaTheme="minorEastAsia" w:hAnsiTheme="minorHAnsi" w:cstheme="minorBidi"/>
              <w:sz w:val="18"/>
              <w:szCs w:val="16"/>
              <w:lang w:eastAsia="en-US"/>
            </w:rPr>
            <w:t>.</w:t>
          </w:r>
        </w:p>
        <w:p w14:paraId="7C02CD7B" w14:textId="1F4A0C5A" w:rsidR="00AF2EF7" w:rsidRPr="00B16706" w:rsidRDefault="00AF2EF7" w:rsidP="00AF2EF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b/>
              <w:sz w:val="18"/>
              <w:szCs w:val="16"/>
              <w:lang w:eastAsia="en-US"/>
            </w:rPr>
            <w:lastRenderedPageBreak/>
            <w:t>Who should read this paper</w:t>
          </w:r>
        </w:p>
      </w:sdtContent>
    </w:sdt>
    <w:p w14:paraId="230BBB13" w14:textId="77777777" w:rsidR="00F954EE" w:rsidRPr="00F954EE" w:rsidRDefault="00F954EE" w:rsidP="00F954EE">
      <w:pPr>
        <w:pStyle w:val="Heading1"/>
        <w:numPr>
          <w:ilvl w:val="0"/>
          <w:numId w:val="0"/>
        </w:numPr>
        <w:spacing w:line="276" w:lineRule="auto"/>
        <w:rPr>
          <w:rFonts w:ascii="Arial" w:eastAsia="Times New Roman" w:hAnsi="Arial" w:cs="Arial"/>
          <w:b w:val="0"/>
          <w:sz w:val="18"/>
          <w:szCs w:val="18"/>
          <w:lang w:eastAsia="it-IT"/>
        </w:rPr>
      </w:pPr>
      <w:r w:rsidRPr="00F954EE">
        <w:rPr>
          <w:rFonts w:ascii="Arial" w:eastAsia="Times New Roman" w:hAnsi="Arial" w:cs="Arial"/>
          <w:b w:val="0"/>
          <w:sz w:val="18"/>
          <w:szCs w:val="18"/>
          <w:lang w:eastAsia="it-IT"/>
        </w:rPr>
        <w:t xml:space="preserve">This paper is primarily addressed to all financial market participants and in particular reporting entities and market infrastructures, as well as to trade associations and other stakeholders involved in financial regulation, investor education, and retail investment market developments.  It seeks input on major cost drivers linked to derivative regulatory reporting and the identification of possibilities on integration, streamlining and simplification. </w:t>
      </w:r>
    </w:p>
    <w:p w14:paraId="14147BD5" w14:textId="77777777" w:rsidR="00F954EE" w:rsidRPr="00F954EE" w:rsidRDefault="00F954EE" w:rsidP="00F954EE">
      <w:pPr>
        <w:pStyle w:val="Heading1"/>
        <w:numPr>
          <w:ilvl w:val="0"/>
          <w:numId w:val="0"/>
        </w:numPr>
        <w:spacing w:line="276" w:lineRule="auto"/>
        <w:rPr>
          <w:rFonts w:ascii="Arial" w:eastAsia="Times New Roman" w:hAnsi="Arial" w:cs="Arial"/>
          <w:b w:val="0"/>
          <w:sz w:val="18"/>
          <w:szCs w:val="18"/>
          <w:lang w:eastAsia="it-IT"/>
        </w:rPr>
      </w:pPr>
      <w:r w:rsidRPr="00F954EE">
        <w:rPr>
          <w:rFonts w:ascii="Arial" w:eastAsia="Times New Roman" w:hAnsi="Arial" w:cs="Arial"/>
          <w:b w:val="0"/>
          <w:sz w:val="18"/>
          <w:szCs w:val="18"/>
          <w:lang w:eastAsia="it-IT"/>
        </w:rPr>
        <w:t xml:space="preserve">The paper is also relevant to competent authorities, with competences in the context of MiFIR, EMIR, SFTR regulation. </w:t>
      </w:r>
    </w:p>
    <w:p w14:paraId="1F90B8D3" w14:textId="6DE5C6E2" w:rsidR="00C85C8B" w:rsidRDefault="00AF2EF7" w:rsidP="008279D3">
      <w:pPr>
        <w:pStyle w:val="Heading1"/>
        <w:numPr>
          <w:ilvl w:val="0"/>
          <w:numId w:val="0"/>
        </w:numPr>
        <w:spacing w:line="276" w:lineRule="auto"/>
        <w:rPr>
          <w:rFonts w:asciiTheme="minorHAnsi" w:hAnsiTheme="minorHAnsi" w:cstheme="minorHAnsi"/>
          <w:sz w:val="20"/>
          <w:szCs w:val="20"/>
        </w:rPr>
      </w:pPr>
      <w:r w:rsidRPr="00B16706">
        <w:rPr>
          <w:rFonts w:asciiTheme="minorHAnsi" w:hAnsiTheme="minorHAnsi" w:cstheme="minorHAnsi"/>
          <w:sz w:val="20"/>
          <w:szCs w:val="20"/>
        </w:rPr>
        <w:br w:type="page"/>
      </w:r>
      <w:bookmarkStart w:id="0" w:name="_Toc515564428"/>
    </w:p>
    <w:p w14:paraId="16A587D0" w14:textId="77777777" w:rsidR="008279D3" w:rsidRPr="008279D3" w:rsidRDefault="008279D3" w:rsidP="008279D3"/>
    <w:p w14:paraId="622C18E8" w14:textId="77777777" w:rsidR="00C85C8B" w:rsidRPr="00B16706" w:rsidRDefault="00C85C8B" w:rsidP="00C85C8B">
      <w:pPr>
        <w:keepNext/>
        <w:keepLines/>
        <w:spacing w:before="320" w:after="250" w:line="276" w:lineRule="auto"/>
        <w:jc w:val="both"/>
        <w:outlineLvl w:val="0"/>
        <w:rPr>
          <w:rFonts w:asciiTheme="majorHAnsi" w:eastAsiaTheme="majorEastAsia" w:hAnsiTheme="majorHAnsi" w:cstheme="majorBidi"/>
          <w:b/>
          <w:lang w:eastAsia="en-US"/>
        </w:rPr>
      </w:pPr>
      <w:r w:rsidRPr="00B16706">
        <w:rPr>
          <w:rFonts w:asciiTheme="majorHAnsi" w:eastAsiaTheme="majorEastAsia" w:hAnsiTheme="majorHAnsi" w:cstheme="majorBidi"/>
          <w:b/>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B16706" w14:paraId="63AA68E2" w14:textId="77777777" w:rsidTr="00C16775">
        <w:tc>
          <w:tcPr>
            <w:tcW w:w="3929" w:type="dxa"/>
          </w:tcPr>
          <w:p w14:paraId="50C47271" w14:textId="77777777" w:rsidR="00C85C8B" w:rsidRPr="00B16706" w:rsidRDefault="00C85C8B" w:rsidP="00C85C8B">
            <w:pPr>
              <w:rPr>
                <w:rFonts w:ascii="Arial" w:hAnsi="Arial" w:cs="Arial"/>
                <w:sz w:val="18"/>
                <w:szCs w:val="20"/>
                <w:lang w:eastAsia="de-DE"/>
              </w:rPr>
            </w:pPr>
            <w:permStart w:id="108885406" w:edGrp="everyone" w:colFirst="1" w:colLast="1"/>
            <w:r w:rsidRPr="00B16706">
              <w:rPr>
                <w:rFonts w:ascii="Arial" w:hAnsi="Arial" w:cs="Arial"/>
                <w:sz w:val="18"/>
                <w:szCs w:val="20"/>
                <w:lang w:eastAsia="de-DE"/>
              </w:rPr>
              <w:t>Name of the company / organisation</w:t>
            </w:r>
          </w:p>
        </w:tc>
        <w:sdt>
          <w:sdtPr>
            <w:rPr>
              <w:rFonts w:ascii="Arial" w:hAnsi="Arial" w:cs="Arial"/>
              <w:color w:val="808080"/>
              <w:sz w:val="16"/>
              <w:szCs w:val="20"/>
              <w:lang w:eastAsia="de-DE"/>
            </w:rPr>
            <w:id w:val="-1905066999"/>
            <w:text/>
          </w:sdtPr>
          <w:sdtEndPr/>
          <w:sdtContent>
            <w:tc>
              <w:tcPr>
                <w:tcW w:w="5595" w:type="dxa"/>
              </w:tcPr>
              <w:p w14:paraId="1B67440D" w14:textId="6D0D5118" w:rsidR="00C85C8B" w:rsidRPr="00B16706" w:rsidRDefault="00FD6D5E" w:rsidP="00C85C8B">
                <w:pPr>
                  <w:rPr>
                    <w:rFonts w:ascii="Arial" w:hAnsi="Arial" w:cs="Arial"/>
                    <w:color w:val="808080"/>
                    <w:sz w:val="16"/>
                    <w:szCs w:val="20"/>
                    <w:lang w:eastAsia="de-DE"/>
                  </w:rPr>
                </w:pPr>
                <w:r>
                  <w:rPr>
                    <w:rFonts w:ascii="Arial" w:hAnsi="Arial" w:cs="Arial"/>
                    <w:color w:val="808080"/>
                    <w:sz w:val="16"/>
                    <w:szCs w:val="20"/>
                    <w:lang w:eastAsia="de-DE"/>
                  </w:rPr>
                  <w:t>Bloomberg</w:t>
                </w:r>
              </w:p>
            </w:tc>
          </w:sdtContent>
        </w:sdt>
      </w:tr>
      <w:tr w:rsidR="00C85C8B" w:rsidRPr="00B16706" w14:paraId="216F3E57" w14:textId="77777777" w:rsidTr="00C16775">
        <w:tc>
          <w:tcPr>
            <w:tcW w:w="3929" w:type="dxa"/>
          </w:tcPr>
          <w:p w14:paraId="1B868EDB" w14:textId="77777777" w:rsidR="00C85C8B" w:rsidRPr="00B16706" w:rsidRDefault="00C85C8B" w:rsidP="00C85C8B">
            <w:pPr>
              <w:rPr>
                <w:rFonts w:ascii="Arial" w:hAnsi="Arial" w:cs="Arial"/>
                <w:sz w:val="18"/>
                <w:szCs w:val="20"/>
                <w:lang w:eastAsia="de-DE"/>
              </w:rPr>
            </w:pPr>
            <w:permStart w:id="11734600" w:edGrp="everyone" w:colFirst="1" w:colLast="1"/>
            <w:permEnd w:id="108885406"/>
            <w:r w:rsidRPr="00B16706">
              <w:rPr>
                <w:rFonts w:ascii="Arial" w:hAnsi="Arial" w:cs="Arial"/>
                <w:sz w:val="18"/>
                <w:szCs w:val="20"/>
                <w:lang w:eastAsia="de-DE"/>
              </w:rPr>
              <w:t>Activity</w:t>
            </w:r>
          </w:p>
        </w:tc>
        <w:tc>
          <w:tcPr>
            <w:tcW w:w="5595" w:type="dxa"/>
          </w:tcPr>
          <w:p w14:paraId="1423187D" w14:textId="6C50484D" w:rsidR="00C85C8B" w:rsidRPr="00B16706" w:rsidRDefault="001D4C67" w:rsidP="00C85C8B">
            <w:pPr>
              <w:rPr>
                <w:rFonts w:ascii="Arial" w:hAnsi="Arial" w:cs="Arial"/>
                <w:sz w:val="16"/>
                <w:szCs w:val="20"/>
                <w:lang w:eastAsia="de-DE"/>
              </w:rPr>
            </w:pPr>
            <w:sdt>
              <w:sdtPr>
                <w:rPr>
                  <w:rFonts w:ascii="Arial" w:hAnsi="Arial" w:cs="Arial"/>
                  <w:sz w:val="16"/>
                  <w:szCs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FD6D5E">
                  <w:rPr>
                    <w:rFonts w:ascii="Arial" w:hAnsi="Arial" w:cs="Arial"/>
                    <w:sz w:val="16"/>
                    <w:szCs w:val="20"/>
                    <w:lang w:eastAsia="de-DE"/>
                  </w:rPr>
                  <w:t>Other Financial service providers</w:t>
                </w:r>
              </w:sdtContent>
            </w:sdt>
          </w:p>
        </w:tc>
      </w:tr>
      <w:tr w:rsidR="00C85C8B" w:rsidRPr="00B16706" w14:paraId="0D216581" w14:textId="77777777" w:rsidTr="00C16775">
        <w:tc>
          <w:tcPr>
            <w:tcW w:w="3929" w:type="dxa"/>
          </w:tcPr>
          <w:p w14:paraId="43B75BA8" w14:textId="77777777" w:rsidR="00C85C8B" w:rsidRPr="00B16706" w:rsidRDefault="00C85C8B" w:rsidP="00C85C8B">
            <w:pPr>
              <w:rPr>
                <w:rFonts w:ascii="Arial" w:hAnsi="Arial" w:cs="Arial"/>
                <w:sz w:val="18"/>
                <w:szCs w:val="20"/>
                <w:lang w:eastAsia="de-DE"/>
              </w:rPr>
            </w:pPr>
            <w:permStart w:id="310511986" w:edGrp="everyone" w:colFirst="1" w:colLast="1"/>
            <w:permEnd w:id="11734600"/>
            <w:r w:rsidRPr="00B16706">
              <w:rPr>
                <w:rFonts w:ascii="Arial" w:hAnsi="Arial" w:cs="Arial"/>
                <w:sz w:val="18"/>
                <w:szCs w:val="20"/>
                <w:lang w:eastAsia="de-DE"/>
              </w:rPr>
              <w:t>Are you representing an association?</w:t>
            </w:r>
          </w:p>
        </w:tc>
        <w:sdt>
          <w:sdtPr>
            <w:rPr>
              <w:rFonts w:ascii="Arial" w:hAnsi="Arial" w:cs="Arial"/>
              <w:sz w:val="16"/>
              <w:szCs w:val="20"/>
              <w:lang w:eastAsia="de-DE"/>
            </w:rPr>
            <w:id w:val="-242871467"/>
            <w14:checkbox>
              <w14:checked w14:val="0"/>
              <w14:checkedState w14:val="2612" w14:font="MS Gothic"/>
              <w14:uncheckedState w14:val="2610" w14:font="MS Gothic"/>
            </w14:checkbox>
          </w:sdtPr>
          <w:sdtEndPr/>
          <w:sdtContent>
            <w:tc>
              <w:tcPr>
                <w:tcW w:w="5595" w:type="dxa"/>
              </w:tcPr>
              <w:p w14:paraId="6C4423E1" w14:textId="511A3048" w:rsidR="00C85C8B" w:rsidRPr="00B16706" w:rsidRDefault="0037311D" w:rsidP="00C85C8B">
                <w:pPr>
                  <w:rPr>
                    <w:rFonts w:ascii="Arial" w:hAnsi="Arial" w:cs="Arial"/>
                    <w:sz w:val="16"/>
                    <w:szCs w:val="20"/>
                    <w:lang w:eastAsia="de-DE"/>
                  </w:rPr>
                </w:pPr>
                <w:r>
                  <w:rPr>
                    <w:rFonts w:ascii="MS Gothic" w:eastAsia="MS Gothic" w:hAnsi="MS Gothic" w:cs="Arial" w:hint="eastAsia"/>
                    <w:sz w:val="16"/>
                    <w:szCs w:val="20"/>
                    <w:lang w:eastAsia="de-DE"/>
                  </w:rPr>
                  <w:t>☐</w:t>
                </w:r>
              </w:p>
            </w:tc>
          </w:sdtContent>
        </w:sdt>
      </w:tr>
      <w:tr w:rsidR="00C85C8B" w:rsidRPr="00B16706" w14:paraId="41DA9EA6" w14:textId="77777777" w:rsidTr="00C16775">
        <w:tc>
          <w:tcPr>
            <w:tcW w:w="3929" w:type="dxa"/>
          </w:tcPr>
          <w:p w14:paraId="553FB597" w14:textId="77777777" w:rsidR="00C85C8B" w:rsidRPr="00B16706" w:rsidRDefault="00C85C8B" w:rsidP="00C85C8B">
            <w:pPr>
              <w:rPr>
                <w:rFonts w:ascii="Arial" w:hAnsi="Arial" w:cs="Arial"/>
                <w:sz w:val="18"/>
                <w:szCs w:val="20"/>
                <w:lang w:eastAsia="de-DE"/>
              </w:rPr>
            </w:pPr>
            <w:permStart w:id="1269442871" w:edGrp="everyone" w:colFirst="1" w:colLast="1"/>
            <w:permEnd w:id="310511986"/>
            <w:r w:rsidRPr="00B16706">
              <w:rPr>
                <w:rFonts w:ascii="Arial" w:hAnsi="Arial" w:cs="Arial"/>
                <w:sz w:val="18"/>
                <w:szCs w:val="20"/>
                <w:lang w:eastAsia="de-DE"/>
              </w:rPr>
              <w:t>Country/Region</w:t>
            </w:r>
          </w:p>
        </w:tc>
        <w:sdt>
          <w:sdtPr>
            <w:rPr>
              <w:rFonts w:ascii="Arial" w:hAnsi="Arial" w:cs="Arial"/>
              <w:sz w:val="16"/>
              <w:szCs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tcPr>
              <w:p w14:paraId="082656BF" w14:textId="4183DA24" w:rsidR="00C85C8B" w:rsidRPr="00B16706" w:rsidRDefault="00FD6D5E" w:rsidP="00C85C8B">
                <w:pPr>
                  <w:rPr>
                    <w:rFonts w:ascii="Arial" w:hAnsi="Arial" w:cs="Arial"/>
                    <w:sz w:val="16"/>
                    <w:szCs w:val="20"/>
                    <w:lang w:eastAsia="de-DE"/>
                  </w:rPr>
                </w:pPr>
                <w:r>
                  <w:rPr>
                    <w:rFonts w:ascii="Arial" w:hAnsi="Arial" w:cs="Arial"/>
                    <w:sz w:val="16"/>
                    <w:szCs w:val="20"/>
                    <w:lang w:eastAsia="de-DE"/>
                  </w:rPr>
                  <w:t>Netherlands</w:t>
                </w:r>
              </w:p>
            </w:tc>
          </w:sdtContent>
        </w:sdt>
      </w:tr>
      <w:permEnd w:id="1269442871"/>
    </w:tbl>
    <w:p w14:paraId="2F5D9ECE" w14:textId="77777777" w:rsidR="000C5032" w:rsidRDefault="000C5032">
      <w:pPr>
        <w:spacing w:after="120" w:line="264" w:lineRule="auto"/>
        <w:rPr>
          <w:rFonts w:asciiTheme="minorHAnsi" w:hAnsiTheme="minorHAnsi" w:cstheme="minorHAnsi"/>
          <w:b/>
          <w:sz w:val="22"/>
          <w:szCs w:val="22"/>
        </w:rPr>
      </w:pPr>
      <w:r>
        <w:rPr>
          <w:rFonts w:asciiTheme="minorHAnsi" w:hAnsiTheme="minorHAnsi" w:cstheme="minorHAnsi"/>
          <w:b/>
          <w:sz w:val="22"/>
          <w:szCs w:val="22"/>
        </w:rPr>
        <w:br w:type="page"/>
      </w:r>
    </w:p>
    <w:p w14:paraId="721779C4" w14:textId="518CE3AD" w:rsidR="009835AD" w:rsidRDefault="009835AD">
      <w:pPr>
        <w:spacing w:after="120" w:line="264" w:lineRule="auto"/>
        <w:rPr>
          <w:rFonts w:ascii="Arial" w:hAnsi="Arial" w:cs="Arial"/>
          <w:b/>
          <w:sz w:val="22"/>
          <w:szCs w:val="22"/>
          <w:lang w:val="en-US" w:eastAsia="en-US"/>
        </w:rPr>
      </w:pPr>
      <w:r w:rsidRPr="009835AD">
        <w:rPr>
          <w:rFonts w:ascii="Arial" w:hAnsi="Arial" w:cs="Arial"/>
          <w:b/>
          <w:sz w:val="22"/>
          <w:szCs w:val="22"/>
          <w:lang w:val="en-US" w:eastAsia="en-US"/>
        </w:rPr>
        <w:lastRenderedPageBreak/>
        <w:t>Questions</w:t>
      </w:r>
    </w:p>
    <w:bookmarkEnd w:id="0"/>
    <w:p w14:paraId="473708D6" w14:textId="77777777" w:rsidR="00926BDA" w:rsidRDefault="00926BDA" w:rsidP="00BF7E68">
      <w:pPr>
        <w:pStyle w:val="Questionstyle"/>
        <w:numPr>
          <w:ilvl w:val="0"/>
          <w:numId w:val="0"/>
        </w:numPr>
        <w:ind w:left="360"/>
      </w:pPr>
    </w:p>
    <w:p w14:paraId="255AD77B" w14:textId="77777777" w:rsidR="00926BDA" w:rsidRPr="00BC53D2" w:rsidRDefault="00926BDA" w:rsidP="00926BDA">
      <w:pPr>
        <w:rPr>
          <w:lang w:val="en-US"/>
        </w:rPr>
      </w:pPr>
    </w:p>
    <w:p w14:paraId="29094614" w14:textId="77777777" w:rsidR="00926BDA" w:rsidRPr="00E56247" w:rsidRDefault="00926BDA" w:rsidP="00926BDA">
      <w:pPr>
        <w:pStyle w:val="Questionstyle"/>
        <w:spacing w:before="120" w:after="120"/>
        <w:ind w:left="851" w:hanging="709"/>
      </w:pPr>
      <w:r w:rsidRPr="00E56247">
        <w:t>Do stakeholders agree with the description of the key challenges outlined above? Is there any other issue linked to multiple regulatory regimes with duplicative or inconsistent requirements that is not reflected in this section? Out of the 10 sources of costs identified in this section and the ones that you may add, what are the three main cost drivers in your view?</w:t>
      </w:r>
    </w:p>
    <w:p w14:paraId="63D2302D" w14:textId="77777777" w:rsidR="00926BDA" w:rsidRDefault="00926BDA" w:rsidP="00926BDA">
      <w:r>
        <w:t>&lt;ESMA_QUESTION_CASR_1&gt;</w:t>
      </w:r>
    </w:p>
    <w:p w14:paraId="34CA1F6D" w14:textId="77777777" w:rsidR="00CA0A79" w:rsidRDefault="00CA0A79" w:rsidP="00CA0A79">
      <w:pPr>
        <w:pStyle w:val="paragraph0"/>
        <w:spacing w:before="0" w:beforeAutospacing="0" w:after="0" w:afterAutospacing="0"/>
        <w:jc w:val="both"/>
        <w:textAlignment w:val="baseline"/>
        <w:rPr>
          <w:rFonts w:ascii="Segoe UI" w:hAnsi="Segoe UI" w:cs="Segoe UI"/>
          <w:sz w:val="18"/>
          <w:szCs w:val="18"/>
        </w:rPr>
      </w:pPr>
      <w:permStart w:id="785210304" w:edGrp="everyone"/>
      <w:r>
        <w:t xml:space="preserve"> </w:t>
      </w:r>
      <w:r>
        <w:rPr>
          <w:rStyle w:val="normaltextrun"/>
          <w:rFonts w:ascii="Arial" w:eastAsiaTheme="majorEastAsia" w:hAnsi="Arial" w:cs="Arial"/>
          <w:color w:val="000000"/>
          <w:sz w:val="22"/>
          <w:szCs w:val="22"/>
          <w:lang w:val="en-US"/>
        </w:rPr>
        <w:t>Bloomberg agrees with ESMA’s identification of the 9 key challenges associated with financial transaction reporting. We believe that ESMA has overlooked the following items in addition to those it references in this section. We have observed the nature of these items and commented about these items in relation to ESMA's key objectives, those being 1. Preserve Information Scope, 2. Decrease overlaps, 3. Global Alignment, and 4. Balancing Cost and Benefit. </w:t>
      </w:r>
      <w:r>
        <w:rPr>
          <w:rStyle w:val="eop"/>
          <w:rFonts w:ascii="Arial" w:eastAsiaTheme="majorEastAsia" w:hAnsi="Arial" w:cs="Arial"/>
          <w:color w:val="000000"/>
          <w:sz w:val="22"/>
          <w:szCs w:val="22"/>
        </w:rPr>
        <w:t> </w:t>
      </w:r>
    </w:p>
    <w:p w14:paraId="492473DC" w14:textId="77777777" w:rsidR="00CA0A79" w:rsidRDefault="00CA0A79" w:rsidP="00CA0A79">
      <w:pPr>
        <w:pStyle w:val="paragraph0"/>
        <w:numPr>
          <w:ilvl w:val="0"/>
          <w:numId w:val="37"/>
        </w:numPr>
        <w:spacing w:before="0" w:beforeAutospacing="0" w:after="0" w:afterAutospacing="0"/>
        <w:ind w:left="795" w:firstLine="0"/>
        <w:jc w:val="both"/>
        <w:textAlignment w:val="baseline"/>
        <w:rPr>
          <w:rFonts w:ascii="Arial" w:hAnsi="Arial" w:cs="Arial"/>
          <w:sz w:val="22"/>
          <w:szCs w:val="22"/>
        </w:rPr>
      </w:pPr>
      <w:r>
        <w:rPr>
          <w:rStyle w:val="normaltextrun"/>
          <w:rFonts w:ascii="Arial" w:eastAsiaTheme="majorEastAsia" w:hAnsi="Arial" w:cs="Arial"/>
          <w:b/>
          <w:bCs/>
          <w:color w:val="000000"/>
          <w:sz w:val="22"/>
          <w:szCs w:val="22"/>
          <w:lang w:val="en-US"/>
        </w:rPr>
        <w:t>10. The use of ISIN and not UPI for derivatives.</w:t>
      </w:r>
      <w:r>
        <w:rPr>
          <w:rStyle w:val="normaltextrun"/>
          <w:rFonts w:ascii="Arial" w:eastAsiaTheme="majorEastAsia" w:hAnsi="Arial" w:cs="Arial"/>
          <w:color w:val="000000"/>
          <w:sz w:val="22"/>
          <w:szCs w:val="22"/>
          <w:lang w:val="en-US"/>
        </w:rPr>
        <w:t xml:space="preserve"> ISIN provides a level of granularity for derivative instruments which provides no incremental value to the market, including regulators, in respect of trading activity analysis. The continued use of ISIN  is not consistent, in our view, with three of the four ESMA objectives. Use of ISINs adds significant cost to market participants (creation and retention), generates duplicate information (multiple representations of the same instrument), and is not globally aligned (the US and UK use UPI not ISIN). We would also argue that  by creating an overly complex information landscape (more records than necessary, over 150 million codes have been generated since 2018)  impedes the ability of the market to effectively interrogate the data.</w:t>
      </w:r>
      <w:r>
        <w:rPr>
          <w:rStyle w:val="eop"/>
          <w:rFonts w:ascii="Arial" w:eastAsiaTheme="majorEastAsia" w:hAnsi="Arial" w:cs="Arial"/>
          <w:color w:val="000000"/>
          <w:sz w:val="22"/>
          <w:szCs w:val="22"/>
        </w:rPr>
        <w:t> </w:t>
      </w:r>
    </w:p>
    <w:p w14:paraId="167DA1E8" w14:textId="77777777" w:rsidR="00CA0A79" w:rsidRDefault="00CA0A79" w:rsidP="00CA0A79">
      <w:pPr>
        <w:pStyle w:val="paragraph0"/>
        <w:numPr>
          <w:ilvl w:val="0"/>
          <w:numId w:val="38"/>
        </w:numPr>
        <w:spacing w:before="0" w:beforeAutospacing="0" w:after="0" w:afterAutospacing="0"/>
        <w:ind w:left="795" w:firstLine="0"/>
        <w:jc w:val="both"/>
        <w:textAlignment w:val="baseline"/>
        <w:rPr>
          <w:rFonts w:ascii="Arial" w:hAnsi="Arial" w:cs="Arial"/>
          <w:sz w:val="22"/>
          <w:szCs w:val="22"/>
        </w:rPr>
      </w:pPr>
      <w:r>
        <w:rPr>
          <w:rStyle w:val="normaltextrun"/>
          <w:rFonts w:ascii="Arial" w:eastAsiaTheme="majorEastAsia" w:hAnsi="Arial" w:cs="Arial"/>
          <w:color w:val="000000"/>
          <w:sz w:val="22"/>
          <w:szCs w:val="22"/>
          <w:lang w:val="en-US"/>
        </w:rPr>
        <w:t xml:space="preserve">11. </w:t>
      </w:r>
      <w:r>
        <w:rPr>
          <w:rStyle w:val="normaltextrun"/>
          <w:rFonts w:ascii="Calibri" w:eastAsiaTheme="majorEastAsia" w:hAnsi="Calibri" w:cs="Calibri"/>
          <w:b/>
          <w:bCs/>
          <w:color w:val="000000"/>
          <w:sz w:val="22"/>
          <w:szCs w:val="22"/>
          <w:lang w:val="en-US"/>
        </w:rPr>
        <w:t>Lack of standard data dictionary</w:t>
      </w:r>
      <w:r>
        <w:rPr>
          <w:rStyle w:val="normaltextrun"/>
          <w:rFonts w:ascii="Calibri" w:eastAsiaTheme="majorEastAsia" w:hAnsi="Calibri" w:cs="Calibri"/>
          <w:color w:val="000000"/>
          <w:sz w:val="22"/>
          <w:szCs w:val="22"/>
          <w:lang w:val="en-US"/>
        </w:rPr>
        <w:t xml:space="preserve"> </w:t>
      </w:r>
      <w:r>
        <w:rPr>
          <w:rStyle w:val="normaltextrun"/>
          <w:rFonts w:ascii="Arial" w:eastAsiaTheme="majorEastAsia" w:hAnsi="Arial" w:cs="Arial"/>
          <w:color w:val="000000"/>
          <w:sz w:val="22"/>
          <w:szCs w:val="22"/>
          <w:lang w:val="en-US"/>
        </w:rPr>
        <w:t xml:space="preserve">ESMA’s observation about the lack of a </w:t>
      </w:r>
      <w:proofErr w:type="spellStart"/>
      <w:r>
        <w:rPr>
          <w:rStyle w:val="normaltextrun"/>
          <w:rFonts w:ascii="Arial" w:eastAsiaTheme="majorEastAsia" w:hAnsi="Arial" w:cs="Arial"/>
          <w:color w:val="000000"/>
          <w:sz w:val="22"/>
          <w:szCs w:val="22"/>
          <w:lang w:val="en-US"/>
        </w:rPr>
        <w:t>centralised</w:t>
      </w:r>
      <w:proofErr w:type="spellEnd"/>
      <w:r>
        <w:rPr>
          <w:rStyle w:val="normaltextrun"/>
          <w:rFonts w:ascii="Arial" w:eastAsiaTheme="majorEastAsia" w:hAnsi="Arial" w:cs="Arial"/>
          <w:color w:val="000000"/>
          <w:sz w:val="22"/>
          <w:szCs w:val="22"/>
          <w:lang w:val="en-US"/>
        </w:rPr>
        <w:t xml:space="preserve">, </w:t>
      </w:r>
      <w:proofErr w:type="spellStart"/>
      <w:r>
        <w:rPr>
          <w:rStyle w:val="normaltextrun"/>
          <w:rFonts w:ascii="Arial" w:eastAsiaTheme="majorEastAsia" w:hAnsi="Arial" w:cs="Arial"/>
          <w:color w:val="000000"/>
          <w:sz w:val="22"/>
          <w:szCs w:val="22"/>
          <w:lang w:val="en-US"/>
        </w:rPr>
        <w:t>standardised</w:t>
      </w:r>
      <w:proofErr w:type="spellEnd"/>
      <w:r>
        <w:rPr>
          <w:rStyle w:val="normaltextrun"/>
          <w:rFonts w:ascii="Arial" w:eastAsiaTheme="majorEastAsia" w:hAnsi="Arial" w:cs="Arial"/>
          <w:color w:val="000000"/>
          <w:sz w:val="22"/>
          <w:szCs w:val="22"/>
          <w:lang w:val="en-US"/>
        </w:rPr>
        <w:t xml:space="preserve"> data dictionary is disappointing, given that MiFIR, EMIR, and SFTR reporting have long used ISO 20022, which includes such a dictionary. This issue likely stems from inconsistent mapping of regulatory technical standards to ISO 20022 concepts. Going forward, there must be a stronger commitment to fully leveraging ISO 20022 to align terminology and data structures across regimes.  This is fundamental to preserving information scope, decreasing overlaps, and balancing cost and benefit.</w:t>
      </w:r>
      <w:r>
        <w:rPr>
          <w:rStyle w:val="eop"/>
          <w:rFonts w:ascii="Arial" w:eastAsiaTheme="majorEastAsia" w:hAnsi="Arial" w:cs="Arial"/>
          <w:color w:val="000000"/>
          <w:sz w:val="22"/>
          <w:szCs w:val="22"/>
        </w:rPr>
        <w:t> </w:t>
      </w:r>
    </w:p>
    <w:p w14:paraId="6CB8F2BB" w14:textId="77777777" w:rsidR="00CA0A79" w:rsidRDefault="00CA0A79" w:rsidP="00CA0A79">
      <w:pPr>
        <w:pStyle w:val="paragraph0"/>
        <w:numPr>
          <w:ilvl w:val="0"/>
          <w:numId w:val="39"/>
        </w:numPr>
        <w:spacing w:before="0" w:beforeAutospacing="0" w:after="0" w:afterAutospacing="0"/>
        <w:ind w:left="795" w:firstLine="0"/>
        <w:jc w:val="both"/>
        <w:textAlignment w:val="baseline"/>
        <w:rPr>
          <w:rFonts w:ascii="Arial" w:hAnsi="Arial" w:cs="Arial"/>
          <w:sz w:val="22"/>
          <w:szCs w:val="22"/>
        </w:rPr>
      </w:pPr>
      <w:r>
        <w:rPr>
          <w:rStyle w:val="normaltextrun"/>
          <w:rFonts w:ascii="Segoe UI" w:eastAsiaTheme="majorEastAsia" w:hAnsi="Segoe UI" w:cs="Segoe UI"/>
          <w:color w:val="333333"/>
          <w:sz w:val="18"/>
          <w:szCs w:val="18"/>
          <w:lang w:val="en-US"/>
        </w:rPr>
        <w:t xml:space="preserve">12. </w:t>
      </w:r>
      <w:r>
        <w:rPr>
          <w:rStyle w:val="normaltextrun"/>
          <w:rFonts w:ascii="Segoe UI" w:eastAsiaTheme="majorEastAsia" w:hAnsi="Segoe UI" w:cs="Segoe UI"/>
          <w:b/>
          <w:bCs/>
          <w:color w:val="333333"/>
          <w:sz w:val="18"/>
          <w:szCs w:val="18"/>
          <w:lang w:val="en-US"/>
        </w:rPr>
        <w:t>The party with best access to information should report.</w:t>
      </w:r>
      <w:r>
        <w:rPr>
          <w:rStyle w:val="normaltextrun"/>
          <w:rFonts w:ascii="Segoe UI" w:eastAsiaTheme="majorEastAsia" w:hAnsi="Segoe UI" w:cs="Segoe UI"/>
          <w:color w:val="333333"/>
          <w:sz w:val="18"/>
          <w:szCs w:val="18"/>
          <w:lang w:val="en-US"/>
        </w:rPr>
        <w:t xml:space="preserve"> </w:t>
      </w:r>
      <w:r>
        <w:rPr>
          <w:rStyle w:val="normaltextrun"/>
          <w:rFonts w:ascii="Arial" w:eastAsiaTheme="majorEastAsia" w:hAnsi="Arial" w:cs="Arial"/>
          <w:sz w:val="22"/>
          <w:szCs w:val="22"/>
          <w:lang w:val="en-US"/>
        </w:rPr>
        <w:t xml:space="preserve">The obligation to report should rest with the party best placed to access the relevant information. A regulatory process that requires a market participant to obtain data from entities over which it has no authority—solely for the purpose of regulatory reporting, and outside the scope of its ordinary business operations—is inherently flawed. Such an approach is also inconsistent with the overarching objectives of the consultation. This issue already arises in practice under Article 26(5), as previously noted in our submissions. Imposing such obligations leads to unnecessary duplication of costs for no apparent supervisory benefit, increases overlaps in reporting responsibilities, and undermines data quality by introducing third-party dependency risks. </w:t>
      </w:r>
      <w:r>
        <w:rPr>
          <w:rStyle w:val="eop"/>
          <w:rFonts w:ascii="Arial" w:eastAsiaTheme="majorEastAsia" w:hAnsi="Arial" w:cs="Arial"/>
          <w:sz w:val="22"/>
          <w:szCs w:val="22"/>
        </w:rPr>
        <w:t> </w:t>
      </w:r>
    </w:p>
    <w:p w14:paraId="0E44EBA5" w14:textId="77777777" w:rsidR="00CA0A79" w:rsidRDefault="00CA0A79" w:rsidP="00CA0A79">
      <w:pPr>
        <w:pStyle w:val="paragraph0"/>
        <w:spacing w:before="0" w:beforeAutospacing="0" w:after="0" w:afterAutospacing="0"/>
        <w:textAlignment w:val="baseline"/>
        <w:rPr>
          <w:rFonts w:ascii="Segoe UI" w:hAnsi="Segoe UI" w:cs="Segoe UI"/>
          <w:sz w:val="18"/>
          <w:szCs w:val="18"/>
        </w:rPr>
      </w:pPr>
      <w:r>
        <w:rPr>
          <w:rStyle w:val="eop"/>
          <w:rFonts w:ascii="Arial" w:eastAsiaTheme="majorEastAsia" w:hAnsi="Arial" w:cs="Arial"/>
          <w:color w:val="000000"/>
          <w:sz w:val="22"/>
          <w:szCs w:val="22"/>
        </w:rPr>
        <w:t> </w:t>
      </w:r>
    </w:p>
    <w:p w14:paraId="0510C83A" w14:textId="77777777" w:rsidR="00CA0A79" w:rsidRDefault="00CA0A79" w:rsidP="00CA0A79">
      <w:pPr>
        <w:pStyle w:val="paragraph0"/>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color w:val="000000"/>
          <w:sz w:val="22"/>
          <w:szCs w:val="22"/>
          <w:lang w:val="en-US"/>
        </w:rPr>
        <w:t xml:space="preserve">In addition to these three points and in respect of approaches to data quality, we would like to draw attention to ESMA’s comment in paragraph 168 of ESMA’s Final Report on RTS 22, which dismisses industry calls for </w:t>
      </w:r>
      <w:proofErr w:type="spellStart"/>
      <w:r>
        <w:rPr>
          <w:rStyle w:val="normaltextrun"/>
          <w:rFonts w:ascii="Arial" w:eastAsiaTheme="majorEastAsia" w:hAnsi="Arial" w:cs="Arial"/>
          <w:color w:val="000000"/>
          <w:sz w:val="22"/>
          <w:szCs w:val="22"/>
          <w:lang w:val="en-US"/>
        </w:rPr>
        <w:t>standardisation</w:t>
      </w:r>
      <w:proofErr w:type="spellEnd"/>
      <w:r>
        <w:rPr>
          <w:rStyle w:val="normaltextrun"/>
          <w:rFonts w:ascii="Arial" w:eastAsiaTheme="majorEastAsia" w:hAnsi="Arial" w:cs="Arial"/>
          <w:color w:val="000000"/>
          <w:sz w:val="22"/>
          <w:szCs w:val="22"/>
          <w:lang w:val="en-US"/>
        </w:rPr>
        <w:t xml:space="preserve"> of index</w:t>
      </w:r>
      <w:r>
        <w:rPr>
          <w:rStyle w:val="normaltextrun"/>
          <w:rFonts w:ascii="Calibri" w:eastAsiaTheme="majorEastAsia" w:hAnsi="Calibri" w:cs="Calibri"/>
          <w:color w:val="000000"/>
          <w:sz w:val="22"/>
          <w:szCs w:val="22"/>
          <w:lang w:val="en-US"/>
        </w:rPr>
        <w:t xml:space="preserve"> terminology</w:t>
      </w:r>
      <w:r>
        <w:rPr>
          <w:rStyle w:val="normaltextrun"/>
          <w:rFonts w:ascii="Arial" w:eastAsiaTheme="majorEastAsia" w:hAnsi="Arial" w:cs="Arial"/>
          <w:color w:val="000000"/>
          <w:sz w:val="22"/>
          <w:szCs w:val="22"/>
          <w:lang w:val="en-US"/>
        </w:rPr>
        <w:t xml:space="preserve"> noting that that this would only be relevant to reporting of minor indices and that ‘their </w:t>
      </w:r>
      <w:proofErr w:type="spellStart"/>
      <w:r>
        <w:rPr>
          <w:rStyle w:val="normaltextrun"/>
          <w:rFonts w:ascii="Arial" w:eastAsiaTheme="majorEastAsia" w:hAnsi="Arial" w:cs="Arial"/>
          <w:color w:val="000000"/>
          <w:sz w:val="22"/>
          <w:szCs w:val="22"/>
          <w:lang w:val="en-US"/>
        </w:rPr>
        <w:t>standardisation</w:t>
      </w:r>
      <w:proofErr w:type="spellEnd"/>
      <w:r>
        <w:rPr>
          <w:rStyle w:val="normaltextrun"/>
          <w:rFonts w:ascii="Arial" w:eastAsiaTheme="majorEastAsia" w:hAnsi="Arial" w:cs="Arial"/>
          <w:color w:val="000000"/>
          <w:sz w:val="22"/>
          <w:szCs w:val="22"/>
          <w:lang w:val="en-US"/>
        </w:rPr>
        <w:t xml:space="preserve"> is less </w:t>
      </w:r>
      <w:r>
        <w:rPr>
          <w:rStyle w:val="normaltextrun"/>
          <w:rFonts w:ascii="Arial" w:eastAsiaTheme="majorEastAsia" w:hAnsi="Arial" w:cs="Arial"/>
          <w:color w:val="000000"/>
          <w:sz w:val="22"/>
          <w:szCs w:val="22"/>
          <w:lang w:val="en-US"/>
        </w:rPr>
        <w:lastRenderedPageBreak/>
        <w:t xml:space="preserve">fundamental’. The FIGI is one of the </w:t>
      </w:r>
      <w:proofErr w:type="spellStart"/>
      <w:r>
        <w:rPr>
          <w:rStyle w:val="normaltextrun"/>
          <w:rFonts w:ascii="Arial" w:eastAsiaTheme="majorEastAsia" w:hAnsi="Arial" w:cs="Arial"/>
          <w:color w:val="000000"/>
          <w:sz w:val="22"/>
          <w:szCs w:val="22"/>
          <w:lang w:val="en-US"/>
        </w:rPr>
        <w:t>standardised</w:t>
      </w:r>
      <w:proofErr w:type="spellEnd"/>
      <w:r>
        <w:rPr>
          <w:rStyle w:val="normaltextrun"/>
          <w:rFonts w:ascii="Arial" w:eastAsiaTheme="majorEastAsia" w:hAnsi="Arial" w:cs="Arial"/>
          <w:color w:val="000000"/>
          <w:sz w:val="22"/>
          <w:szCs w:val="22"/>
          <w:lang w:val="en-US"/>
        </w:rPr>
        <w:t xml:space="preserve"> codes in ISO 20022, and is widely supported and used in the industry, including for the identification of indices.  There is industry support for leveraging alternative identifiers where appropriate.</w:t>
      </w:r>
      <w:r>
        <w:rPr>
          <w:rStyle w:val="eop"/>
          <w:rFonts w:ascii="Arial" w:eastAsiaTheme="majorEastAsia" w:hAnsi="Arial" w:cs="Arial"/>
          <w:color w:val="000000"/>
          <w:sz w:val="22"/>
          <w:szCs w:val="22"/>
        </w:rPr>
        <w:t> </w:t>
      </w:r>
    </w:p>
    <w:p w14:paraId="118F100F" w14:textId="0E9F264B" w:rsidR="00926BDA" w:rsidRPr="00CA0A79" w:rsidRDefault="00CA0A79" w:rsidP="00CA0A79">
      <w:pPr>
        <w:pStyle w:val="paragraph0"/>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color w:val="000000"/>
          <w:sz w:val="22"/>
          <w:szCs w:val="22"/>
          <w:lang w:val="en-US"/>
        </w:rPr>
        <w:t>Additionally, in keeping with the principle of global alignment, alternative identifiers may be more appropriate for identifying instruments traded outside the EU.  We note ISIN or UPI is not always available when trading ETDs outside the EU, which makes accurately reporting these instruments difficult under both EMIR and MiFIR</w:t>
      </w:r>
    </w:p>
    <w:permEnd w:id="785210304"/>
    <w:p w14:paraId="3867BD88" w14:textId="77777777" w:rsidR="00926BDA" w:rsidRDefault="00926BDA" w:rsidP="00926BDA">
      <w:r>
        <w:t>&lt;ESMA_QUESTION_CASR_1&gt;</w:t>
      </w:r>
    </w:p>
    <w:p w14:paraId="7EDED914" w14:textId="77777777" w:rsidR="00926BDA" w:rsidRDefault="00926BDA" w:rsidP="00926BDA"/>
    <w:p w14:paraId="463AC9D4" w14:textId="77777777" w:rsidR="00926BDA" w:rsidRDefault="00926BDA" w:rsidP="00926BDA">
      <w:pPr>
        <w:pStyle w:val="Questionstyle"/>
        <w:spacing w:before="120" w:after="120"/>
        <w:ind w:left="851" w:hanging="709"/>
      </w:pPr>
      <w:r w:rsidRPr="002E01A5">
        <w:t>Do stakeholders agree with the proposed principles and related description? Is there any other aspect/principle that should be considered?</w:t>
      </w:r>
    </w:p>
    <w:p w14:paraId="585DA3B4" w14:textId="77777777" w:rsidR="00926BDA" w:rsidRDefault="00926BDA" w:rsidP="00926BDA">
      <w:r>
        <w:t>&lt;ESMA_QUESTION_CASR_2&gt;</w:t>
      </w:r>
    </w:p>
    <w:p w14:paraId="1B5E1A7E" w14:textId="4F0A890E" w:rsidR="00926BDA" w:rsidRDefault="000A6018" w:rsidP="00926BDA">
      <w:permStart w:id="545925079" w:edGrp="everyone"/>
      <w:r>
        <w:t xml:space="preserve"> </w:t>
      </w:r>
      <w:r>
        <w:rPr>
          <w:rStyle w:val="normaltextrun"/>
          <w:rFonts w:ascii="Aptos" w:eastAsiaTheme="majorEastAsia" w:hAnsi="Aptos"/>
          <w:color w:val="000000"/>
          <w:shd w:val="clear" w:color="auto" w:fill="FFFFFF"/>
          <w:lang w:val="en-US"/>
        </w:rPr>
        <w:t>Yes, we agree with the four principles.  See answer to question 1 for our additional aspects/principles.</w:t>
      </w:r>
      <w:r>
        <w:rPr>
          <w:rStyle w:val="eop"/>
          <w:rFonts w:ascii="Aptos" w:eastAsiaTheme="majorEastAsia" w:hAnsi="Aptos"/>
          <w:color w:val="000000"/>
          <w:shd w:val="clear" w:color="auto" w:fill="FFFFFF"/>
        </w:rPr>
        <w:t> </w:t>
      </w:r>
    </w:p>
    <w:permEnd w:id="545925079"/>
    <w:p w14:paraId="042B0F0C" w14:textId="77777777" w:rsidR="00926BDA" w:rsidRDefault="00926BDA" w:rsidP="00926BDA">
      <w:r>
        <w:t>&lt;ESMA_QUESTION_CASR_2&gt;</w:t>
      </w:r>
    </w:p>
    <w:p w14:paraId="02ECE67A" w14:textId="77777777" w:rsidR="00926BDA" w:rsidRDefault="00926BDA" w:rsidP="00926BDA"/>
    <w:p w14:paraId="555282C0" w14:textId="77777777" w:rsidR="00926BDA" w:rsidRDefault="00926BDA" w:rsidP="00926BDA">
      <w:pPr>
        <w:pStyle w:val="Questionstyle"/>
        <w:spacing w:before="120" w:after="120"/>
        <w:ind w:left="851" w:hanging="709"/>
      </w:pPr>
      <w:r>
        <w:t>What are the key advantages of option 1a and how do these benefits address the issues in section 3?</w:t>
      </w:r>
    </w:p>
    <w:p w14:paraId="596EF4F0" w14:textId="77777777" w:rsidR="00926BDA" w:rsidRDefault="00926BDA" w:rsidP="00926BDA">
      <w:r>
        <w:t>&lt;ESMA_QUESTION_CASR_3&gt;</w:t>
      </w:r>
    </w:p>
    <w:p w14:paraId="10B78F54" w14:textId="0F7B4DF1" w:rsidR="00926BDA" w:rsidRDefault="00563DB0" w:rsidP="00926BDA">
      <w:permStart w:id="666895774" w:edGrp="everyone"/>
      <w:r>
        <w:t xml:space="preserve"> </w:t>
      </w:r>
      <w:r>
        <w:rPr>
          <w:rStyle w:val="normaltextrun"/>
          <w:rFonts w:ascii="Aptos" w:eastAsiaTheme="majorEastAsia" w:hAnsi="Aptos"/>
          <w:color w:val="000000"/>
          <w:shd w:val="clear" w:color="auto" w:fill="FFFFFF"/>
          <w:lang w:val="en-US"/>
        </w:rPr>
        <w:t>We can see advantages to the proposal for delineation by instrument type in Option 1a, which would provide an opportunity to reduce duplication, including instances of differing terminology and definitions between reporting regimes.  Removing ETDs from EMIR reporting would bring the EU into global alignment and reduce duplication.  However, for OTC derivatives the approach in 1a would necessitate substantial amendments to EMIR to capture all the data points required for market abuse oversight. This is a non-trivial exercise and there would be costs to firms to make such changes. It would also put the EMIR reporting out of line with international regimes, where trade reporting does not typically capture the range of data points that would be needed to make EMIR compatible with the requirements of transaction reporting.</w:t>
      </w:r>
      <w:r>
        <w:rPr>
          <w:rStyle w:val="eop"/>
          <w:rFonts w:ascii="Aptos" w:eastAsiaTheme="majorEastAsia" w:hAnsi="Aptos"/>
          <w:color w:val="000000"/>
          <w:shd w:val="clear" w:color="auto" w:fill="FFFFFF"/>
        </w:rPr>
        <w:t> </w:t>
      </w:r>
    </w:p>
    <w:permEnd w:id="666895774"/>
    <w:p w14:paraId="6D0251D2" w14:textId="77777777" w:rsidR="00926BDA" w:rsidRDefault="00926BDA" w:rsidP="00926BDA">
      <w:r>
        <w:t>&lt;ESMA_QUESTION_CASR_3&gt;</w:t>
      </w:r>
    </w:p>
    <w:p w14:paraId="0D09C9FF" w14:textId="77777777" w:rsidR="00926BDA" w:rsidRDefault="00926BDA" w:rsidP="00926BDA"/>
    <w:p w14:paraId="4B96F3E8" w14:textId="77777777" w:rsidR="00926BDA" w:rsidRDefault="00926BDA" w:rsidP="00926BDA">
      <w:pPr>
        <w:pStyle w:val="Questionstyle"/>
        <w:spacing w:before="120" w:after="120"/>
        <w:ind w:left="851" w:hanging="709"/>
      </w:pPr>
      <w:r>
        <w:t>What are the key limitations and potential risks of option 1a? For example, do you consider the adaptation of the emir template to cover the data points used for market abuse surveillance as meeting the general objective of reducing the reporting burden, and why?</w:t>
      </w:r>
    </w:p>
    <w:p w14:paraId="7917F4ED" w14:textId="77777777" w:rsidR="00926BDA" w:rsidRDefault="00926BDA" w:rsidP="00926BDA">
      <w:r>
        <w:t>&lt;ESMA_QUESTION_CASR_4&gt;</w:t>
      </w:r>
    </w:p>
    <w:p w14:paraId="6A32D197" w14:textId="77777777" w:rsidR="00B86AF8" w:rsidRDefault="00B86AF8" w:rsidP="00B86AF8">
      <w:pPr>
        <w:pStyle w:val="paragraph0"/>
        <w:spacing w:before="0" w:beforeAutospacing="0" w:after="0" w:afterAutospacing="0"/>
        <w:textAlignment w:val="baseline"/>
        <w:rPr>
          <w:rFonts w:ascii="Segoe UI" w:hAnsi="Segoe UI" w:cs="Segoe UI"/>
          <w:sz w:val="18"/>
          <w:szCs w:val="18"/>
        </w:rPr>
      </w:pPr>
      <w:permStart w:id="1901729855" w:edGrp="everyone"/>
      <w:r>
        <w:t xml:space="preserve"> </w:t>
      </w:r>
      <w:r>
        <w:rPr>
          <w:rStyle w:val="normaltextrun"/>
          <w:rFonts w:ascii="Aptos" w:eastAsiaTheme="majorEastAsia" w:hAnsi="Aptos" w:cs="Segoe UI"/>
          <w:lang w:val="en-US"/>
        </w:rPr>
        <w:t xml:space="preserve">As indicated above, adapting EMIR to capture the data points for market abuse would be a significant lift in terms of changes to data fields. We consider this approach to have high cost, and consequently high risk. It would likely be simpler to maintain two distinct channels for trade and transaction reporting, though with potential areas for improvement and refinement as identified elsewhere in our response. Our preferred </w:t>
      </w:r>
      <w:r>
        <w:rPr>
          <w:rStyle w:val="normaltextrun"/>
          <w:rFonts w:ascii="Aptos" w:eastAsiaTheme="majorEastAsia" w:hAnsi="Aptos" w:cs="Segoe UI"/>
          <w:lang w:val="en-US"/>
        </w:rPr>
        <w:lastRenderedPageBreak/>
        <w:t>solution would be to focus case by case on leading inefficiencies, rather than opting for a big bang transformation.</w:t>
      </w:r>
      <w:r>
        <w:rPr>
          <w:rStyle w:val="eop"/>
          <w:rFonts w:ascii="Aptos" w:eastAsiaTheme="majorEastAsia" w:hAnsi="Aptos" w:cs="Segoe UI"/>
        </w:rPr>
        <w:t> </w:t>
      </w:r>
    </w:p>
    <w:p w14:paraId="3A9F8E95" w14:textId="77777777" w:rsidR="00B86AF8" w:rsidRDefault="00B86AF8" w:rsidP="00B86AF8">
      <w:pPr>
        <w:pStyle w:val="paragraph0"/>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lang w:val="en-US"/>
        </w:rPr>
        <w:t>The need for Personal Identification Information (PII) is currently supported by MiFIR reporting channels, including via Approved Reporting Mechanisms (ARMs). Depending on ESMA’s (and other EU authorities) long-term approach to reporting schemas, it would be possible for ARMs to submit this data to any ultimate destination including NCAs (as today), Trade Repositories or to ESMA as a central repository.</w:t>
      </w:r>
      <w:r>
        <w:rPr>
          <w:rStyle w:val="eop"/>
          <w:rFonts w:ascii="Aptos" w:eastAsiaTheme="majorEastAsia" w:hAnsi="Aptos" w:cs="Segoe UI"/>
        </w:rPr>
        <w:t> </w:t>
      </w:r>
    </w:p>
    <w:p w14:paraId="271C2CA6" w14:textId="5357CAC8" w:rsidR="00926BDA" w:rsidRPr="00B86AF8" w:rsidRDefault="00B86AF8" w:rsidP="00B86AF8">
      <w:pPr>
        <w:pStyle w:val="paragraph0"/>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lang w:val="en-US"/>
        </w:rPr>
        <w:t>We also note that EMIR reports are submitted by the principals to the trade, be they financial or non-financial counterparties, whereas MiFIR requires reporting of executions and additionally transactions resulting from transmitted orders.  Merely adding the additional data points to an EMIR report would not be sufficient to capture all PII submitted by MiFID Investment Firms transmitting orders via a chain of executions. An important efficiency principle to reiterate in this context is that the entity with best access to information should report.</w:t>
      </w:r>
      <w:r>
        <w:rPr>
          <w:rStyle w:val="scxw68782009"/>
          <w:rFonts w:ascii="Aptos" w:hAnsi="Aptos" w:cs="Segoe UI"/>
        </w:rPr>
        <w:t> </w:t>
      </w:r>
    </w:p>
    <w:permEnd w:id="1901729855"/>
    <w:p w14:paraId="7EE99C37" w14:textId="77777777" w:rsidR="00926BDA" w:rsidRDefault="00926BDA" w:rsidP="00926BDA">
      <w:r>
        <w:t>&lt;ESMA_QUESTION_CASR_4&gt;</w:t>
      </w:r>
    </w:p>
    <w:p w14:paraId="631AE7DC" w14:textId="77777777" w:rsidR="00926BDA" w:rsidRDefault="00926BDA" w:rsidP="00926BDA"/>
    <w:p w14:paraId="1A3DC2C2" w14:textId="77777777" w:rsidR="00926BDA" w:rsidRDefault="00926BDA" w:rsidP="00926BDA">
      <w:pPr>
        <w:pStyle w:val="Questionstyle"/>
        <w:spacing w:before="120" w:after="120"/>
        <w:ind w:left="851" w:hanging="709"/>
      </w:pPr>
      <w:r>
        <w:t>What components are missing or not adequately addressed in option 1a? Why are these elements important, and how might their inclusion change the evaluation or implementation of option 1a?</w:t>
      </w:r>
    </w:p>
    <w:p w14:paraId="4E654C2A" w14:textId="77777777" w:rsidR="00926BDA" w:rsidRDefault="00926BDA" w:rsidP="00926BDA">
      <w:r>
        <w:t>&lt;ESMA_QUESTION_CASR_5&gt;</w:t>
      </w:r>
    </w:p>
    <w:p w14:paraId="1F27D03C" w14:textId="0718BE92" w:rsidR="00926BDA" w:rsidRDefault="004D283B" w:rsidP="00926BDA">
      <w:permStart w:id="1034637762" w:edGrp="everyone"/>
      <w:r>
        <w:t xml:space="preserve"> </w:t>
      </w:r>
      <w:r>
        <w:rPr>
          <w:rStyle w:val="normaltextrun"/>
          <w:rFonts w:ascii="Arial" w:eastAsiaTheme="majorEastAsia" w:hAnsi="Arial" w:cs="Arial"/>
          <w:color w:val="000000"/>
          <w:sz w:val="22"/>
          <w:szCs w:val="22"/>
          <w:shd w:val="clear" w:color="auto" w:fill="FFFFFF"/>
          <w:lang w:val="en-US"/>
        </w:rPr>
        <w:t>See response to previous question.</w:t>
      </w:r>
      <w:r>
        <w:rPr>
          <w:rStyle w:val="eop"/>
          <w:rFonts w:ascii="Arial" w:eastAsiaTheme="majorEastAsia" w:hAnsi="Arial" w:cs="Arial"/>
          <w:b/>
          <w:bCs/>
          <w:color w:val="000000"/>
          <w:sz w:val="22"/>
          <w:szCs w:val="22"/>
          <w:shd w:val="clear" w:color="auto" w:fill="FFFFFF"/>
        </w:rPr>
        <w:t> </w:t>
      </w:r>
    </w:p>
    <w:permEnd w:id="1034637762"/>
    <w:p w14:paraId="556C53A1" w14:textId="77777777" w:rsidR="00926BDA" w:rsidRDefault="00926BDA" w:rsidP="00926BDA">
      <w:r>
        <w:t>&lt;ESMA_QUESTION_CASR_5&gt;</w:t>
      </w:r>
    </w:p>
    <w:p w14:paraId="37D12C6B" w14:textId="77777777" w:rsidR="00926BDA" w:rsidRDefault="00926BDA" w:rsidP="00926BDA"/>
    <w:p w14:paraId="6EA1D20B" w14:textId="77777777" w:rsidR="00926BDA" w:rsidRDefault="00926BDA" w:rsidP="00926BDA">
      <w:pPr>
        <w:pStyle w:val="Questionstyle"/>
        <w:spacing w:before="120" w:after="120"/>
        <w:ind w:left="851" w:hanging="709"/>
      </w:pPr>
      <w:r>
        <w:t>What are the key advantages of option 1b and how do these benefits address the issues in section 3?</w:t>
      </w:r>
    </w:p>
    <w:p w14:paraId="5103F3A5" w14:textId="77777777" w:rsidR="00926BDA" w:rsidRDefault="00926BDA" w:rsidP="00926BDA">
      <w:r>
        <w:t>&lt;ESMA_QUESTION_CASR_6&gt;</w:t>
      </w:r>
    </w:p>
    <w:p w14:paraId="59046D26" w14:textId="77777777" w:rsidR="004D283B" w:rsidRDefault="004D283B" w:rsidP="004D283B">
      <w:pPr>
        <w:pStyle w:val="paragraph0"/>
        <w:spacing w:before="0" w:beforeAutospacing="0" w:after="0" w:afterAutospacing="0"/>
        <w:ind w:right="165"/>
        <w:textAlignment w:val="baseline"/>
        <w:rPr>
          <w:rFonts w:ascii="Segoe UI" w:hAnsi="Segoe UI" w:cs="Segoe UI"/>
          <w:b/>
          <w:bCs/>
          <w:sz w:val="18"/>
          <w:szCs w:val="18"/>
        </w:rPr>
      </w:pPr>
      <w:permStart w:id="276758894" w:edGrp="everyone"/>
      <w:r>
        <w:t xml:space="preserve"> </w:t>
      </w:r>
      <w:r>
        <w:rPr>
          <w:rStyle w:val="normaltextrun"/>
          <w:rFonts w:ascii="Arial" w:eastAsiaTheme="majorEastAsia" w:hAnsi="Arial" w:cs="Arial"/>
          <w:color w:val="171717"/>
          <w:sz w:val="22"/>
          <w:szCs w:val="22"/>
          <w:lang w:val="en-US"/>
        </w:rPr>
        <w:t>Given the application of reporting obligations under MiFIR (Investment Firms) and EMIR (counterparties to the trade) are not aligned,  Option 1b is not preferred.  </w:t>
      </w:r>
      <w:r>
        <w:rPr>
          <w:rStyle w:val="eop"/>
          <w:rFonts w:ascii="Arial" w:eastAsiaTheme="majorEastAsia" w:hAnsi="Arial" w:cs="Arial"/>
          <w:b/>
          <w:bCs/>
          <w:color w:val="171717"/>
          <w:sz w:val="22"/>
          <w:szCs w:val="22"/>
        </w:rPr>
        <w:t> </w:t>
      </w:r>
    </w:p>
    <w:p w14:paraId="19DC3BF3" w14:textId="77777777" w:rsidR="004D283B" w:rsidRDefault="004D283B" w:rsidP="004D283B">
      <w:pPr>
        <w:pStyle w:val="paragraph0"/>
        <w:spacing w:before="0" w:beforeAutospacing="0" w:after="0" w:afterAutospacing="0"/>
        <w:ind w:right="165"/>
        <w:textAlignment w:val="baseline"/>
        <w:rPr>
          <w:rFonts w:ascii="Segoe UI" w:hAnsi="Segoe UI" w:cs="Segoe UI"/>
          <w:b/>
          <w:bCs/>
          <w:sz w:val="18"/>
          <w:szCs w:val="18"/>
        </w:rPr>
      </w:pPr>
      <w:r>
        <w:rPr>
          <w:rStyle w:val="eop"/>
          <w:rFonts w:ascii="Arial" w:eastAsiaTheme="majorEastAsia" w:hAnsi="Arial" w:cs="Arial"/>
          <w:b/>
          <w:bCs/>
          <w:color w:val="171717"/>
          <w:sz w:val="22"/>
          <w:szCs w:val="22"/>
        </w:rPr>
        <w:t> </w:t>
      </w:r>
    </w:p>
    <w:p w14:paraId="30F49765" w14:textId="77777777" w:rsidR="004D283B" w:rsidRDefault="004D283B" w:rsidP="004D283B">
      <w:pPr>
        <w:pStyle w:val="paragraph0"/>
        <w:spacing w:before="0" w:beforeAutospacing="0" w:after="0" w:afterAutospacing="0"/>
        <w:ind w:right="165"/>
        <w:textAlignment w:val="baseline"/>
        <w:rPr>
          <w:rFonts w:ascii="Segoe UI" w:hAnsi="Segoe UI" w:cs="Segoe UI"/>
          <w:b/>
          <w:bCs/>
          <w:sz w:val="18"/>
          <w:szCs w:val="18"/>
        </w:rPr>
      </w:pPr>
      <w:r>
        <w:rPr>
          <w:rStyle w:val="normaltextrun"/>
          <w:rFonts w:ascii="Arial" w:eastAsiaTheme="majorEastAsia" w:hAnsi="Arial" w:cs="Arial"/>
          <w:color w:val="171717"/>
          <w:sz w:val="22"/>
          <w:szCs w:val="22"/>
          <w:lang w:val="en-US"/>
        </w:rPr>
        <w:t>The impact on non-investment firms’ financial counterparties and non-financial counterparties, who do not currently have a MiFIR reporting obligation, is not clear. Would these firms continue to report derivatives to Trade Repositories, or would they need to amend their reporting to align with MiFIR? Such a change would incur additional implementation burden and ultimately increase costs.  </w:t>
      </w:r>
      <w:r>
        <w:rPr>
          <w:rStyle w:val="eop"/>
          <w:rFonts w:ascii="Arial" w:eastAsiaTheme="majorEastAsia" w:hAnsi="Arial" w:cs="Arial"/>
          <w:b/>
          <w:bCs/>
          <w:color w:val="171717"/>
          <w:sz w:val="22"/>
          <w:szCs w:val="22"/>
        </w:rPr>
        <w:t> </w:t>
      </w:r>
    </w:p>
    <w:p w14:paraId="3260C76C" w14:textId="77777777" w:rsidR="004D283B" w:rsidRDefault="004D283B" w:rsidP="004D283B">
      <w:pPr>
        <w:pStyle w:val="paragraph0"/>
        <w:spacing w:before="0" w:beforeAutospacing="0" w:after="0" w:afterAutospacing="0"/>
        <w:ind w:right="165"/>
        <w:textAlignment w:val="baseline"/>
        <w:rPr>
          <w:rFonts w:ascii="Segoe UI" w:hAnsi="Segoe UI" w:cs="Segoe UI"/>
          <w:b/>
          <w:bCs/>
          <w:sz w:val="18"/>
          <w:szCs w:val="18"/>
        </w:rPr>
      </w:pPr>
      <w:r>
        <w:rPr>
          <w:rStyle w:val="eop"/>
          <w:rFonts w:ascii="Arial" w:eastAsiaTheme="majorEastAsia" w:hAnsi="Arial" w:cs="Arial"/>
          <w:b/>
          <w:bCs/>
          <w:color w:val="171717"/>
          <w:sz w:val="22"/>
          <w:szCs w:val="22"/>
        </w:rPr>
        <w:t> </w:t>
      </w:r>
    </w:p>
    <w:p w14:paraId="1FA6E054" w14:textId="572AEAD1" w:rsidR="00926BDA" w:rsidRPr="00F7090A" w:rsidRDefault="004D283B" w:rsidP="00F7090A">
      <w:pPr>
        <w:pStyle w:val="paragraph0"/>
        <w:spacing w:before="0" w:beforeAutospacing="0" w:after="0" w:afterAutospacing="0"/>
        <w:ind w:right="165"/>
        <w:textAlignment w:val="baseline"/>
        <w:rPr>
          <w:rFonts w:ascii="Segoe UI" w:hAnsi="Segoe UI" w:cs="Segoe UI"/>
          <w:b/>
          <w:bCs/>
          <w:sz w:val="18"/>
          <w:szCs w:val="18"/>
        </w:rPr>
      </w:pPr>
      <w:r>
        <w:rPr>
          <w:rStyle w:val="normaltextrun"/>
          <w:rFonts w:ascii="Arial" w:eastAsiaTheme="majorEastAsia" w:hAnsi="Arial" w:cs="Arial"/>
          <w:color w:val="171717"/>
          <w:sz w:val="22"/>
          <w:szCs w:val="22"/>
          <w:lang w:val="en-US"/>
        </w:rPr>
        <w:t xml:space="preserve">As noted in Q4, and additionally in paragraph 166 </w:t>
      </w:r>
      <w:r>
        <w:rPr>
          <w:rStyle w:val="normaltextrun"/>
          <w:rFonts w:ascii="Aptos" w:eastAsiaTheme="majorEastAsia" w:hAnsi="Aptos" w:cs="Segoe UI"/>
          <w:lang w:val="en-US"/>
        </w:rPr>
        <w:t>of the Final Report on RTS 22, reporting of events under MiFIR and EMIR differs, and it is unclear how reporting derivative trades under MiFIR could preserve information scope, without significant change to the scope of MiFIR</w:t>
      </w:r>
      <w:r w:rsidR="00F7090A">
        <w:rPr>
          <w:rStyle w:val="normaltextrun"/>
          <w:rFonts w:ascii="Aptos" w:eastAsiaTheme="majorEastAsia" w:hAnsi="Aptos" w:cs="Segoe UI"/>
          <w:lang w:val="en-US"/>
        </w:rPr>
        <w:t>.</w:t>
      </w:r>
    </w:p>
    <w:permEnd w:id="276758894"/>
    <w:p w14:paraId="5FF8B2C2" w14:textId="77777777" w:rsidR="00926BDA" w:rsidRDefault="00926BDA" w:rsidP="00926BDA">
      <w:r>
        <w:t>&lt;ESMA_QUESTION_CASR_6&gt;</w:t>
      </w:r>
    </w:p>
    <w:p w14:paraId="62EE97D0" w14:textId="77777777" w:rsidR="00926BDA" w:rsidRDefault="00926BDA" w:rsidP="00926BDA"/>
    <w:p w14:paraId="7642F082" w14:textId="77777777" w:rsidR="00926BDA" w:rsidRDefault="00926BDA" w:rsidP="00926BDA">
      <w:pPr>
        <w:pStyle w:val="Questionstyle"/>
        <w:spacing w:before="120" w:after="120"/>
        <w:ind w:left="851" w:hanging="709"/>
      </w:pPr>
      <w:r>
        <w:t>What are the key limitations and potential risks of option 1b?</w:t>
      </w:r>
    </w:p>
    <w:p w14:paraId="0111A54A" w14:textId="77777777" w:rsidR="00926BDA" w:rsidRDefault="00926BDA" w:rsidP="00926BDA">
      <w:r>
        <w:t>&lt;ESMA_QUESTION_CASR_7&gt;</w:t>
      </w:r>
    </w:p>
    <w:p w14:paraId="1CFEB751" w14:textId="7724B6B6" w:rsidR="00926BDA" w:rsidRDefault="00EB2561" w:rsidP="00926BDA">
      <w:permStart w:id="1327239170" w:edGrp="everyone"/>
      <w:r>
        <w:rPr>
          <w:rStyle w:val="normaltextrun"/>
          <w:rFonts w:ascii="Aptos" w:eastAsiaTheme="majorEastAsia" w:hAnsi="Aptos"/>
          <w:color w:val="000000"/>
          <w:shd w:val="clear" w:color="auto" w:fill="FFFFFF"/>
        </w:rPr>
        <w:lastRenderedPageBreak/>
        <w:t>As highlighted in the Call for Evidence, such an amendment risks diminishing the overall value of EMIR reporting and raises concerns regarding consistency with international standards and alignment</w:t>
      </w:r>
    </w:p>
    <w:permEnd w:id="1327239170"/>
    <w:p w14:paraId="72CB5113" w14:textId="77777777" w:rsidR="00926BDA" w:rsidRDefault="00926BDA" w:rsidP="00926BDA">
      <w:r>
        <w:t>&lt;ESMA_QUESTION_CASR_7&gt;</w:t>
      </w:r>
    </w:p>
    <w:p w14:paraId="7CF24983" w14:textId="77777777" w:rsidR="00926BDA" w:rsidRDefault="00926BDA" w:rsidP="00926BDA"/>
    <w:p w14:paraId="75FB15B5" w14:textId="77777777" w:rsidR="00926BDA" w:rsidRDefault="00926BDA" w:rsidP="00926BDA">
      <w:pPr>
        <w:pStyle w:val="Questionstyle"/>
        <w:spacing w:before="120" w:after="120"/>
        <w:ind w:left="851" w:hanging="709"/>
      </w:pPr>
      <w:r>
        <w:t>What components are missing or not adequately addressed in option 1b? Why are these elements important, and how might their inclusion change the evaluation or implementation of option 1b?</w:t>
      </w:r>
    </w:p>
    <w:p w14:paraId="3C7CA8FB" w14:textId="77777777" w:rsidR="00926BDA" w:rsidRDefault="00926BDA" w:rsidP="00926BDA">
      <w:r>
        <w:t>&lt;ESMA_QUESTION_CASR_8&gt;</w:t>
      </w:r>
    </w:p>
    <w:p w14:paraId="156B7223" w14:textId="77777777" w:rsidR="00926BDA" w:rsidRDefault="00926BDA" w:rsidP="00926BDA">
      <w:permStart w:id="275065348" w:edGrp="everyone"/>
      <w:r>
        <w:t>TYPE YOUR TEXT HERE</w:t>
      </w:r>
    </w:p>
    <w:permEnd w:id="275065348"/>
    <w:p w14:paraId="56067118" w14:textId="77777777" w:rsidR="00926BDA" w:rsidRDefault="00926BDA" w:rsidP="00926BDA">
      <w:r>
        <w:t>&lt;ESMA_QUESTION_CASR_8&gt;</w:t>
      </w:r>
    </w:p>
    <w:p w14:paraId="502D9164" w14:textId="77777777" w:rsidR="00926BDA" w:rsidRDefault="00926BDA" w:rsidP="00926BDA"/>
    <w:p w14:paraId="7F2F83D7" w14:textId="77777777" w:rsidR="00926BDA" w:rsidRDefault="00926BDA" w:rsidP="00926BDA">
      <w:pPr>
        <w:pStyle w:val="Questionstyle"/>
        <w:spacing w:before="120" w:after="120"/>
        <w:ind w:left="851" w:hanging="709"/>
      </w:pPr>
      <w:r>
        <w:t>What are the key advantages of option 2a and how do these benefits address the issues in section 3?</w:t>
      </w:r>
    </w:p>
    <w:p w14:paraId="5CE1B921" w14:textId="77777777" w:rsidR="00926BDA" w:rsidRDefault="00926BDA" w:rsidP="00926BDA">
      <w:r>
        <w:t>&lt;ESMA_QUESTION_CASR_9&gt;</w:t>
      </w:r>
    </w:p>
    <w:p w14:paraId="02B6D736" w14:textId="77777777" w:rsidR="00C30C00" w:rsidRDefault="00C30C00" w:rsidP="00C30C00">
      <w:pPr>
        <w:pStyle w:val="paragraph0"/>
        <w:spacing w:before="0" w:beforeAutospacing="0" w:after="0" w:afterAutospacing="0"/>
        <w:textAlignment w:val="baseline"/>
        <w:rPr>
          <w:rFonts w:ascii="Segoe UI" w:hAnsi="Segoe UI" w:cs="Segoe UI"/>
          <w:sz w:val="18"/>
          <w:szCs w:val="18"/>
        </w:rPr>
      </w:pPr>
      <w:permStart w:id="1249454344" w:edGrp="everyone"/>
      <w:r>
        <w:t xml:space="preserve"> </w:t>
      </w:r>
      <w:r>
        <w:rPr>
          <w:rStyle w:val="normaltextrun"/>
          <w:rFonts w:ascii="Aptos" w:eastAsiaTheme="majorEastAsia" w:hAnsi="Aptos" w:cs="Segoe UI"/>
          <w:lang w:val="en-US"/>
        </w:rPr>
        <w:t>Clearly this option is more definitive in terms of addressing duplication and inconsistencies across regimes in the long run, by combining EMIR, MiFIR and SFTR reporting into one regime.   This approach would lead to the creation of a single reporting mandate of extreme granularity, encompassing all data points required under the three regimes.</w:t>
      </w:r>
      <w:r>
        <w:rPr>
          <w:rStyle w:val="eop"/>
          <w:rFonts w:ascii="Aptos" w:eastAsiaTheme="majorEastAsia" w:hAnsi="Aptos" w:cs="Segoe UI"/>
        </w:rPr>
        <w:t> </w:t>
      </w:r>
    </w:p>
    <w:p w14:paraId="5A8801BA" w14:textId="25289DF2" w:rsidR="00926BDA" w:rsidRPr="00C30C00" w:rsidRDefault="00C30C00" w:rsidP="00C30C00">
      <w:pPr>
        <w:pStyle w:val="paragraph0"/>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lang w:val="en-US"/>
        </w:rPr>
        <w:t>As noted in paragraph 42 of ESMA’s Call for Evidence, we note that MiFIR and its associated reporting channels currently handle the widest instrument scope, the highest reporting volumes, and operate with established processes for the safe handling of</w:t>
      </w:r>
      <w:r>
        <w:rPr>
          <w:rStyle w:val="normaltextrun"/>
          <w:rFonts w:ascii="Aptos" w:eastAsiaTheme="majorEastAsia" w:hAnsi="Aptos" w:cs="Segoe UI"/>
          <w:color w:val="498205"/>
          <w:u w:val="single"/>
          <w:lang w:val="en-US"/>
        </w:rPr>
        <w:t xml:space="preserve"> </w:t>
      </w:r>
      <w:r>
        <w:rPr>
          <w:rStyle w:val="normaltextrun"/>
          <w:rFonts w:ascii="Aptos" w:eastAsiaTheme="majorEastAsia" w:hAnsi="Aptos" w:cs="Segoe UI"/>
          <w:lang w:val="en-US"/>
        </w:rPr>
        <w:t xml:space="preserve">PII. </w:t>
      </w:r>
    </w:p>
    <w:permEnd w:id="1249454344"/>
    <w:p w14:paraId="2EB71523" w14:textId="77777777" w:rsidR="00926BDA" w:rsidRDefault="00926BDA" w:rsidP="00926BDA">
      <w:r>
        <w:t>&lt;ESMA_QUESTION_CASR_9&gt;</w:t>
      </w:r>
    </w:p>
    <w:p w14:paraId="40B2AE04" w14:textId="77777777" w:rsidR="00926BDA" w:rsidRDefault="00926BDA" w:rsidP="00926BDA"/>
    <w:p w14:paraId="21CAA22D" w14:textId="77777777" w:rsidR="00926BDA" w:rsidRDefault="00926BDA" w:rsidP="00926BDA">
      <w:pPr>
        <w:pStyle w:val="Questionstyle"/>
        <w:spacing w:before="120" w:after="120"/>
        <w:ind w:left="851" w:hanging="709"/>
      </w:pPr>
      <w:r>
        <w:t>What are the key limitations and potential risks of option 2a?</w:t>
      </w:r>
    </w:p>
    <w:p w14:paraId="75BC6033" w14:textId="77777777" w:rsidR="00926BDA" w:rsidRDefault="00926BDA" w:rsidP="00926BDA">
      <w:r>
        <w:t>&lt;ESMA_QUESTION_CASR_10&gt;</w:t>
      </w:r>
    </w:p>
    <w:p w14:paraId="56C38C26" w14:textId="61381231" w:rsidR="00926BDA" w:rsidRDefault="00CA5110" w:rsidP="00926BDA">
      <w:permStart w:id="199837036" w:edGrp="everyone"/>
      <w:r>
        <w:t xml:space="preserve"> </w:t>
      </w:r>
      <w:r>
        <w:rPr>
          <w:rStyle w:val="normaltextrun"/>
          <w:rFonts w:ascii="Aptos" w:eastAsiaTheme="majorEastAsia" w:hAnsi="Aptos"/>
          <w:color w:val="000000"/>
          <w:shd w:val="clear" w:color="auto" w:fill="FFFFFF"/>
          <w:lang w:val="en-US"/>
        </w:rPr>
        <w:t xml:space="preserve">This approach, as mentioned above, is likely to result in extremely granular reporting templates for the purposes of handling all the variables across three reporting regimes. This would be a big lift in terms of the associated changes to firms’ reporting systems required to support such a change, involving significant redevelopment of IT infrastructure, data mapping, and compliance processes. The resulting investment in time, resources, and technology would translate into a </w:t>
      </w:r>
      <w:r>
        <w:rPr>
          <w:rStyle w:val="normaltextrun"/>
          <w:rFonts w:ascii="Aptos" w:eastAsiaTheme="majorEastAsia" w:hAnsi="Aptos"/>
          <w:b/>
          <w:bCs/>
          <w:color w:val="000000"/>
          <w:shd w:val="clear" w:color="auto" w:fill="FFFFFF"/>
          <w:lang w:val="en-US"/>
        </w:rPr>
        <w:t>very substantial increase in adaptation costs</w:t>
      </w:r>
      <w:r>
        <w:rPr>
          <w:rStyle w:val="normaltextrun"/>
          <w:rFonts w:ascii="Aptos" w:eastAsiaTheme="majorEastAsia" w:hAnsi="Aptos"/>
          <w:color w:val="000000"/>
          <w:shd w:val="clear" w:color="auto" w:fill="FFFFFF"/>
          <w:lang w:val="en-US"/>
        </w:rPr>
        <w:t xml:space="preserve"> for market participants. Such an outcome would directly undermine one of the key policy objectives of the review—namely, to streamline requirements and reduce compliance costs—thereby defeating the cost-reduction driver of the exercise.   We also </w:t>
      </w:r>
      <w:proofErr w:type="spellStart"/>
      <w:r>
        <w:rPr>
          <w:rStyle w:val="normaltextrun"/>
          <w:rFonts w:ascii="Aptos" w:eastAsiaTheme="majorEastAsia" w:hAnsi="Aptos"/>
          <w:color w:val="000000"/>
          <w:shd w:val="clear" w:color="auto" w:fill="FFFFFF"/>
          <w:lang w:val="en-US"/>
        </w:rPr>
        <w:t>recognise</w:t>
      </w:r>
      <w:proofErr w:type="spellEnd"/>
      <w:r>
        <w:rPr>
          <w:rStyle w:val="normaltextrun"/>
          <w:rFonts w:ascii="Aptos" w:eastAsiaTheme="majorEastAsia" w:hAnsi="Aptos"/>
          <w:color w:val="000000"/>
          <w:shd w:val="clear" w:color="auto" w:fill="FFFFFF"/>
          <w:lang w:val="en-US"/>
        </w:rPr>
        <w:t xml:space="preserve"> that the legal changes required to implement such a fundamental reconfiguration of EU reporting would likely entail a protracted process, which represents a significant drawback to this approach.</w:t>
      </w:r>
    </w:p>
    <w:permEnd w:id="199837036"/>
    <w:p w14:paraId="26E45EF4" w14:textId="77777777" w:rsidR="00926BDA" w:rsidRDefault="00926BDA" w:rsidP="00926BDA">
      <w:r>
        <w:t>&lt;ESMA_QUESTION_CASR_10&gt;</w:t>
      </w:r>
    </w:p>
    <w:p w14:paraId="221B859E" w14:textId="77777777" w:rsidR="00926BDA" w:rsidRDefault="00926BDA" w:rsidP="00926BDA"/>
    <w:p w14:paraId="14E1C31C" w14:textId="77777777" w:rsidR="00926BDA" w:rsidRDefault="00926BDA" w:rsidP="00926BDA">
      <w:pPr>
        <w:pStyle w:val="Questionstyle"/>
        <w:spacing w:before="120" w:after="120"/>
        <w:ind w:left="851" w:hanging="709"/>
      </w:pPr>
      <w:r w:rsidRPr="00CF1984">
        <w:lastRenderedPageBreak/>
        <w:t xml:space="preserve">What components are missing or not adequately addressed in option 2a? Why are these elements important, and how might their inclusion change the evaluation or implementation of option 2a? </w:t>
      </w:r>
    </w:p>
    <w:p w14:paraId="3406D24E" w14:textId="77777777" w:rsidR="00926BDA" w:rsidRDefault="00926BDA" w:rsidP="00926BDA">
      <w:r>
        <w:t>&lt;ESMA_QUESTION_CASR_11&gt;</w:t>
      </w:r>
    </w:p>
    <w:p w14:paraId="04BEB89B" w14:textId="77777777" w:rsidR="00926BDA" w:rsidRDefault="00926BDA" w:rsidP="00926BDA">
      <w:permStart w:id="2123508368" w:edGrp="everyone"/>
      <w:r>
        <w:t>TYPE YOUR TEXT HERE</w:t>
      </w:r>
    </w:p>
    <w:permEnd w:id="2123508368"/>
    <w:p w14:paraId="23BCC39D" w14:textId="77777777" w:rsidR="00926BDA" w:rsidRDefault="00926BDA" w:rsidP="00926BDA">
      <w:r>
        <w:t>&lt;ESMA_QUESTION_CASR_11&gt;</w:t>
      </w:r>
    </w:p>
    <w:p w14:paraId="1BA92572" w14:textId="77777777" w:rsidR="00926BDA" w:rsidRDefault="00926BDA" w:rsidP="00926BDA"/>
    <w:p w14:paraId="430E3DDC" w14:textId="77777777" w:rsidR="00926BDA" w:rsidRDefault="00926BDA" w:rsidP="00926BDA">
      <w:pPr>
        <w:pStyle w:val="Questionstyle"/>
        <w:spacing w:before="120" w:after="120"/>
        <w:ind w:left="851" w:hanging="709"/>
      </w:pPr>
      <w:r>
        <w:t>What are the key advantages of option 2b and how do these benefits address the issues in section 3? What regimes should be included in such an option beyond EMIR, MiFIR and SFTR?</w:t>
      </w:r>
    </w:p>
    <w:p w14:paraId="14680AA6" w14:textId="77777777" w:rsidR="00926BDA" w:rsidRDefault="00926BDA" w:rsidP="00926BDA">
      <w:r>
        <w:t>&lt;ESMA_QUESTION_CASR_12&gt;</w:t>
      </w:r>
    </w:p>
    <w:p w14:paraId="766D4117" w14:textId="3F5067C1" w:rsidR="00926BDA" w:rsidRDefault="00871077" w:rsidP="00926BDA">
      <w:permStart w:id="16780711" w:edGrp="everyone"/>
      <w:r>
        <w:t xml:space="preserve"> </w:t>
      </w:r>
      <w:r>
        <w:rPr>
          <w:rStyle w:val="normaltextrun"/>
          <w:rFonts w:ascii="Aptos" w:eastAsiaTheme="majorEastAsia" w:hAnsi="Aptos"/>
          <w:color w:val="000000"/>
          <w:shd w:val="clear" w:color="auto" w:fill="FFFFFF"/>
          <w:lang w:val="en-US"/>
        </w:rPr>
        <w:t>The downsides are similar to those identified in the response to Q9, though more acute, given the even wider scope envisaged in this option.</w:t>
      </w:r>
      <w:r>
        <w:rPr>
          <w:rStyle w:val="eop"/>
          <w:rFonts w:ascii="Aptos" w:eastAsiaTheme="majorEastAsia" w:hAnsi="Aptos"/>
          <w:color w:val="000000"/>
          <w:shd w:val="clear" w:color="auto" w:fill="FFFFFF"/>
        </w:rPr>
        <w:t> </w:t>
      </w:r>
    </w:p>
    <w:permEnd w:id="16780711"/>
    <w:p w14:paraId="586717CC" w14:textId="77777777" w:rsidR="00926BDA" w:rsidRDefault="00926BDA" w:rsidP="00926BDA">
      <w:r>
        <w:t>&lt;ESMA_QUESTION_CASR_12&gt;</w:t>
      </w:r>
    </w:p>
    <w:p w14:paraId="0608E479" w14:textId="77777777" w:rsidR="00926BDA" w:rsidRDefault="00926BDA" w:rsidP="00926BDA"/>
    <w:p w14:paraId="1E31B6FF" w14:textId="77777777" w:rsidR="00926BDA" w:rsidRDefault="00926BDA" w:rsidP="00926BDA">
      <w:pPr>
        <w:pStyle w:val="Questionstyle"/>
        <w:spacing w:before="120" w:after="120"/>
        <w:ind w:left="851" w:hanging="709"/>
      </w:pPr>
      <w:r>
        <w:t>What are the key limitations and potential risks of option 2b?</w:t>
      </w:r>
    </w:p>
    <w:p w14:paraId="74462196" w14:textId="77777777" w:rsidR="00926BDA" w:rsidRDefault="00926BDA" w:rsidP="00926BDA">
      <w:r>
        <w:t>&lt;ESMA_QUESTION_CASR_13&gt;</w:t>
      </w:r>
    </w:p>
    <w:p w14:paraId="4183663D" w14:textId="08756C51" w:rsidR="00926BDA" w:rsidRDefault="0041760A" w:rsidP="00926BDA">
      <w:permStart w:id="1489376342" w:edGrp="everyone"/>
      <w:r>
        <w:t xml:space="preserve"> </w:t>
      </w:r>
      <w:r>
        <w:rPr>
          <w:rStyle w:val="normaltextrun"/>
          <w:rFonts w:ascii="Aptos" w:eastAsiaTheme="majorEastAsia" w:hAnsi="Aptos"/>
          <w:color w:val="000000"/>
          <w:shd w:val="clear" w:color="auto" w:fill="FFFFFF"/>
          <w:lang w:val="en-US"/>
        </w:rPr>
        <w:t>Please see response  to Q10.</w:t>
      </w:r>
      <w:r>
        <w:rPr>
          <w:rStyle w:val="eop"/>
          <w:rFonts w:ascii="Aptos" w:eastAsiaTheme="majorEastAsia" w:hAnsi="Aptos"/>
          <w:color w:val="000000"/>
          <w:shd w:val="clear" w:color="auto" w:fill="FFFFFF"/>
        </w:rPr>
        <w:t> </w:t>
      </w:r>
    </w:p>
    <w:permEnd w:id="1489376342"/>
    <w:p w14:paraId="68F5F79E" w14:textId="77777777" w:rsidR="00926BDA" w:rsidRDefault="00926BDA" w:rsidP="00926BDA">
      <w:r>
        <w:t>&lt;ESMA_QUESTION_CASR_13&gt;</w:t>
      </w:r>
    </w:p>
    <w:p w14:paraId="3F2950D9" w14:textId="77777777" w:rsidR="00926BDA" w:rsidRDefault="00926BDA" w:rsidP="00926BDA"/>
    <w:p w14:paraId="2F0F769D" w14:textId="77777777" w:rsidR="00926BDA" w:rsidRDefault="00926BDA" w:rsidP="00926BDA">
      <w:pPr>
        <w:pStyle w:val="Questionstyle"/>
        <w:spacing w:before="120" w:after="120"/>
        <w:ind w:left="851" w:hanging="709"/>
      </w:pPr>
      <w:r>
        <w:t>What components are missing or not adequately addressed in option 2b? Why are these elements important, and how might their inclusion change the evaluation or implementation of option 2b?</w:t>
      </w:r>
    </w:p>
    <w:p w14:paraId="7F464072" w14:textId="77777777" w:rsidR="00926BDA" w:rsidRDefault="00926BDA" w:rsidP="00926BDA">
      <w:r>
        <w:t>&lt;ESMA_QUESTION_CASR_14&gt;</w:t>
      </w:r>
    </w:p>
    <w:p w14:paraId="45234655" w14:textId="77777777" w:rsidR="00926BDA" w:rsidRDefault="00926BDA" w:rsidP="00926BDA">
      <w:permStart w:id="1849847968" w:edGrp="everyone"/>
      <w:r>
        <w:t>TYPE YOUR TEXT HERE</w:t>
      </w:r>
    </w:p>
    <w:permEnd w:id="1849847968"/>
    <w:p w14:paraId="754DFA86" w14:textId="77777777" w:rsidR="00926BDA" w:rsidRDefault="00926BDA" w:rsidP="00926BDA">
      <w:r>
        <w:t>&lt;ESMA_QUESTION_CASR_14&gt;</w:t>
      </w:r>
    </w:p>
    <w:p w14:paraId="4B90EA1B" w14:textId="77777777" w:rsidR="00926BDA" w:rsidRDefault="00926BDA" w:rsidP="00926BDA"/>
    <w:p w14:paraId="1171D85E" w14:textId="77777777" w:rsidR="00926BDA" w:rsidRDefault="00926BDA" w:rsidP="00926BDA">
      <w:pPr>
        <w:pStyle w:val="Questionstyle"/>
        <w:spacing w:before="120" w:after="120"/>
        <w:ind w:left="851" w:hanging="709"/>
      </w:pPr>
      <w:r>
        <w:t>Which of the two main options (1. “removal of duplication in current frameworks” or 2. "report once") and related sub-options identified  do you believe should be prioritised, and why?</w:t>
      </w:r>
    </w:p>
    <w:p w14:paraId="5786375C" w14:textId="77777777" w:rsidR="00926BDA" w:rsidRDefault="00926BDA" w:rsidP="00926BDA">
      <w:r>
        <w:t>&lt;ESMA_QUESTION_CASR_15&gt;</w:t>
      </w:r>
    </w:p>
    <w:p w14:paraId="53069A83" w14:textId="4263E679" w:rsidR="00926BDA" w:rsidRDefault="0041760A" w:rsidP="00926BDA">
      <w:permStart w:id="695482675" w:edGrp="everyone"/>
      <w:r>
        <w:t xml:space="preserve"> </w:t>
      </w:r>
      <w:r>
        <w:rPr>
          <w:rStyle w:val="normaltextrun"/>
          <w:rFonts w:ascii="Aptos" w:eastAsiaTheme="majorEastAsia" w:hAnsi="Aptos"/>
          <w:color w:val="000000"/>
          <w:shd w:val="clear" w:color="auto" w:fill="FFFFFF"/>
          <w:lang w:val="en-US"/>
        </w:rPr>
        <w:t xml:space="preserve">Please see </w:t>
      </w:r>
      <w:r w:rsidR="000D0913">
        <w:rPr>
          <w:rStyle w:val="normaltextrun"/>
          <w:rFonts w:ascii="Aptos" w:eastAsiaTheme="majorEastAsia" w:hAnsi="Aptos"/>
          <w:color w:val="000000"/>
          <w:shd w:val="clear" w:color="auto" w:fill="FFFFFF"/>
          <w:lang w:val="en-US"/>
        </w:rPr>
        <w:t>response to</w:t>
      </w:r>
      <w:r>
        <w:rPr>
          <w:rStyle w:val="normaltextrun"/>
          <w:rFonts w:ascii="Aptos" w:eastAsiaTheme="majorEastAsia" w:hAnsi="Aptos"/>
          <w:color w:val="000000"/>
          <w:shd w:val="clear" w:color="auto" w:fill="FFFFFF"/>
          <w:lang w:val="en-US"/>
        </w:rPr>
        <w:t xml:space="preserve"> Q1</w:t>
      </w:r>
      <w:r>
        <w:rPr>
          <w:rStyle w:val="normaltextrun"/>
          <w:rFonts w:ascii="Aptos" w:eastAsiaTheme="majorEastAsia" w:hAnsi="Aptos"/>
          <w:color w:val="000000"/>
          <w:shd w:val="clear" w:color="auto" w:fill="FFFFFF"/>
          <w:lang w:val="en-US"/>
        </w:rPr>
        <w:t>6</w:t>
      </w:r>
      <w:r>
        <w:rPr>
          <w:rStyle w:val="normaltextrun"/>
          <w:rFonts w:ascii="Aptos" w:eastAsiaTheme="majorEastAsia" w:hAnsi="Aptos"/>
          <w:color w:val="000000"/>
          <w:shd w:val="clear" w:color="auto" w:fill="FFFFFF"/>
          <w:lang w:val="en-US"/>
        </w:rPr>
        <w:t>.</w:t>
      </w:r>
      <w:r>
        <w:rPr>
          <w:rStyle w:val="eop"/>
          <w:rFonts w:ascii="Aptos" w:eastAsiaTheme="majorEastAsia" w:hAnsi="Aptos"/>
          <w:color w:val="000000"/>
          <w:shd w:val="clear" w:color="auto" w:fill="FFFFFF"/>
        </w:rPr>
        <w:t> </w:t>
      </w:r>
    </w:p>
    <w:permEnd w:id="695482675"/>
    <w:p w14:paraId="3F62887A" w14:textId="77777777" w:rsidR="00926BDA" w:rsidRDefault="00926BDA" w:rsidP="00926BDA">
      <w:r>
        <w:t>&lt;ESMA_QUESTION_CASR_15&gt;</w:t>
      </w:r>
    </w:p>
    <w:p w14:paraId="421A97F2" w14:textId="77777777" w:rsidR="00926BDA" w:rsidRDefault="00926BDA" w:rsidP="00926BDA"/>
    <w:p w14:paraId="114400C6" w14:textId="77777777" w:rsidR="00926BDA" w:rsidRDefault="00926BDA" w:rsidP="00926BDA">
      <w:pPr>
        <w:pStyle w:val="Questionstyle"/>
        <w:spacing w:before="120" w:after="120"/>
        <w:ind w:left="851" w:hanging="709"/>
      </w:pPr>
      <w:r>
        <w:t>Are there any additional options that should be considered on top of option 1 and 2? For example, do you identify other potential intermediate solutions, combinations of elements from the identified options, or phased approaches? If so, what are their main characteristics, the reasons for considering them, and the key advantages they would bring?</w:t>
      </w:r>
    </w:p>
    <w:p w14:paraId="78DE67F2" w14:textId="77777777" w:rsidR="00926BDA" w:rsidRDefault="00926BDA" w:rsidP="00926BDA">
      <w:r>
        <w:t>&lt;ESMA_QUESTION_CASR_16&gt;</w:t>
      </w:r>
    </w:p>
    <w:p w14:paraId="05C67788" w14:textId="77777777" w:rsidR="00DE48C5" w:rsidRPr="00C22015" w:rsidRDefault="00DE48C5" w:rsidP="00DE48C5">
      <w:pPr>
        <w:pStyle w:val="paragraph0"/>
        <w:spacing w:before="0" w:beforeAutospacing="0" w:after="0" w:afterAutospacing="0"/>
        <w:textAlignment w:val="baseline"/>
        <w:rPr>
          <w:rFonts w:ascii="Arial" w:hAnsi="Arial" w:cs="Arial"/>
          <w:sz w:val="18"/>
          <w:szCs w:val="18"/>
        </w:rPr>
      </w:pPr>
      <w:permStart w:id="1784418006" w:edGrp="everyone"/>
      <w:r w:rsidRPr="00C22015">
        <w:rPr>
          <w:rFonts w:ascii="Arial" w:hAnsi="Arial" w:cs="Arial"/>
        </w:rPr>
        <w:lastRenderedPageBreak/>
        <w:t xml:space="preserve"> </w:t>
      </w:r>
      <w:r w:rsidRPr="00C22015">
        <w:rPr>
          <w:rStyle w:val="normaltextrun"/>
          <w:rFonts w:ascii="Arial" w:eastAsiaTheme="majorEastAsia" w:hAnsi="Arial" w:cs="Arial"/>
          <w:lang w:val="en-US"/>
        </w:rPr>
        <w:t>We support the identification of a long-term strategy for aligned regulatory reporting regimes which are simple for firms to implement. We recommend that, in considering strategy, ESMA focuses on the required data (for example as described in Principle 1) and the ultimate endpoints for such data (be it trade repositories, NCAs or ESMA).</w:t>
      </w:r>
      <w:r w:rsidRPr="00C22015">
        <w:rPr>
          <w:rStyle w:val="eop"/>
          <w:rFonts w:ascii="Arial" w:eastAsiaTheme="majorEastAsia" w:hAnsi="Arial" w:cs="Arial"/>
        </w:rPr>
        <w:t> </w:t>
      </w:r>
    </w:p>
    <w:p w14:paraId="29E454AE" w14:textId="77777777" w:rsidR="00DE48C5" w:rsidRPr="00C22015" w:rsidRDefault="00DE48C5" w:rsidP="00DE48C5">
      <w:pPr>
        <w:pStyle w:val="paragraph0"/>
        <w:spacing w:before="0" w:beforeAutospacing="0" w:after="0" w:afterAutospacing="0"/>
        <w:textAlignment w:val="baseline"/>
        <w:rPr>
          <w:rFonts w:ascii="Arial" w:hAnsi="Arial" w:cs="Arial"/>
          <w:sz w:val="18"/>
          <w:szCs w:val="18"/>
        </w:rPr>
      </w:pPr>
      <w:r w:rsidRPr="00C22015">
        <w:rPr>
          <w:rStyle w:val="normaltextrun"/>
          <w:rFonts w:ascii="Arial" w:eastAsiaTheme="majorEastAsia" w:hAnsi="Arial" w:cs="Arial"/>
          <w:lang w:val="en-US"/>
        </w:rPr>
        <w:t>With that strategy clearly articulated, both reporting entities and reporting infrastructure providers (ARMs, Trade Repositories, and technology providers), will choose from the appropriate options available to them to meet those requirements and may innovate and allow further phased opportunities to present themselves.</w:t>
      </w:r>
      <w:r w:rsidRPr="00C22015">
        <w:rPr>
          <w:rStyle w:val="eop"/>
          <w:rFonts w:ascii="Arial" w:eastAsiaTheme="majorEastAsia" w:hAnsi="Arial" w:cs="Arial"/>
        </w:rPr>
        <w:t> </w:t>
      </w:r>
    </w:p>
    <w:p w14:paraId="37915A7F" w14:textId="77777777" w:rsidR="00DE48C5" w:rsidRPr="00C22015" w:rsidRDefault="00DE48C5" w:rsidP="00DE48C5">
      <w:pPr>
        <w:pStyle w:val="paragraph0"/>
        <w:spacing w:before="0" w:beforeAutospacing="0" w:after="0" w:afterAutospacing="0"/>
        <w:textAlignment w:val="baseline"/>
        <w:rPr>
          <w:rFonts w:ascii="Arial" w:hAnsi="Arial" w:cs="Arial"/>
          <w:sz w:val="18"/>
          <w:szCs w:val="18"/>
        </w:rPr>
      </w:pPr>
      <w:r w:rsidRPr="00C22015">
        <w:rPr>
          <w:rStyle w:val="normaltextrun"/>
          <w:rFonts w:ascii="Arial" w:eastAsiaTheme="majorEastAsia" w:hAnsi="Arial" w:cs="Arial"/>
          <w:lang w:val="en-US"/>
        </w:rPr>
        <w:t>In theory, a firm could submit a single trade event for a derivative transaction to its ARM in the EMIR schema along with PII information, from which the ARM could create and send a MiFIR transaction report to an NCA or ESMA, and forward the EMIR report to the trade repository. If ESMA were to permit MiFIR reporting via the EMIR schema, the ARM could facilitate that change with little further implementation required from the client.</w:t>
      </w:r>
      <w:r w:rsidRPr="00C22015">
        <w:rPr>
          <w:rStyle w:val="eop"/>
          <w:rFonts w:ascii="Arial" w:eastAsiaTheme="majorEastAsia" w:hAnsi="Arial" w:cs="Arial"/>
        </w:rPr>
        <w:t> </w:t>
      </w:r>
    </w:p>
    <w:p w14:paraId="5E499852" w14:textId="77777777" w:rsidR="00DE48C5" w:rsidRPr="00C22015" w:rsidRDefault="00DE48C5" w:rsidP="00DE48C5">
      <w:pPr>
        <w:pStyle w:val="paragraph0"/>
        <w:spacing w:before="0" w:beforeAutospacing="0" w:after="0" w:afterAutospacing="0"/>
        <w:textAlignment w:val="baseline"/>
        <w:rPr>
          <w:rFonts w:ascii="Arial" w:hAnsi="Arial" w:cs="Arial"/>
          <w:sz w:val="18"/>
          <w:szCs w:val="18"/>
        </w:rPr>
      </w:pPr>
      <w:r w:rsidRPr="00C22015">
        <w:rPr>
          <w:rStyle w:val="normaltextrun"/>
          <w:rFonts w:ascii="Arial" w:eastAsiaTheme="majorEastAsia" w:hAnsi="Arial" w:cs="Arial"/>
          <w:lang w:val="en-US"/>
        </w:rPr>
        <w:t>Many investment firms and some technology vendors (including Bloomberg) operate technology solutions which already facilitate the reporting of data through centralized technology to a variety of different endpoints. If ESMA establishes the consolidated target da</w:t>
      </w:r>
      <w:r w:rsidRPr="00C22015">
        <w:rPr>
          <w:rStyle w:val="normaltextrun"/>
          <w:rFonts w:ascii="Arial" w:eastAsiaTheme="majorEastAsia" w:hAnsi="Arial" w:cs="Arial"/>
          <w:color w:val="000000"/>
          <w:sz w:val="22"/>
          <w:szCs w:val="22"/>
          <w:lang w:val="en-US"/>
        </w:rPr>
        <w:t>ta set, and target destinations, then the market can solve the issue.</w:t>
      </w:r>
      <w:r w:rsidRPr="00C22015">
        <w:rPr>
          <w:rStyle w:val="eop"/>
          <w:rFonts w:ascii="Arial" w:eastAsiaTheme="majorEastAsia" w:hAnsi="Arial" w:cs="Arial"/>
          <w:color w:val="000000"/>
          <w:sz w:val="22"/>
          <w:szCs w:val="22"/>
        </w:rPr>
        <w:t> </w:t>
      </w:r>
    </w:p>
    <w:p w14:paraId="486567FE" w14:textId="77777777" w:rsidR="00DE48C5" w:rsidRPr="00C22015" w:rsidRDefault="00DE48C5" w:rsidP="00DE48C5">
      <w:pPr>
        <w:pStyle w:val="paragraph0"/>
        <w:spacing w:before="0" w:beforeAutospacing="0" w:after="0" w:afterAutospacing="0"/>
        <w:textAlignment w:val="baseline"/>
        <w:rPr>
          <w:rFonts w:ascii="Arial" w:hAnsi="Arial" w:cs="Arial"/>
          <w:sz w:val="18"/>
          <w:szCs w:val="18"/>
        </w:rPr>
      </w:pPr>
      <w:r w:rsidRPr="00C22015">
        <w:rPr>
          <w:rStyle w:val="normaltextrun"/>
          <w:rFonts w:ascii="Arial" w:eastAsiaTheme="majorEastAsia" w:hAnsi="Arial" w:cs="Arial"/>
          <w:color w:val="000000"/>
          <w:sz w:val="22"/>
          <w:szCs w:val="22"/>
          <w:lang w:val="en-US"/>
        </w:rPr>
        <w:t>We do also see the possibility of considering a simplified less ambitious approach in the shorter term, which would focus on some or all of the following: </w:t>
      </w:r>
      <w:r w:rsidRPr="00C22015">
        <w:rPr>
          <w:rStyle w:val="eop"/>
          <w:rFonts w:ascii="Arial" w:eastAsiaTheme="majorEastAsia" w:hAnsi="Arial" w:cs="Arial"/>
          <w:color w:val="000000"/>
          <w:sz w:val="22"/>
          <w:szCs w:val="22"/>
        </w:rPr>
        <w:t> </w:t>
      </w:r>
    </w:p>
    <w:p w14:paraId="75534BD2" w14:textId="77777777" w:rsidR="00DE48C5" w:rsidRPr="00C22015" w:rsidRDefault="00DE48C5" w:rsidP="00DE48C5">
      <w:pPr>
        <w:pStyle w:val="paragraph0"/>
        <w:numPr>
          <w:ilvl w:val="0"/>
          <w:numId w:val="40"/>
        </w:numPr>
        <w:spacing w:before="0" w:beforeAutospacing="0" w:after="0" w:afterAutospacing="0"/>
        <w:ind w:left="1170" w:firstLine="0"/>
        <w:jc w:val="both"/>
        <w:textAlignment w:val="baseline"/>
        <w:rPr>
          <w:rFonts w:ascii="Arial" w:hAnsi="Arial" w:cs="Arial"/>
          <w:sz w:val="22"/>
          <w:szCs w:val="22"/>
        </w:rPr>
      </w:pPr>
      <w:r w:rsidRPr="00C22015">
        <w:rPr>
          <w:rStyle w:val="normaltextrun"/>
          <w:rFonts w:ascii="Arial" w:eastAsiaTheme="majorEastAsia" w:hAnsi="Arial" w:cs="Arial"/>
          <w:color w:val="000000"/>
          <w:sz w:val="22"/>
          <w:szCs w:val="22"/>
          <w:lang w:val="en-US"/>
        </w:rPr>
        <w:t>Alignment of the relevant terminology across the EMIR and MiFIR reporting regimes.   </w:t>
      </w:r>
      <w:r w:rsidRPr="00C22015">
        <w:rPr>
          <w:rStyle w:val="eop"/>
          <w:rFonts w:ascii="Arial" w:eastAsiaTheme="majorEastAsia" w:hAnsi="Arial" w:cs="Arial"/>
          <w:color w:val="000000"/>
          <w:sz w:val="22"/>
          <w:szCs w:val="22"/>
        </w:rPr>
        <w:t> </w:t>
      </w:r>
    </w:p>
    <w:p w14:paraId="17909B3F" w14:textId="77777777" w:rsidR="00DE48C5" w:rsidRPr="00C22015" w:rsidRDefault="00DE48C5" w:rsidP="00DE48C5">
      <w:pPr>
        <w:pStyle w:val="paragraph0"/>
        <w:numPr>
          <w:ilvl w:val="0"/>
          <w:numId w:val="41"/>
        </w:numPr>
        <w:spacing w:before="0" w:beforeAutospacing="0" w:after="0" w:afterAutospacing="0"/>
        <w:ind w:left="1170" w:firstLine="0"/>
        <w:jc w:val="both"/>
        <w:textAlignment w:val="baseline"/>
        <w:rPr>
          <w:rFonts w:ascii="Arial" w:hAnsi="Arial" w:cs="Arial"/>
          <w:sz w:val="22"/>
          <w:szCs w:val="22"/>
        </w:rPr>
      </w:pPr>
      <w:r w:rsidRPr="00C22015">
        <w:rPr>
          <w:rStyle w:val="normaltextrun"/>
          <w:rFonts w:ascii="Arial" w:eastAsiaTheme="majorEastAsia" w:hAnsi="Arial" w:cs="Arial"/>
          <w:color w:val="000000"/>
          <w:sz w:val="22"/>
          <w:szCs w:val="22"/>
          <w:lang w:val="en-US"/>
        </w:rPr>
        <w:t>Ensuring global alignment in the use of data standards. </w:t>
      </w:r>
      <w:r w:rsidRPr="00C22015">
        <w:rPr>
          <w:rStyle w:val="eop"/>
          <w:rFonts w:ascii="Arial" w:eastAsiaTheme="majorEastAsia" w:hAnsi="Arial" w:cs="Arial"/>
          <w:color w:val="000000"/>
          <w:sz w:val="22"/>
          <w:szCs w:val="22"/>
        </w:rPr>
        <w:t> </w:t>
      </w:r>
    </w:p>
    <w:p w14:paraId="21A07F5A" w14:textId="77777777" w:rsidR="00DE48C5" w:rsidRPr="00C22015" w:rsidRDefault="00DE48C5" w:rsidP="00DE48C5">
      <w:pPr>
        <w:pStyle w:val="paragraph0"/>
        <w:numPr>
          <w:ilvl w:val="0"/>
          <w:numId w:val="42"/>
        </w:numPr>
        <w:spacing w:before="0" w:beforeAutospacing="0" w:after="0" w:afterAutospacing="0"/>
        <w:ind w:left="1170" w:firstLine="0"/>
        <w:jc w:val="both"/>
        <w:textAlignment w:val="baseline"/>
        <w:rPr>
          <w:rFonts w:ascii="Arial" w:hAnsi="Arial" w:cs="Arial"/>
          <w:sz w:val="22"/>
          <w:szCs w:val="22"/>
        </w:rPr>
      </w:pPr>
      <w:proofErr w:type="spellStart"/>
      <w:r w:rsidRPr="00C22015">
        <w:rPr>
          <w:rStyle w:val="normaltextrun"/>
          <w:rFonts w:ascii="Arial" w:eastAsiaTheme="majorEastAsia" w:hAnsi="Arial" w:cs="Arial"/>
          <w:color w:val="000000"/>
          <w:sz w:val="22"/>
          <w:szCs w:val="22"/>
          <w:lang w:val="en-US"/>
        </w:rPr>
        <w:t>Minimisation</w:t>
      </w:r>
      <w:proofErr w:type="spellEnd"/>
      <w:r w:rsidRPr="00C22015">
        <w:rPr>
          <w:rStyle w:val="normaltextrun"/>
          <w:rFonts w:ascii="Arial" w:eastAsiaTheme="majorEastAsia" w:hAnsi="Arial" w:cs="Arial"/>
          <w:color w:val="000000"/>
          <w:sz w:val="22"/>
          <w:szCs w:val="22"/>
          <w:lang w:val="en-US"/>
        </w:rPr>
        <w:t>, where possible, of the duplication of reporting fields across EMIR and MiFIR. </w:t>
      </w:r>
      <w:r w:rsidRPr="00C22015">
        <w:rPr>
          <w:rStyle w:val="eop"/>
          <w:rFonts w:ascii="Arial" w:eastAsiaTheme="majorEastAsia" w:hAnsi="Arial" w:cs="Arial"/>
          <w:color w:val="000000"/>
          <w:sz w:val="22"/>
          <w:szCs w:val="22"/>
        </w:rPr>
        <w:t> </w:t>
      </w:r>
    </w:p>
    <w:p w14:paraId="254273C4" w14:textId="77777777" w:rsidR="00DE48C5" w:rsidRPr="00C22015" w:rsidRDefault="00DE48C5" w:rsidP="00DE48C5">
      <w:pPr>
        <w:pStyle w:val="paragraph0"/>
        <w:numPr>
          <w:ilvl w:val="0"/>
          <w:numId w:val="43"/>
        </w:numPr>
        <w:spacing w:before="0" w:beforeAutospacing="0" w:after="0" w:afterAutospacing="0"/>
        <w:ind w:left="1170" w:firstLine="0"/>
        <w:jc w:val="both"/>
        <w:textAlignment w:val="baseline"/>
        <w:rPr>
          <w:rFonts w:ascii="Arial" w:hAnsi="Arial" w:cs="Arial"/>
          <w:sz w:val="22"/>
          <w:szCs w:val="22"/>
        </w:rPr>
      </w:pPr>
      <w:r w:rsidRPr="00C22015">
        <w:rPr>
          <w:rStyle w:val="normaltextrun"/>
          <w:rFonts w:ascii="Arial" w:eastAsiaTheme="majorEastAsia" w:hAnsi="Arial" w:cs="Arial"/>
          <w:color w:val="000000"/>
          <w:sz w:val="22"/>
          <w:szCs w:val="22"/>
          <w:lang w:val="en-US"/>
        </w:rPr>
        <w:t>Removing ETDs from EMIR in order to bring the EMIR reporting in line with similar reporting in other jurisdictions and reduce the reporting burden overall.  </w:t>
      </w:r>
      <w:r w:rsidRPr="00C22015">
        <w:rPr>
          <w:rStyle w:val="eop"/>
          <w:rFonts w:ascii="Arial" w:eastAsiaTheme="majorEastAsia" w:hAnsi="Arial" w:cs="Arial"/>
          <w:color w:val="000000"/>
          <w:sz w:val="22"/>
          <w:szCs w:val="22"/>
        </w:rPr>
        <w:t> </w:t>
      </w:r>
    </w:p>
    <w:p w14:paraId="015FF867" w14:textId="77777777" w:rsidR="00DE48C5" w:rsidRPr="00C22015" w:rsidRDefault="00DE48C5" w:rsidP="00DE48C5">
      <w:pPr>
        <w:pStyle w:val="paragraph0"/>
        <w:numPr>
          <w:ilvl w:val="0"/>
          <w:numId w:val="44"/>
        </w:numPr>
        <w:spacing w:before="0" w:beforeAutospacing="0" w:after="0" w:afterAutospacing="0"/>
        <w:ind w:left="1170" w:firstLine="0"/>
        <w:jc w:val="both"/>
        <w:textAlignment w:val="baseline"/>
        <w:rPr>
          <w:rFonts w:ascii="Arial" w:hAnsi="Arial" w:cs="Arial"/>
        </w:rPr>
      </w:pPr>
      <w:r w:rsidRPr="00C22015">
        <w:rPr>
          <w:rStyle w:val="normaltextrun"/>
          <w:rFonts w:ascii="Arial" w:eastAsiaTheme="majorEastAsia" w:hAnsi="Arial" w:cs="Arial"/>
          <w:color w:val="000000"/>
          <w:sz w:val="22"/>
          <w:szCs w:val="22"/>
          <w:lang w:val="en-US"/>
        </w:rPr>
        <w:t>Deprecating dual-sided reporting in EMIR to reduce the number of reports which need to be submitted and managed, and to achieve greater global alignment.</w:t>
      </w:r>
      <w:r w:rsidRPr="00C22015">
        <w:rPr>
          <w:rStyle w:val="eop"/>
          <w:rFonts w:ascii="Arial" w:eastAsiaTheme="majorEastAsia" w:hAnsi="Arial" w:cs="Arial"/>
          <w:color w:val="000000"/>
          <w:sz w:val="22"/>
          <w:szCs w:val="22"/>
        </w:rPr>
        <w:t> </w:t>
      </w:r>
    </w:p>
    <w:p w14:paraId="59C944DC" w14:textId="77777777" w:rsidR="00DE48C5" w:rsidRPr="00C22015" w:rsidRDefault="00DE48C5" w:rsidP="00DE48C5">
      <w:pPr>
        <w:pStyle w:val="paragraph0"/>
        <w:spacing w:before="0" w:beforeAutospacing="0" w:after="0" w:afterAutospacing="0"/>
        <w:textAlignment w:val="baseline"/>
        <w:rPr>
          <w:rFonts w:ascii="Arial" w:hAnsi="Arial" w:cs="Arial"/>
          <w:sz w:val="18"/>
          <w:szCs w:val="18"/>
        </w:rPr>
      </w:pPr>
      <w:r w:rsidRPr="00C22015">
        <w:rPr>
          <w:rStyle w:val="eop"/>
          <w:rFonts w:ascii="Arial" w:eastAsiaTheme="majorEastAsia" w:hAnsi="Arial" w:cs="Arial"/>
          <w:color w:val="881798"/>
          <w:sz w:val="22"/>
          <w:szCs w:val="22"/>
        </w:rPr>
        <w:t> </w:t>
      </w:r>
    </w:p>
    <w:p w14:paraId="07469BB7" w14:textId="4DA973A4" w:rsidR="00926BDA" w:rsidRPr="00C22015" w:rsidRDefault="00DE48C5" w:rsidP="00DE48C5">
      <w:pPr>
        <w:pStyle w:val="paragraph0"/>
        <w:spacing w:before="0" w:beforeAutospacing="0" w:after="0" w:afterAutospacing="0"/>
        <w:textAlignment w:val="baseline"/>
        <w:rPr>
          <w:rFonts w:ascii="Arial" w:hAnsi="Arial" w:cs="Arial"/>
          <w:sz w:val="18"/>
          <w:szCs w:val="18"/>
        </w:rPr>
      </w:pPr>
      <w:r w:rsidRPr="00C22015">
        <w:rPr>
          <w:rStyle w:val="normaltextrun"/>
          <w:rFonts w:ascii="Arial" w:eastAsiaTheme="majorEastAsia" w:hAnsi="Arial" w:cs="Arial"/>
          <w:sz w:val="22"/>
          <w:szCs w:val="22"/>
          <w:lang w:val="en-US"/>
        </w:rPr>
        <w:t>In this context, we wish to draw ESMA's attention to the parallel work of the UK's Financial Conduct Authority, which is pursuing similar objectives. Any divergence between our interconnected markets risks creating significant operational complexity and duplicative compliance burdens. Therefore, we suggest ESMA also considers the FCA's work to foster a consistent approach, reducing burdens on firms and benefiting the market as a whole.</w:t>
      </w:r>
      <w:r w:rsidRPr="00C22015">
        <w:rPr>
          <w:rStyle w:val="eop"/>
          <w:rFonts w:ascii="Arial" w:eastAsiaTheme="majorEastAsia" w:hAnsi="Arial" w:cs="Arial"/>
          <w:sz w:val="22"/>
          <w:szCs w:val="22"/>
        </w:rPr>
        <w:t> </w:t>
      </w:r>
    </w:p>
    <w:permEnd w:id="1784418006"/>
    <w:p w14:paraId="3AD06511" w14:textId="77777777" w:rsidR="00926BDA" w:rsidRDefault="00926BDA" w:rsidP="00926BDA">
      <w:r>
        <w:t>&lt;ESMA_QUESTION_CASR_16&gt;</w:t>
      </w:r>
    </w:p>
    <w:p w14:paraId="67C20FBF" w14:textId="77777777" w:rsidR="00926BDA" w:rsidRDefault="00926BDA" w:rsidP="00926BDA"/>
    <w:p w14:paraId="1AE2F2AC" w14:textId="77777777" w:rsidR="00926BDA" w:rsidRDefault="00926BDA" w:rsidP="00926BDA">
      <w:pPr>
        <w:pStyle w:val="Questionstyle"/>
        <w:spacing w:before="120" w:after="120"/>
        <w:ind w:left="851" w:hanging="709"/>
      </w:pPr>
      <w:r>
        <w:t>Should the reporting channels, and flows be modified to ensure consistent reporting, and if so, how? Under which option/s do you consider these changes should be implemented?</w:t>
      </w:r>
    </w:p>
    <w:p w14:paraId="0F8473A0" w14:textId="77777777" w:rsidR="00926BDA" w:rsidRDefault="00926BDA" w:rsidP="00926BDA">
      <w:r>
        <w:t>&lt;ESMA_QUESTION_CASR_17&gt;</w:t>
      </w:r>
    </w:p>
    <w:p w14:paraId="67546B02" w14:textId="77777777" w:rsidR="00926BDA" w:rsidRDefault="00926BDA" w:rsidP="00926BDA">
      <w:permStart w:id="1438851636" w:edGrp="everyone"/>
      <w:r>
        <w:t>TYPE YOUR TEXT HERE</w:t>
      </w:r>
    </w:p>
    <w:permEnd w:id="1438851636"/>
    <w:p w14:paraId="2C9A1A2C" w14:textId="77777777" w:rsidR="00926BDA" w:rsidRDefault="00926BDA" w:rsidP="00926BDA">
      <w:r>
        <w:t>&lt;ESMA_QUESTION_CASR_17&gt;</w:t>
      </w:r>
    </w:p>
    <w:p w14:paraId="2EEAD9C9" w14:textId="77777777" w:rsidR="00926BDA" w:rsidRDefault="00926BDA" w:rsidP="00926BDA"/>
    <w:p w14:paraId="02B1B8A8" w14:textId="77777777" w:rsidR="00926BDA" w:rsidRDefault="00926BDA" w:rsidP="00926BDA">
      <w:pPr>
        <w:pStyle w:val="Questionstyle"/>
        <w:spacing w:before="120" w:after="120"/>
        <w:ind w:left="851" w:hanging="709"/>
      </w:pPr>
      <w:r>
        <w:lastRenderedPageBreak/>
        <w:t>In this regard, and based on the current order book requirements for trading venues and the availability of information, what are the advantages and disadvantages of transferring the reporting of on-venue transactions under MiFIR and EMIR to trading venues?</w:t>
      </w:r>
    </w:p>
    <w:p w14:paraId="7705C731" w14:textId="77777777" w:rsidR="00926BDA" w:rsidRDefault="00926BDA" w:rsidP="00926BDA">
      <w:r>
        <w:t>&lt;ESMA_QUESTION_CASR_18&gt;</w:t>
      </w:r>
    </w:p>
    <w:p w14:paraId="65549822" w14:textId="77777777" w:rsidR="003671A8" w:rsidRPr="00940999" w:rsidRDefault="003671A8" w:rsidP="003671A8">
      <w:pPr>
        <w:pStyle w:val="paragraph0"/>
        <w:spacing w:before="0" w:beforeAutospacing="0" w:after="0" w:afterAutospacing="0"/>
        <w:textAlignment w:val="baseline"/>
        <w:rPr>
          <w:rFonts w:asciiTheme="majorHAnsi" w:hAnsiTheme="majorHAnsi" w:cstheme="majorHAnsi"/>
          <w:sz w:val="18"/>
          <w:szCs w:val="18"/>
        </w:rPr>
      </w:pPr>
      <w:permStart w:id="1962436404" w:edGrp="everyone"/>
      <w:r>
        <w:t xml:space="preserve"> </w:t>
      </w:r>
      <w:r w:rsidRPr="00940999">
        <w:rPr>
          <w:rStyle w:val="normaltextrun"/>
          <w:rFonts w:asciiTheme="majorHAnsi" w:eastAsiaTheme="majorEastAsia" w:hAnsiTheme="majorHAnsi" w:cstheme="majorHAnsi"/>
          <w:sz w:val="22"/>
          <w:szCs w:val="22"/>
          <w:lang w:val="en"/>
        </w:rPr>
        <w:t xml:space="preserve">We do not consider it advantageous to transfer additional reporting of on-venue transactions under MiFIR and EMIR to investment firms operating trading venues. </w:t>
      </w:r>
      <w:r w:rsidRPr="00940999">
        <w:rPr>
          <w:rStyle w:val="eop"/>
          <w:rFonts w:asciiTheme="majorHAnsi" w:eastAsiaTheme="majorEastAsia" w:hAnsiTheme="majorHAnsi" w:cstheme="majorHAnsi"/>
          <w:sz w:val="22"/>
          <w:szCs w:val="22"/>
        </w:rPr>
        <w:t> </w:t>
      </w:r>
    </w:p>
    <w:p w14:paraId="795D2BD6" w14:textId="77777777" w:rsidR="003671A8" w:rsidRPr="00940999" w:rsidRDefault="003671A8" w:rsidP="003671A8">
      <w:pPr>
        <w:pStyle w:val="paragraph0"/>
        <w:spacing w:before="0" w:beforeAutospacing="0" w:after="0" w:afterAutospacing="0"/>
        <w:textAlignment w:val="baseline"/>
        <w:rPr>
          <w:rFonts w:asciiTheme="majorHAnsi" w:hAnsiTheme="majorHAnsi" w:cstheme="majorHAnsi"/>
          <w:sz w:val="18"/>
          <w:szCs w:val="18"/>
        </w:rPr>
      </w:pPr>
      <w:r w:rsidRPr="00940999">
        <w:rPr>
          <w:rStyle w:val="normaltextrun"/>
          <w:rFonts w:asciiTheme="majorHAnsi" w:eastAsiaTheme="majorEastAsia" w:hAnsiTheme="majorHAnsi" w:cstheme="majorHAnsi"/>
          <w:sz w:val="22"/>
          <w:szCs w:val="22"/>
          <w:lang w:val="en-US"/>
        </w:rPr>
        <w:t xml:space="preserve">Whilst investment firms operating trading venues have access to transaction data relating to the venues’ own participants, underlying client data is necessarily indirect and therefore not readily available to trading venue operators. As articulated in response to Q1, the reporting obligation should rest with the party that has the most direct access to the relevant transaction information. Where the party  is not subject to MiFIR (or EMIR), then imposing the obligation on a trading venue to obtain that information is inefficient, and is unlikely to produce high-quality reporting, since the only data that the trading venue has direct access to and visibility of,  relates to the  transactions executed on its systems. </w:t>
      </w:r>
      <w:r w:rsidRPr="00940999">
        <w:rPr>
          <w:rStyle w:val="eop"/>
          <w:rFonts w:asciiTheme="majorHAnsi" w:eastAsiaTheme="majorEastAsia" w:hAnsiTheme="majorHAnsi" w:cstheme="majorHAnsi"/>
          <w:sz w:val="22"/>
          <w:szCs w:val="22"/>
        </w:rPr>
        <w:t> </w:t>
      </w:r>
    </w:p>
    <w:p w14:paraId="33B78B8E" w14:textId="21025175" w:rsidR="00926BDA" w:rsidRPr="00940999" w:rsidRDefault="003671A8" w:rsidP="00B04EF3">
      <w:pPr>
        <w:pStyle w:val="paragraph0"/>
        <w:spacing w:before="0" w:beforeAutospacing="0" w:after="0" w:afterAutospacing="0"/>
        <w:textAlignment w:val="baseline"/>
        <w:rPr>
          <w:rFonts w:asciiTheme="majorHAnsi" w:hAnsiTheme="majorHAnsi" w:cstheme="majorHAnsi"/>
          <w:sz w:val="18"/>
          <w:szCs w:val="18"/>
        </w:rPr>
      </w:pPr>
      <w:r w:rsidRPr="00940999">
        <w:rPr>
          <w:rStyle w:val="normaltextrun"/>
          <w:rFonts w:asciiTheme="majorHAnsi" w:eastAsiaTheme="majorEastAsia" w:hAnsiTheme="majorHAnsi" w:cstheme="majorHAnsi"/>
          <w:sz w:val="22"/>
          <w:szCs w:val="22"/>
          <w:lang w:val="en"/>
        </w:rPr>
        <w:t>Furthermore, as trading venue operators do not hold</w:t>
      </w:r>
      <w:r w:rsidRPr="00940999">
        <w:rPr>
          <w:rStyle w:val="normaltextrun"/>
          <w:rFonts w:asciiTheme="majorHAnsi" w:eastAsiaTheme="majorEastAsia" w:hAnsiTheme="majorHAnsi" w:cstheme="majorHAnsi"/>
          <w:color w:val="000000"/>
          <w:sz w:val="22"/>
          <w:szCs w:val="22"/>
          <w:lang w:val="en"/>
        </w:rPr>
        <w:t xml:space="preserve"> statutory powers to </w:t>
      </w:r>
      <w:r w:rsidRPr="00940999">
        <w:rPr>
          <w:rStyle w:val="normaltextrun"/>
          <w:rFonts w:asciiTheme="majorHAnsi" w:eastAsiaTheme="majorEastAsia" w:hAnsiTheme="majorHAnsi" w:cstheme="majorHAnsi"/>
          <w:sz w:val="22"/>
          <w:szCs w:val="22"/>
          <w:lang w:val="en"/>
        </w:rPr>
        <w:t>compel</w:t>
      </w:r>
      <w:r w:rsidRPr="00940999">
        <w:rPr>
          <w:rStyle w:val="normaltextrun"/>
          <w:rFonts w:asciiTheme="majorHAnsi" w:eastAsiaTheme="majorEastAsia" w:hAnsiTheme="majorHAnsi" w:cstheme="majorHAnsi"/>
          <w:color w:val="000000"/>
          <w:sz w:val="22"/>
          <w:szCs w:val="22"/>
          <w:lang w:val="en"/>
        </w:rPr>
        <w:t xml:space="preserve"> participants to provide such data (</w:t>
      </w:r>
      <w:r w:rsidRPr="00940999">
        <w:rPr>
          <w:rStyle w:val="normaltextrun"/>
          <w:rFonts w:asciiTheme="majorHAnsi" w:eastAsiaTheme="majorEastAsia" w:hAnsiTheme="majorHAnsi" w:cstheme="majorHAnsi"/>
          <w:sz w:val="22"/>
          <w:szCs w:val="22"/>
          <w:lang w:val="en"/>
        </w:rPr>
        <w:t>nor does legislation</w:t>
      </w:r>
      <w:r w:rsidRPr="00940999">
        <w:rPr>
          <w:rStyle w:val="normaltextrun"/>
          <w:rFonts w:asciiTheme="majorHAnsi" w:eastAsiaTheme="majorEastAsia" w:hAnsiTheme="majorHAnsi" w:cstheme="majorHAnsi"/>
          <w:color w:val="000000"/>
          <w:sz w:val="22"/>
          <w:szCs w:val="22"/>
          <w:lang w:val="en"/>
        </w:rPr>
        <w:t xml:space="preserve"> impose direct penalties on such participants for failure to do so – e.g., failure to provide to </w:t>
      </w:r>
      <w:r w:rsidRPr="00940999">
        <w:rPr>
          <w:rStyle w:val="normaltextrun"/>
          <w:rFonts w:asciiTheme="majorHAnsi" w:eastAsiaTheme="majorEastAsia" w:hAnsiTheme="majorHAnsi" w:cstheme="majorHAnsi"/>
          <w:sz w:val="22"/>
          <w:szCs w:val="22"/>
          <w:lang w:val="en"/>
        </w:rPr>
        <w:t xml:space="preserve">the </w:t>
      </w:r>
      <w:r w:rsidRPr="00940999">
        <w:rPr>
          <w:rStyle w:val="normaltextrun"/>
          <w:rFonts w:asciiTheme="majorHAnsi" w:eastAsiaTheme="majorEastAsia" w:hAnsiTheme="majorHAnsi" w:cstheme="majorHAnsi"/>
          <w:color w:val="000000"/>
          <w:sz w:val="22"/>
          <w:szCs w:val="22"/>
          <w:lang w:val="en"/>
        </w:rPr>
        <w:t>venue complete client identifiers, allocation breakdowns, or lifecycle updates).  This effectively transfers regulatory risk from participants to trading venue operators, who only have limited contractual tools to enforce the provision of information required for regulatory reporting.</w:t>
      </w:r>
      <w:r w:rsidRPr="00940999">
        <w:rPr>
          <w:rStyle w:val="normaltextrun"/>
          <w:rFonts w:asciiTheme="majorHAnsi" w:eastAsiaTheme="majorEastAsia" w:hAnsiTheme="majorHAnsi" w:cstheme="majorHAnsi"/>
          <w:sz w:val="22"/>
          <w:szCs w:val="22"/>
          <w:lang w:val="en-US"/>
        </w:rPr>
        <w:t xml:space="preserve"> </w:t>
      </w:r>
      <w:r w:rsidRPr="00940999">
        <w:rPr>
          <w:rStyle w:val="normaltextrun"/>
          <w:rFonts w:asciiTheme="majorHAnsi" w:eastAsiaTheme="majorEastAsia" w:hAnsiTheme="majorHAnsi" w:cstheme="majorHAnsi"/>
          <w:sz w:val="22"/>
          <w:szCs w:val="22"/>
          <w:lang w:val="en"/>
        </w:rPr>
        <w:t>As articulated previously, this is an existing concern under Article 26(5), and these proposals would further exacerbate the issue.</w:t>
      </w:r>
      <w:r w:rsidRPr="00940999">
        <w:rPr>
          <w:rStyle w:val="scxw152741893"/>
          <w:rFonts w:asciiTheme="majorHAnsi" w:hAnsiTheme="majorHAnsi" w:cstheme="majorHAnsi"/>
          <w:sz w:val="22"/>
          <w:szCs w:val="22"/>
        </w:rPr>
        <w:t> </w:t>
      </w:r>
      <w:r w:rsidRPr="00940999">
        <w:rPr>
          <w:rFonts w:asciiTheme="majorHAnsi" w:hAnsiTheme="majorHAnsi" w:cstheme="majorHAnsi"/>
          <w:sz w:val="22"/>
          <w:szCs w:val="22"/>
        </w:rPr>
        <w:br/>
      </w:r>
      <w:r w:rsidRPr="00940999">
        <w:rPr>
          <w:rStyle w:val="scxw152741893"/>
          <w:rFonts w:asciiTheme="majorHAnsi" w:hAnsiTheme="majorHAnsi" w:cstheme="majorHAnsi"/>
          <w:sz w:val="22"/>
          <w:szCs w:val="22"/>
        </w:rPr>
        <w:t> </w:t>
      </w:r>
      <w:r w:rsidRPr="00940999">
        <w:rPr>
          <w:rFonts w:asciiTheme="majorHAnsi" w:hAnsiTheme="majorHAnsi" w:cstheme="majorHAnsi"/>
          <w:sz w:val="22"/>
          <w:szCs w:val="22"/>
        </w:rPr>
        <w:br/>
      </w:r>
      <w:r w:rsidRPr="00940999">
        <w:rPr>
          <w:rStyle w:val="normaltextrun"/>
          <w:rFonts w:asciiTheme="majorHAnsi" w:eastAsiaTheme="majorEastAsia" w:hAnsiTheme="majorHAnsi" w:cstheme="majorHAnsi"/>
          <w:sz w:val="22"/>
          <w:szCs w:val="22"/>
          <w:lang w:val="en"/>
        </w:rPr>
        <w:t xml:space="preserve">Accuracy and data quality are </w:t>
      </w:r>
      <w:proofErr w:type="spellStart"/>
      <w:r w:rsidRPr="00940999">
        <w:rPr>
          <w:rStyle w:val="normaltextrun"/>
          <w:rFonts w:asciiTheme="majorHAnsi" w:eastAsiaTheme="majorEastAsia" w:hAnsiTheme="majorHAnsi" w:cstheme="majorHAnsi"/>
          <w:sz w:val="22"/>
          <w:szCs w:val="22"/>
          <w:lang w:val="en"/>
        </w:rPr>
        <w:t>maximised</w:t>
      </w:r>
      <w:proofErr w:type="spellEnd"/>
      <w:r w:rsidRPr="00940999">
        <w:rPr>
          <w:rStyle w:val="normaltextrun"/>
          <w:rFonts w:asciiTheme="majorHAnsi" w:eastAsiaTheme="majorEastAsia" w:hAnsiTheme="majorHAnsi" w:cstheme="majorHAnsi"/>
          <w:sz w:val="22"/>
          <w:szCs w:val="22"/>
          <w:lang w:val="en"/>
        </w:rPr>
        <w:t xml:space="preserve"> when the entity responsible for the regulatory report has direct access to the fullest set of transaction data, including the complete  transaction lifecycle. ESMA’s “report once” option explicitly contemplates one-sided reporting by financial entities and CCPs under a </w:t>
      </w:r>
      <w:proofErr w:type="spellStart"/>
      <w:r w:rsidRPr="00940999">
        <w:rPr>
          <w:rStyle w:val="normaltextrun"/>
          <w:rFonts w:asciiTheme="majorHAnsi" w:eastAsiaTheme="majorEastAsia" w:hAnsiTheme="majorHAnsi" w:cstheme="majorHAnsi"/>
          <w:sz w:val="22"/>
          <w:szCs w:val="22"/>
          <w:lang w:val="en"/>
        </w:rPr>
        <w:t>harmonised</w:t>
      </w:r>
      <w:proofErr w:type="spellEnd"/>
      <w:r w:rsidRPr="00940999">
        <w:rPr>
          <w:rStyle w:val="normaltextrun"/>
          <w:rFonts w:asciiTheme="majorHAnsi" w:eastAsiaTheme="majorEastAsia" w:hAnsiTheme="majorHAnsi" w:cstheme="majorHAnsi"/>
          <w:sz w:val="22"/>
          <w:szCs w:val="22"/>
          <w:lang w:val="en"/>
        </w:rPr>
        <w:t xml:space="preserve"> template—aligning regulatory accountability and exposure with direct access to / control over transaction data. </w:t>
      </w:r>
    </w:p>
    <w:permEnd w:id="1962436404"/>
    <w:p w14:paraId="23718E98" w14:textId="77777777" w:rsidR="00926BDA" w:rsidRDefault="00926BDA" w:rsidP="00926BDA">
      <w:r>
        <w:t>&lt;ESMA_QUESTION_CASR_18&gt;</w:t>
      </w:r>
    </w:p>
    <w:p w14:paraId="5678260C" w14:textId="77777777" w:rsidR="00926BDA" w:rsidRDefault="00926BDA" w:rsidP="00926BDA"/>
    <w:p w14:paraId="5A58897A" w14:textId="77777777" w:rsidR="00926BDA" w:rsidRDefault="00926BDA" w:rsidP="00926BDA">
      <w:pPr>
        <w:pStyle w:val="Questionstyle"/>
        <w:spacing w:before="120" w:after="120"/>
        <w:ind w:left="851" w:hanging="709"/>
      </w:pPr>
      <w:r>
        <w:t xml:space="preserve">Additionally, what are your views on enhancing ESMA role as data hub by developing a framework where entities would report consistent and harmonised data directly to ESMA? Should this option consider direct reporting to ESMA coupled with EU and national authorities’ access to the centrally held data, eliminating multiple submissions? </w:t>
      </w:r>
    </w:p>
    <w:p w14:paraId="119EF579" w14:textId="77777777" w:rsidR="00926BDA" w:rsidRDefault="00926BDA" w:rsidP="00926BDA">
      <w:r>
        <w:t>&lt;ESMA_QUESTION_CASR_19&gt;</w:t>
      </w:r>
    </w:p>
    <w:p w14:paraId="1A3BE8DE" w14:textId="4245DDC7" w:rsidR="00926BDA" w:rsidRPr="001D4C67" w:rsidRDefault="00B04EF3" w:rsidP="00926BDA">
      <w:pPr>
        <w:rPr>
          <w:rFonts w:asciiTheme="majorHAnsi" w:hAnsiTheme="majorHAnsi" w:cstheme="majorHAnsi"/>
        </w:rPr>
      </w:pPr>
      <w:permStart w:id="105197077" w:edGrp="everyone"/>
      <w:r>
        <w:t xml:space="preserve"> </w:t>
      </w:r>
      <w:r w:rsidRPr="001D4C67">
        <w:rPr>
          <w:rStyle w:val="normaltextrun"/>
          <w:rFonts w:asciiTheme="majorHAnsi" w:eastAsiaTheme="majorEastAsia" w:hAnsiTheme="majorHAnsi" w:cstheme="majorHAnsi"/>
          <w:color w:val="000000"/>
          <w:shd w:val="clear" w:color="auto" w:fill="FFFFFF"/>
          <w:lang w:val="en-US"/>
        </w:rPr>
        <w:t xml:space="preserve">In previous discussions related to the targeted consultation on integration of EU capital markets, and particularly the sections devoted to </w:t>
      </w:r>
      <w:proofErr w:type="spellStart"/>
      <w:r w:rsidRPr="001D4C67">
        <w:rPr>
          <w:rStyle w:val="normaltextrun"/>
          <w:rFonts w:asciiTheme="majorHAnsi" w:eastAsiaTheme="majorEastAsia" w:hAnsiTheme="majorHAnsi" w:cstheme="majorHAnsi"/>
          <w:color w:val="000000"/>
          <w:shd w:val="clear" w:color="auto" w:fill="FFFFFF"/>
          <w:lang w:val="en-US"/>
        </w:rPr>
        <w:t>centralised</w:t>
      </w:r>
      <w:proofErr w:type="spellEnd"/>
      <w:r w:rsidRPr="001D4C67">
        <w:rPr>
          <w:rStyle w:val="normaltextrun"/>
          <w:rFonts w:asciiTheme="majorHAnsi" w:eastAsiaTheme="majorEastAsia" w:hAnsiTheme="majorHAnsi" w:cstheme="majorHAnsi"/>
          <w:color w:val="000000"/>
          <w:shd w:val="clear" w:color="auto" w:fill="FFFFFF"/>
          <w:lang w:val="en-US"/>
        </w:rPr>
        <w:t xml:space="preserve"> supervision, we have posited that the </w:t>
      </w:r>
      <w:proofErr w:type="spellStart"/>
      <w:r w:rsidRPr="001D4C67">
        <w:rPr>
          <w:rStyle w:val="normaltextrun"/>
          <w:rFonts w:asciiTheme="majorHAnsi" w:eastAsiaTheme="majorEastAsia" w:hAnsiTheme="majorHAnsi" w:cstheme="majorHAnsi"/>
          <w:color w:val="000000"/>
          <w:shd w:val="clear" w:color="auto" w:fill="FFFFFF"/>
          <w:lang w:val="en-US"/>
        </w:rPr>
        <w:t>centralisation</w:t>
      </w:r>
      <w:proofErr w:type="spellEnd"/>
      <w:r w:rsidRPr="001D4C67">
        <w:rPr>
          <w:rStyle w:val="normaltextrun"/>
          <w:rFonts w:asciiTheme="majorHAnsi" w:eastAsiaTheme="majorEastAsia" w:hAnsiTheme="majorHAnsi" w:cstheme="majorHAnsi"/>
          <w:color w:val="000000"/>
          <w:shd w:val="clear" w:color="auto" w:fill="FFFFFF"/>
          <w:lang w:val="en-US"/>
        </w:rPr>
        <w:t xml:space="preserve"> of transaction reporting data would be a good and rational first step. This would act as a good proof-of-concept for further changes, as this is a well-defined domain where outcomes may be clearly measured against specific objectives. </w:t>
      </w:r>
      <w:r w:rsidRPr="001D4C67">
        <w:rPr>
          <w:rStyle w:val="normaltextrun"/>
          <w:rFonts w:asciiTheme="majorHAnsi" w:eastAsiaTheme="majorEastAsia" w:hAnsiTheme="majorHAnsi" w:cstheme="majorHAnsi"/>
          <w:color w:val="000000"/>
          <w:sz w:val="22"/>
          <w:szCs w:val="22"/>
          <w:shd w:val="clear" w:color="auto" w:fill="FFFFFF"/>
          <w:lang w:val="en-US"/>
        </w:rPr>
        <w:t>Such a move would directly support</w:t>
      </w:r>
      <w:r w:rsidRPr="001D4C67">
        <w:rPr>
          <w:rStyle w:val="normaltextrun"/>
          <w:rFonts w:asciiTheme="majorHAnsi" w:eastAsiaTheme="majorEastAsia" w:hAnsiTheme="majorHAnsi" w:cstheme="majorHAnsi"/>
          <w:b/>
          <w:bCs/>
          <w:color w:val="000000"/>
          <w:sz w:val="22"/>
          <w:szCs w:val="22"/>
          <w:shd w:val="clear" w:color="auto" w:fill="FFFFFF"/>
          <w:lang w:val="en-US"/>
        </w:rPr>
        <w:t xml:space="preserve"> </w:t>
      </w:r>
      <w:r w:rsidRPr="001D4C67">
        <w:rPr>
          <w:rStyle w:val="normaltextrun"/>
          <w:rFonts w:asciiTheme="majorHAnsi" w:eastAsiaTheme="majorEastAsia" w:hAnsiTheme="majorHAnsi" w:cstheme="majorHAnsi"/>
          <w:color w:val="000000"/>
          <w:shd w:val="clear" w:color="auto" w:fill="FFFFFF"/>
          <w:lang w:val="en-US"/>
        </w:rPr>
        <w:t xml:space="preserve">ESMA’s supervisory objectives of reducing regulatory burden and improving the efficiency and integration of EU capital markets. Data plays a critical </w:t>
      </w:r>
      <w:r w:rsidRPr="001D4C67">
        <w:rPr>
          <w:rStyle w:val="normaltextrun"/>
          <w:rFonts w:asciiTheme="majorHAnsi" w:eastAsiaTheme="majorEastAsia" w:hAnsiTheme="majorHAnsi" w:cstheme="majorHAnsi"/>
          <w:color w:val="000000"/>
          <w:sz w:val="22"/>
          <w:szCs w:val="22"/>
          <w:shd w:val="clear" w:color="auto" w:fill="FFFFFF"/>
          <w:lang w:val="en-US"/>
        </w:rPr>
        <w:t>role in regulatory decision-making, we would suggest that all of ESMAs focus should be on this topic.</w:t>
      </w:r>
    </w:p>
    <w:permEnd w:id="105197077"/>
    <w:p w14:paraId="07615230" w14:textId="77777777" w:rsidR="00926BDA" w:rsidRDefault="00926BDA" w:rsidP="00926BDA">
      <w:r>
        <w:t>&lt;ESMA_QUESTION_CASR_19&gt;</w:t>
      </w:r>
    </w:p>
    <w:p w14:paraId="3B9A9E21" w14:textId="77777777" w:rsidR="00926BDA" w:rsidRDefault="00926BDA" w:rsidP="00926BDA"/>
    <w:p w14:paraId="35B135A6" w14:textId="77777777" w:rsidR="00926BDA" w:rsidRDefault="00926BDA" w:rsidP="00926BDA">
      <w:pPr>
        <w:pStyle w:val="Questionstyle"/>
        <w:spacing w:before="120" w:after="120"/>
        <w:ind w:left="851" w:hanging="709"/>
      </w:pPr>
      <w:r>
        <w:t>In the case of centralisation of reporting, please expand on the advantages and disadvantages as well as the implementation challenges and opportunities? Under this scenario, what additional elements should be considered (i.e. Operational aspects, technical implementation, etc.)</w:t>
      </w:r>
    </w:p>
    <w:p w14:paraId="6A63FD17" w14:textId="77777777" w:rsidR="00926BDA" w:rsidRDefault="00926BDA" w:rsidP="00926BDA">
      <w:r>
        <w:t>&lt;ESMA_QUESTION_CASR_20&gt;</w:t>
      </w:r>
    </w:p>
    <w:p w14:paraId="18F148C1" w14:textId="6B75C848" w:rsidR="00926BDA" w:rsidRDefault="00C90A5B" w:rsidP="00926BDA">
      <w:permStart w:id="817709938" w:edGrp="everyone"/>
      <w:r>
        <w:t xml:space="preserve"> </w:t>
      </w:r>
      <w:r w:rsidRPr="001D4C67">
        <w:rPr>
          <w:rStyle w:val="normaltextrun"/>
          <w:rFonts w:asciiTheme="minorHAnsi" w:eastAsiaTheme="majorEastAsia" w:hAnsiTheme="minorHAnsi" w:cstheme="minorHAnsi"/>
          <w:color w:val="000000"/>
          <w:shd w:val="clear" w:color="auto" w:fill="FFFFFF"/>
          <w:lang w:val="en-US"/>
        </w:rPr>
        <w:t>As noted, i</w:t>
      </w:r>
      <w:r w:rsidRPr="001D4C67">
        <w:rPr>
          <w:rStyle w:val="normaltextrun"/>
          <w:rFonts w:asciiTheme="minorHAnsi" w:eastAsiaTheme="majorEastAsia" w:hAnsiTheme="minorHAnsi" w:cstheme="minorHAnsi"/>
          <w:color w:val="000000"/>
          <w:sz w:val="22"/>
          <w:szCs w:val="22"/>
          <w:shd w:val="clear" w:color="auto" w:fill="FFFFFF"/>
          <w:lang w:val="en-US"/>
        </w:rPr>
        <w:t xml:space="preserve">t is important however to emphasize that the primary goal of </w:t>
      </w:r>
      <w:proofErr w:type="spellStart"/>
      <w:r w:rsidRPr="001D4C67">
        <w:rPr>
          <w:rStyle w:val="normaltextrun"/>
          <w:rFonts w:asciiTheme="minorHAnsi" w:eastAsiaTheme="majorEastAsia" w:hAnsiTheme="minorHAnsi" w:cstheme="minorHAnsi"/>
          <w:color w:val="000000"/>
          <w:sz w:val="22"/>
          <w:szCs w:val="22"/>
          <w:shd w:val="clear" w:color="auto" w:fill="FFFFFF"/>
          <w:lang w:val="en-US"/>
        </w:rPr>
        <w:t>centralisation</w:t>
      </w:r>
      <w:proofErr w:type="spellEnd"/>
      <w:r w:rsidRPr="001D4C67">
        <w:rPr>
          <w:rStyle w:val="normaltextrun"/>
          <w:rFonts w:asciiTheme="minorHAnsi" w:eastAsiaTheme="majorEastAsia" w:hAnsiTheme="minorHAnsi" w:cstheme="minorHAnsi"/>
          <w:color w:val="000000"/>
          <w:sz w:val="22"/>
          <w:szCs w:val="22"/>
          <w:shd w:val="clear" w:color="auto" w:fill="FFFFFF"/>
          <w:lang w:val="en-US"/>
        </w:rPr>
        <w:t xml:space="preserve"> is to simplify reporting processes, avoiding any duplication of reporting requirements with NCAs and ensuring that no additional costs are imposed on market participants</w:t>
      </w:r>
      <w:r>
        <w:rPr>
          <w:rStyle w:val="normaltextrun"/>
          <w:rFonts w:ascii="Arial" w:eastAsiaTheme="majorEastAsia" w:hAnsi="Arial" w:cs="Arial"/>
          <w:color w:val="000000"/>
          <w:sz w:val="22"/>
          <w:szCs w:val="22"/>
          <w:shd w:val="clear" w:color="auto" w:fill="FFFFFF"/>
          <w:lang w:val="en-US"/>
        </w:rPr>
        <w:t>.</w:t>
      </w:r>
    </w:p>
    <w:permEnd w:id="817709938"/>
    <w:p w14:paraId="7B80CF14" w14:textId="77777777" w:rsidR="00926BDA" w:rsidRDefault="00926BDA" w:rsidP="00926BDA">
      <w:r>
        <w:t>&lt;ESMA_QUESTION_CASR_20&gt;</w:t>
      </w:r>
    </w:p>
    <w:p w14:paraId="17953099" w14:textId="77777777" w:rsidR="00926BDA" w:rsidRDefault="00926BDA" w:rsidP="00926BDA"/>
    <w:p w14:paraId="51761AA6" w14:textId="77777777" w:rsidR="00926BDA" w:rsidRDefault="00926BDA" w:rsidP="00926BDA">
      <w:pPr>
        <w:pStyle w:val="Questionstyle"/>
        <w:spacing w:before="120" w:after="120"/>
        <w:ind w:left="851" w:hanging="709"/>
      </w:pPr>
      <w:r>
        <w:t>Do you consider that other technologies (e.g. DLT and Smart Contracts) should be considered as a way to simplify the reporting process?</w:t>
      </w:r>
    </w:p>
    <w:p w14:paraId="3AE92D91" w14:textId="77777777" w:rsidR="00926BDA" w:rsidRDefault="00926BDA" w:rsidP="00926BDA">
      <w:r>
        <w:t>&lt;ESMA_QUESTION_CASR_21&gt;</w:t>
      </w:r>
    </w:p>
    <w:p w14:paraId="1E85F6A9" w14:textId="63634030" w:rsidR="00926BDA" w:rsidRDefault="008F5B9E" w:rsidP="00926BDA">
      <w:permStart w:id="993723206" w:edGrp="everyone"/>
      <w:r>
        <w:t xml:space="preserve"> </w:t>
      </w:r>
      <w:r>
        <w:rPr>
          <w:rStyle w:val="normaltextrun"/>
          <w:rFonts w:ascii="Aptos" w:eastAsiaTheme="majorEastAsia" w:hAnsi="Aptos"/>
          <w:color w:val="000000"/>
          <w:shd w:val="clear" w:color="auto" w:fill="FFFFFF"/>
          <w:lang w:val="en-US"/>
        </w:rPr>
        <w:t xml:space="preserve">It </w:t>
      </w:r>
      <w:r w:rsidR="001D4C67">
        <w:rPr>
          <w:rStyle w:val="normaltextrun"/>
          <w:rFonts w:ascii="Aptos" w:eastAsiaTheme="majorEastAsia" w:hAnsi="Aptos"/>
          <w:color w:val="000000"/>
          <w:shd w:val="clear" w:color="auto" w:fill="FFFFFF"/>
          <w:lang w:val="en-US"/>
        </w:rPr>
        <w:t>is appropriate</w:t>
      </w:r>
      <w:r>
        <w:rPr>
          <w:rStyle w:val="normaltextrun"/>
          <w:rFonts w:ascii="Aptos" w:eastAsiaTheme="majorEastAsia" w:hAnsi="Aptos"/>
          <w:color w:val="000000"/>
          <w:shd w:val="clear" w:color="auto" w:fill="FFFFFF"/>
          <w:lang w:val="en-US"/>
        </w:rPr>
        <w:t xml:space="preserve"> to consider the potential role of technology in alleviating the reporting burden. However, in this context, it is not clear what specific challenges blockchain or DLT would address that could not more </w:t>
      </w:r>
      <w:r w:rsidR="001D4C67">
        <w:rPr>
          <w:rStyle w:val="normaltextrun"/>
          <w:rFonts w:ascii="Aptos" w:eastAsiaTheme="majorEastAsia" w:hAnsi="Aptos"/>
          <w:color w:val="000000"/>
          <w:shd w:val="clear" w:color="auto" w:fill="FFFFFF"/>
          <w:lang w:val="en-US"/>
        </w:rPr>
        <w:t>effectively</w:t>
      </w:r>
      <w:r>
        <w:rPr>
          <w:rStyle w:val="normaltextrun"/>
          <w:rFonts w:ascii="Aptos" w:eastAsiaTheme="majorEastAsia" w:hAnsi="Aptos"/>
          <w:color w:val="000000"/>
          <w:shd w:val="clear" w:color="auto" w:fill="FFFFFF"/>
          <w:lang w:val="en-US"/>
        </w:rPr>
        <w:t xml:space="preserve"> be resolved through </w:t>
      </w:r>
      <w:r w:rsidR="001D4C67">
        <w:rPr>
          <w:rStyle w:val="normaltextrun"/>
          <w:rFonts w:ascii="Aptos" w:eastAsiaTheme="majorEastAsia" w:hAnsi="Aptos"/>
          <w:color w:val="000000"/>
          <w:shd w:val="clear" w:color="auto" w:fill="FFFFFF"/>
          <w:lang w:val="en-US"/>
        </w:rPr>
        <w:t>robust implementation</w:t>
      </w:r>
      <w:r>
        <w:rPr>
          <w:rStyle w:val="normaltextrun"/>
          <w:rFonts w:ascii="Aptos" w:eastAsiaTheme="majorEastAsia" w:hAnsi="Aptos"/>
          <w:color w:val="000000"/>
          <w:shd w:val="clear" w:color="auto" w:fill="FFFFFF"/>
          <w:lang w:val="en-US"/>
        </w:rPr>
        <w:t xml:space="preserve"> of existing technologies. In </w:t>
      </w:r>
      <w:r w:rsidR="001D4C67">
        <w:rPr>
          <w:rStyle w:val="normaltextrun"/>
          <w:rFonts w:ascii="Aptos" w:eastAsiaTheme="majorEastAsia" w:hAnsi="Aptos"/>
          <w:color w:val="000000"/>
          <w:shd w:val="clear" w:color="auto" w:fill="FFFFFF"/>
          <w:lang w:val="en-US"/>
        </w:rPr>
        <w:t>particular, the</w:t>
      </w:r>
      <w:r>
        <w:rPr>
          <w:rStyle w:val="normaltextrun"/>
          <w:rFonts w:ascii="Aptos" w:eastAsiaTheme="majorEastAsia" w:hAnsi="Aptos"/>
          <w:color w:val="000000"/>
          <w:shd w:val="clear" w:color="auto" w:fill="FFFFFF"/>
          <w:lang w:val="en-US"/>
        </w:rPr>
        <w:t xml:space="preserve"> core characteristics of DLT – transparency </w:t>
      </w:r>
      <w:r w:rsidR="001D4C67">
        <w:rPr>
          <w:rStyle w:val="normaltextrun"/>
          <w:rFonts w:ascii="Aptos" w:eastAsiaTheme="majorEastAsia" w:hAnsi="Aptos"/>
          <w:color w:val="000000"/>
          <w:shd w:val="clear" w:color="auto" w:fill="FFFFFF"/>
          <w:lang w:val="en-US"/>
        </w:rPr>
        <w:t>and decentralization</w:t>
      </w:r>
      <w:r>
        <w:rPr>
          <w:rStyle w:val="normaltextrun"/>
          <w:rFonts w:ascii="Aptos" w:eastAsiaTheme="majorEastAsia" w:hAnsi="Aptos"/>
          <w:color w:val="000000"/>
          <w:shd w:val="clear" w:color="auto" w:fill="FFFFFF"/>
          <w:lang w:val="en-US"/>
        </w:rPr>
        <w:t xml:space="preserve"> of ownership, are not obviously well-suited the data used in transaction reporting. That said, there are already </w:t>
      </w:r>
      <w:r w:rsidR="001D4C67">
        <w:rPr>
          <w:rStyle w:val="normaltextrun"/>
          <w:rFonts w:ascii="Aptos" w:eastAsiaTheme="majorEastAsia" w:hAnsi="Aptos"/>
          <w:color w:val="000000"/>
          <w:shd w:val="clear" w:color="auto" w:fill="FFFFFF"/>
          <w:lang w:val="en-US"/>
        </w:rPr>
        <w:t>relevant initiatives</w:t>
      </w:r>
      <w:r>
        <w:rPr>
          <w:rStyle w:val="normaltextrun"/>
          <w:rFonts w:ascii="Aptos" w:eastAsiaTheme="majorEastAsia" w:hAnsi="Aptos"/>
          <w:color w:val="000000"/>
          <w:shd w:val="clear" w:color="auto" w:fill="FFFFFF"/>
          <w:lang w:val="en-US"/>
        </w:rPr>
        <w:t xml:space="preserve"> underway , such as ISDA Digital Regulatory Reporting (DRR) based around the Common Domain Model (CDM</w:t>
      </w:r>
      <w:r w:rsidR="001D4C67">
        <w:rPr>
          <w:rStyle w:val="normaltextrun"/>
          <w:rFonts w:ascii="Aptos" w:eastAsiaTheme="majorEastAsia" w:hAnsi="Aptos"/>
          <w:color w:val="000000"/>
          <w:shd w:val="clear" w:color="auto" w:fill="FFFFFF"/>
          <w:lang w:val="en-US"/>
        </w:rPr>
        <w:t>),</w:t>
      </w:r>
      <w:r>
        <w:rPr>
          <w:rStyle w:val="normaltextrun"/>
          <w:rFonts w:ascii="Aptos" w:eastAsiaTheme="majorEastAsia" w:hAnsi="Aptos"/>
          <w:color w:val="000000"/>
          <w:shd w:val="clear" w:color="auto" w:fill="FFFFFF"/>
          <w:lang w:val="en-US"/>
        </w:rPr>
        <w:t xml:space="preserve"> which provide a more practical route to improving the quality and efficiency of regulatory reporting. We would encourage regulatory authorities to remain open to </w:t>
      </w:r>
      <w:r w:rsidR="001D4C67">
        <w:rPr>
          <w:rStyle w:val="normaltextrun"/>
          <w:rFonts w:ascii="Aptos" w:eastAsiaTheme="majorEastAsia" w:hAnsi="Aptos"/>
          <w:color w:val="000000"/>
          <w:shd w:val="clear" w:color="auto" w:fill="FFFFFF"/>
          <w:lang w:val="en-US"/>
        </w:rPr>
        <w:t>innovation in</w:t>
      </w:r>
      <w:r>
        <w:rPr>
          <w:rStyle w:val="normaltextrun"/>
          <w:rFonts w:ascii="Aptos" w:eastAsiaTheme="majorEastAsia" w:hAnsi="Aptos"/>
          <w:color w:val="000000"/>
          <w:shd w:val="clear" w:color="auto" w:fill="FFFFFF"/>
          <w:lang w:val="en-US"/>
        </w:rPr>
        <w:t xml:space="preserve"> this space, particularly the adoption of new data standards that can enhance data </w:t>
      </w:r>
      <w:r w:rsidR="001D4C67">
        <w:rPr>
          <w:rStyle w:val="normaltextrun"/>
          <w:rFonts w:ascii="Aptos" w:eastAsiaTheme="majorEastAsia" w:hAnsi="Aptos"/>
          <w:color w:val="000000"/>
          <w:shd w:val="clear" w:color="auto" w:fill="FFFFFF"/>
          <w:lang w:val="en-US"/>
        </w:rPr>
        <w:t>quality and</w:t>
      </w:r>
      <w:r>
        <w:rPr>
          <w:rStyle w:val="normaltextrun"/>
          <w:rFonts w:ascii="Aptos" w:eastAsiaTheme="majorEastAsia" w:hAnsi="Aptos"/>
          <w:color w:val="000000"/>
          <w:shd w:val="clear" w:color="auto" w:fill="FFFFFF"/>
          <w:lang w:val="en-US"/>
        </w:rPr>
        <w:t xml:space="preserve"> reduce duplication. </w:t>
      </w:r>
    </w:p>
    <w:permEnd w:id="993723206"/>
    <w:p w14:paraId="145462DA" w14:textId="77777777" w:rsidR="00926BDA" w:rsidRDefault="00926BDA" w:rsidP="00926BDA">
      <w:r>
        <w:t>&lt;ESMA_QUESTION_CASR_21&gt;</w:t>
      </w:r>
    </w:p>
    <w:p w14:paraId="0460F42E" w14:textId="77777777" w:rsidR="00926BDA" w:rsidRDefault="00926BDA" w:rsidP="00926BDA"/>
    <w:p w14:paraId="168437EB" w14:textId="77777777" w:rsidR="00926BDA" w:rsidRDefault="00926BDA" w:rsidP="00926BDA">
      <w:pPr>
        <w:pStyle w:val="Questionstyle"/>
        <w:spacing w:before="120" w:after="120"/>
        <w:ind w:left="851" w:hanging="709"/>
      </w:pPr>
      <w:r>
        <w:t>Where do you think the cost associated with dual sided reporting is generated? What would be the cost impact of removing dual-sided reporting (e.g. Substituting reconciliation requirements with other measures such as audits against internal record systems as required in the U.S. or increase interaction among counterparties and NCAs)? Do you consider that dual sided reporting may reduce the ability of reporting entities to fully control the data submitted to authorities? Do you consider that the reporting should be strictly from one side?</w:t>
      </w:r>
    </w:p>
    <w:p w14:paraId="6961F67B" w14:textId="77777777" w:rsidR="00926BDA" w:rsidRDefault="00926BDA" w:rsidP="00926BDA">
      <w:r>
        <w:t>&lt;ESMA_QUESTION_CASR_22&gt;</w:t>
      </w:r>
    </w:p>
    <w:p w14:paraId="6E39AACB" w14:textId="77777777" w:rsidR="00926BDA" w:rsidRDefault="00926BDA" w:rsidP="00926BDA">
      <w:permStart w:id="1652326327" w:edGrp="everyone"/>
      <w:r>
        <w:t>TYPE YOUR TEXT HERE</w:t>
      </w:r>
    </w:p>
    <w:permEnd w:id="1652326327"/>
    <w:p w14:paraId="355A0CFB" w14:textId="77777777" w:rsidR="00926BDA" w:rsidRDefault="00926BDA" w:rsidP="00926BDA">
      <w:r>
        <w:t>&lt;ESMA_QUESTION_CASR_22&gt;</w:t>
      </w:r>
    </w:p>
    <w:p w14:paraId="5AB0CDED" w14:textId="77777777" w:rsidR="00926BDA" w:rsidRDefault="00926BDA" w:rsidP="00926BDA"/>
    <w:p w14:paraId="4BD8E7A5" w14:textId="77777777" w:rsidR="00926BDA" w:rsidRDefault="00926BDA" w:rsidP="00926BDA">
      <w:pPr>
        <w:pStyle w:val="Questionstyle"/>
        <w:spacing w:before="120" w:after="120"/>
        <w:ind w:left="851" w:hanging="709"/>
      </w:pPr>
      <w:r>
        <w:t>Would you consider the modification of reporting frequency useful under the general objective of reducing the reporting burden, and why? What would be the specific proposals in this regard?</w:t>
      </w:r>
    </w:p>
    <w:p w14:paraId="5B3B8A05" w14:textId="77777777" w:rsidR="00926BDA" w:rsidRDefault="00926BDA" w:rsidP="00926BDA">
      <w:r>
        <w:lastRenderedPageBreak/>
        <w:t>&lt;ESMA_QUESTION_CASR_23&gt;</w:t>
      </w:r>
    </w:p>
    <w:p w14:paraId="162ABCEF" w14:textId="77777777" w:rsidR="00926BDA" w:rsidRDefault="00926BDA" w:rsidP="00926BDA">
      <w:permStart w:id="806124853" w:edGrp="everyone"/>
      <w:r>
        <w:t>TYPE YOUR TEXT HERE</w:t>
      </w:r>
    </w:p>
    <w:permEnd w:id="806124853"/>
    <w:p w14:paraId="009ECB82" w14:textId="77777777" w:rsidR="00926BDA" w:rsidRDefault="00926BDA" w:rsidP="00926BDA">
      <w:r>
        <w:t>&lt;ESMA_QUESTION_CASR_23&gt;</w:t>
      </w:r>
    </w:p>
    <w:p w14:paraId="66F1F3EB" w14:textId="77777777" w:rsidR="00926BDA" w:rsidRDefault="00926BDA" w:rsidP="00926BDA"/>
    <w:p w14:paraId="6B277954" w14:textId="77777777" w:rsidR="00926BDA" w:rsidRDefault="00926BDA" w:rsidP="00926BDA">
      <w:pPr>
        <w:pStyle w:val="Questionstyle"/>
        <w:spacing w:before="120" w:after="120"/>
        <w:ind w:left="851" w:hanging="709"/>
      </w:pPr>
      <w:r>
        <w:t>Proportionality measures: how do you consider proportionality can be taken into account in the context of burden reduction in regulatory reporting? What specific measures would you propose and how would you quantify their impact?</w:t>
      </w:r>
    </w:p>
    <w:p w14:paraId="64667397" w14:textId="77777777" w:rsidR="00926BDA" w:rsidRDefault="00926BDA" w:rsidP="00926BDA">
      <w:r>
        <w:t>&lt;ESMA_QUESTION_CASR_24&gt;</w:t>
      </w:r>
    </w:p>
    <w:p w14:paraId="496D4D3C" w14:textId="77777777" w:rsidR="00926BDA" w:rsidRDefault="00926BDA" w:rsidP="00926BDA">
      <w:permStart w:id="1360161894" w:edGrp="everyone"/>
      <w:r>
        <w:t>TYPE YOUR TEXT HERE</w:t>
      </w:r>
    </w:p>
    <w:permEnd w:id="1360161894"/>
    <w:p w14:paraId="0138C76D" w14:textId="77777777" w:rsidR="00926BDA" w:rsidRDefault="00926BDA" w:rsidP="00926BDA">
      <w:r>
        <w:t>&lt;ESMA_QUESTION_CASR_24&gt;</w:t>
      </w:r>
    </w:p>
    <w:p w14:paraId="7A473ECA" w14:textId="77777777" w:rsidR="00926BDA" w:rsidRDefault="00926BDA" w:rsidP="00926BDA"/>
    <w:p w14:paraId="1A40D34E" w14:textId="77777777" w:rsidR="00926BDA" w:rsidRDefault="00926BDA" w:rsidP="00926BDA">
      <w:pPr>
        <w:pStyle w:val="Questionstyle"/>
        <w:spacing w:before="120" w:after="120"/>
        <w:ind w:left="851" w:hanging="709"/>
      </w:pPr>
      <w:r>
        <w:t>Question for reporting entities under EMIR: what is the one-off cost of implementing EMIR requirements to date? This cost should include all cost lines, such as familiarisation with obligations, staff recruitment, training, legal advice, consultancy fees, project management and investment/updating in it. Do you identify any other relevant one-off cost line?</w:t>
      </w:r>
    </w:p>
    <w:p w14:paraId="43F72962" w14:textId="77777777" w:rsidR="00926BDA" w:rsidRDefault="00926BDA" w:rsidP="00926BDA">
      <w:r>
        <w:t>&lt;ESMA_QUESTION_CASR_25&gt;</w:t>
      </w:r>
    </w:p>
    <w:p w14:paraId="7BFB6A77" w14:textId="77777777" w:rsidR="00926BDA" w:rsidRDefault="00926BDA" w:rsidP="00926BDA">
      <w:permStart w:id="1181963014" w:edGrp="everyone"/>
      <w:r>
        <w:t>TYPE YOUR TEXT HERE</w:t>
      </w:r>
    </w:p>
    <w:permEnd w:id="1181963014"/>
    <w:p w14:paraId="77305D93" w14:textId="77777777" w:rsidR="00926BDA" w:rsidRDefault="00926BDA" w:rsidP="00926BDA">
      <w:r>
        <w:t>&lt;ESMA_QUESTION_CASR_25&gt;</w:t>
      </w:r>
    </w:p>
    <w:p w14:paraId="1582C478" w14:textId="77777777" w:rsidR="00926BDA" w:rsidRDefault="00926BDA" w:rsidP="00926BDA"/>
    <w:p w14:paraId="54B7F101" w14:textId="77777777" w:rsidR="00926BDA" w:rsidRDefault="00926BDA" w:rsidP="00926BDA">
      <w:pPr>
        <w:pStyle w:val="Questionstyle"/>
        <w:spacing w:before="120" w:after="120"/>
        <w:ind w:left="851" w:hanging="709"/>
      </w:pPr>
      <w:r>
        <w:t>Question for reporting entities under EMIR: what is your estimated average cost per transaction (on-going cost) to comply with the reporting requirements under EMIR? This cost should include not only the fees associated with reporting through trade repositories (which usually includes data collection and information storage) but also the total cost, including any other cost lines, such as, IT maintenance and support, training, data processing and audit fees. Do you identify any other relevant ongoing cost line?</w:t>
      </w:r>
    </w:p>
    <w:p w14:paraId="2FA5A328" w14:textId="77777777" w:rsidR="00926BDA" w:rsidRDefault="00926BDA" w:rsidP="00926BDA">
      <w:r>
        <w:t>&lt;ESMA_QUESTION_CASR_26&gt;</w:t>
      </w:r>
    </w:p>
    <w:p w14:paraId="00710FAD" w14:textId="77777777" w:rsidR="00926BDA" w:rsidRDefault="00926BDA" w:rsidP="00926BDA">
      <w:permStart w:id="1743740379" w:edGrp="everyone"/>
      <w:r>
        <w:t>TYPE YOUR TEXT HERE</w:t>
      </w:r>
    </w:p>
    <w:permEnd w:id="1743740379"/>
    <w:p w14:paraId="0C7300AB" w14:textId="77777777" w:rsidR="00926BDA" w:rsidRDefault="00926BDA" w:rsidP="00926BDA">
      <w:r>
        <w:t>&lt;ESMA_QUESTION_CASR_26&gt;</w:t>
      </w:r>
    </w:p>
    <w:p w14:paraId="32ED6907" w14:textId="77777777" w:rsidR="00926BDA" w:rsidRDefault="00926BDA" w:rsidP="00926BDA"/>
    <w:p w14:paraId="58E30CC4" w14:textId="77777777" w:rsidR="00926BDA" w:rsidRDefault="00926BDA" w:rsidP="00926BDA">
      <w:pPr>
        <w:pStyle w:val="Questionstyle"/>
        <w:spacing w:before="120" w:after="120"/>
        <w:ind w:left="851" w:hanging="709"/>
      </w:pPr>
      <w:r>
        <w:t>Question for reporting entities under MiFIR: what is the one-off cost of implementing mifir requirements to date? This cost should include all cost lines, such as familiarisation with obligations, staff recruitment, training, legal advice, consultancy fees, project management and investment/updating in it. Do you identify any other relevant one-off cost line?</w:t>
      </w:r>
    </w:p>
    <w:p w14:paraId="196DADE2" w14:textId="77777777" w:rsidR="00926BDA" w:rsidRDefault="00926BDA" w:rsidP="00926BDA">
      <w:r>
        <w:t>&lt;ESMA_QUESTION_CASR_27&gt;</w:t>
      </w:r>
    </w:p>
    <w:p w14:paraId="1FB47DD6" w14:textId="77777777" w:rsidR="00926BDA" w:rsidRDefault="00926BDA" w:rsidP="00926BDA">
      <w:permStart w:id="1620378332" w:edGrp="everyone"/>
      <w:r>
        <w:t>TYPE YOUR TEXT HERE</w:t>
      </w:r>
    </w:p>
    <w:permEnd w:id="1620378332"/>
    <w:p w14:paraId="6A4C4033" w14:textId="77777777" w:rsidR="00926BDA" w:rsidRDefault="00926BDA" w:rsidP="00926BDA">
      <w:r>
        <w:t>&lt;ESMA_QUESTION_CASR_27&gt;</w:t>
      </w:r>
    </w:p>
    <w:p w14:paraId="0A47CCFB" w14:textId="77777777" w:rsidR="00926BDA" w:rsidRDefault="00926BDA" w:rsidP="00926BDA"/>
    <w:p w14:paraId="7F8F7499" w14:textId="77777777" w:rsidR="00926BDA" w:rsidRDefault="00926BDA" w:rsidP="00926BDA">
      <w:pPr>
        <w:pStyle w:val="Questionstyle"/>
        <w:spacing w:before="120" w:after="120"/>
        <w:ind w:left="851" w:hanging="709"/>
      </w:pPr>
      <w:r>
        <w:lastRenderedPageBreak/>
        <w:t>Question for reporting entities under MiFIR: what is your estimated average cost per transaction (on-going cost) to comply with the reporting requirements under MiFIR? This cost should include not only the fees associated with reporting through Approved Reported Mechanisms but also the total cost, including any other cost lines, such as, IT maintenance and support, training, data processing and audit fees. Do you identify any other relevant ongoing cost line?</w:t>
      </w:r>
    </w:p>
    <w:p w14:paraId="3D79135C" w14:textId="77777777" w:rsidR="00926BDA" w:rsidRDefault="00926BDA" w:rsidP="00926BDA">
      <w:r>
        <w:t>&lt;ESMA_QUESTION_CASR_28&gt;</w:t>
      </w:r>
    </w:p>
    <w:p w14:paraId="68E87AF9" w14:textId="77777777" w:rsidR="00926BDA" w:rsidRDefault="00926BDA" w:rsidP="00926BDA">
      <w:permStart w:id="443381358" w:edGrp="everyone"/>
      <w:r>
        <w:t>TYPE YOUR TEXT HERE</w:t>
      </w:r>
    </w:p>
    <w:permEnd w:id="443381358"/>
    <w:p w14:paraId="39C29865" w14:textId="77777777" w:rsidR="00926BDA" w:rsidRDefault="00926BDA" w:rsidP="00926BDA">
      <w:r>
        <w:t>&lt;ESMA_QUESTION_CASR_28&gt;</w:t>
      </w:r>
    </w:p>
    <w:p w14:paraId="795D30C8" w14:textId="77777777" w:rsidR="00926BDA" w:rsidRDefault="00926BDA" w:rsidP="00926BDA"/>
    <w:p w14:paraId="07255D8C" w14:textId="77777777" w:rsidR="00926BDA" w:rsidRDefault="00926BDA" w:rsidP="00926BDA">
      <w:pPr>
        <w:pStyle w:val="Questionstyle"/>
        <w:spacing w:before="120" w:after="120"/>
        <w:ind w:left="851" w:hanging="709"/>
      </w:pPr>
      <w:r>
        <w:t>Question for reporting entities under EMIR or MiFIR: Are there other cost-factors that we should consider when estimating the cost saving over a long term horizon?</w:t>
      </w:r>
    </w:p>
    <w:p w14:paraId="3F82851F" w14:textId="77777777" w:rsidR="00926BDA" w:rsidRDefault="00926BDA" w:rsidP="00926BDA">
      <w:r>
        <w:t>&lt;ESMA_QUESTION_CASR_29&gt;</w:t>
      </w:r>
    </w:p>
    <w:p w14:paraId="0D39D81F" w14:textId="77777777" w:rsidR="00926BDA" w:rsidRDefault="00926BDA" w:rsidP="00926BDA">
      <w:permStart w:id="1172965324" w:edGrp="everyone"/>
      <w:r>
        <w:t>TYPE YOUR TEXT HERE</w:t>
      </w:r>
    </w:p>
    <w:permEnd w:id="1172965324"/>
    <w:p w14:paraId="7F24D947" w14:textId="77777777" w:rsidR="00926BDA" w:rsidRDefault="00926BDA" w:rsidP="00926BDA">
      <w:r>
        <w:t>&lt;ESMA_QUESTION_CASR_29&gt;</w:t>
      </w:r>
    </w:p>
    <w:p w14:paraId="43B06597" w14:textId="77777777" w:rsidR="00926BDA" w:rsidRDefault="00926BDA" w:rsidP="00926BDA"/>
    <w:p w14:paraId="613621CD" w14:textId="77777777" w:rsidR="00926BDA" w:rsidRDefault="00926BDA" w:rsidP="00926BDA">
      <w:pPr>
        <w:pStyle w:val="Questionstyle"/>
        <w:spacing w:before="120" w:after="120"/>
        <w:ind w:left="851" w:hanging="709"/>
      </w:pPr>
      <w:r>
        <w:t>What are the anticipated investments and transition costs associated with implementing option 1a, 1b, 2a and 2b (e.g. Decommissioning of legacy systems, adapting systems to new changes and future evolving requirements, etc.)? Please provide a detailed breakdown of these costs, including any one-off and ongoing expenses. What is the estimated average cost saving per transaction?</w:t>
      </w:r>
    </w:p>
    <w:p w14:paraId="74BBAE67" w14:textId="77777777" w:rsidR="00926BDA" w:rsidRDefault="00926BDA" w:rsidP="00926BDA">
      <w:r>
        <w:t>&lt;ESMA_QUESTION_CASR_30&gt;</w:t>
      </w:r>
    </w:p>
    <w:p w14:paraId="5F1EAC10" w14:textId="341354F5" w:rsidR="00926BDA" w:rsidRDefault="00937FA6" w:rsidP="00926BDA">
      <w:permStart w:id="34827801" w:edGrp="everyone"/>
      <w:r>
        <w:t xml:space="preserve"> </w:t>
      </w:r>
      <w:r>
        <w:rPr>
          <w:rStyle w:val="normaltextrun"/>
          <w:rFonts w:ascii="Aptos" w:eastAsiaTheme="majorEastAsia" w:hAnsi="Aptos"/>
          <w:color w:val="000000"/>
          <w:shd w:val="clear" w:color="auto" w:fill="FFFFFF"/>
          <w:lang w:val="en-US"/>
        </w:rPr>
        <w:t>Whilst the impacts on Investment Firms and reporting entities is understandably the priority at this stage, we recommend ESMA engages with ARMs with a similar objective to questions 25-29 to establish the impact on the DRSP market.</w:t>
      </w:r>
    </w:p>
    <w:permEnd w:id="34827801"/>
    <w:p w14:paraId="36BBCB63" w14:textId="77777777" w:rsidR="00926BDA" w:rsidRDefault="00926BDA" w:rsidP="00926BDA">
      <w:r>
        <w:t>&lt;ESMA_QUESTION_CASR_30&gt;</w:t>
      </w:r>
    </w:p>
    <w:p w14:paraId="5D766C2E" w14:textId="77777777" w:rsidR="00926BDA" w:rsidRDefault="00926BDA" w:rsidP="00926BDA"/>
    <w:p w14:paraId="6B9AF4F4" w14:textId="77777777" w:rsidR="00926BDA" w:rsidRDefault="00926BDA" w:rsidP="00926BDA"/>
    <w:p w14:paraId="4182AD67" w14:textId="77777777" w:rsidR="00DB377C" w:rsidRDefault="00DB377C" w:rsidP="00DB377C"/>
    <w:sectPr w:rsidR="00DB377C" w:rsidSect="00C85C8B">
      <w:headerReference w:type="default" r:id="rId20"/>
      <w:footerReference w:type="default" r:id="rId2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88256" w14:textId="77777777" w:rsidR="005E3669" w:rsidRDefault="005E3669" w:rsidP="007E7997">
      <w:r>
        <w:separator/>
      </w:r>
    </w:p>
  </w:endnote>
  <w:endnote w:type="continuationSeparator" w:id="0">
    <w:p w14:paraId="770C5C33" w14:textId="77777777" w:rsidR="005E3669" w:rsidRDefault="005E3669" w:rsidP="007E7997">
      <w:r>
        <w:continuationSeparator/>
      </w:r>
    </w:p>
  </w:endnote>
  <w:endnote w:type="continuationNotice" w:id="1">
    <w:p w14:paraId="3D6FF564" w14:textId="77777777" w:rsidR="005E3669" w:rsidRDefault="005E36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4752671"/>
      <w:docPartObj>
        <w:docPartGallery w:val="Page Numbers (Bottom of Page)"/>
        <w:docPartUnique/>
      </w:docPartObj>
    </w:sdtPr>
    <w:sdtEndPr>
      <w:rPr>
        <w:noProof/>
      </w:rPr>
    </w:sdtEndPr>
    <w:sdtContent>
      <w:p w14:paraId="0CF5505D" w14:textId="212D7D4F" w:rsidR="00E36813" w:rsidRDefault="00E36813">
        <w:pPr>
          <w:pStyle w:val="Footer"/>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F3915" w14:textId="58619407" w:rsidR="00E36813" w:rsidRDefault="00E36813" w:rsidP="007A160F">
    <w:pPr>
      <w:pStyle w:val="Footer"/>
    </w:pPr>
    <w:r>
      <w:rPr>
        <w:rFonts w:asciiTheme="majorHAnsi" w:hAnsiTheme="majorHAnsi"/>
        <w:color w:val="FFFFFF" w:themeColor="background1"/>
      </w:rPr>
      <w:tab/>
    </w:r>
    <w:r>
      <w:rPr>
        <w:rFonts w:asciiTheme="majorHAnsi" w:hAnsiTheme="majorHAnsi"/>
        <w:color w:val="FFFFFF" w:themeColor="background1"/>
      </w:rPr>
      <w:tab/>
    </w:r>
    <w:r w:rsidR="006D3F14">
      <w:rPr>
        <w:rFonts w:asciiTheme="majorHAnsi" w:hAnsiTheme="majorHAnsi"/>
        <w:color w:val="FFFFFF" w:themeColor="background1"/>
      </w:rPr>
      <w:t>29</w:t>
    </w:r>
    <w:r w:rsidR="00871163">
      <w:rPr>
        <w:rFonts w:asciiTheme="majorHAnsi" w:hAnsiTheme="majorHAnsi"/>
        <w:color w:val="FFFFFF" w:themeColor="background1"/>
      </w:rPr>
      <w:t xml:space="preserve"> July </w:t>
    </w:r>
    <w:r w:rsidR="00AB6157" w:rsidRPr="008279D3">
      <w:rPr>
        <w:rFonts w:asciiTheme="majorHAnsi" w:hAnsiTheme="majorHAnsi"/>
        <w:color w:val="FFFFFF" w:themeColor="background1"/>
      </w:rPr>
      <w:t>20</w:t>
    </w:r>
    <w:r w:rsidR="006B391B" w:rsidRPr="008279D3">
      <w:rPr>
        <w:rFonts w:asciiTheme="majorHAnsi" w:hAnsiTheme="majorHAnsi"/>
        <w:color w:val="FFFFFF" w:themeColor="background1"/>
      </w:rPr>
      <w:t>2</w:t>
    </w:r>
    <w:r w:rsidR="00871163">
      <w:rPr>
        <w:rFonts w:asciiTheme="majorHAnsi" w:hAnsiTheme="majorHAnsi"/>
        <w:color w:val="FFFFFF" w:themeColor="background1"/>
      </w:rPr>
      <w:t>2</w:t>
    </w:r>
    <w:r w:rsidR="00FF6930" w:rsidRPr="008279D3">
      <w:rPr>
        <w:rFonts w:asciiTheme="majorHAnsi" w:hAnsiTheme="majorHAnsi"/>
        <w:color w:val="FFFFFF" w:themeColor="background1"/>
      </w:rPr>
      <w:t xml:space="preserve"> ESMA</w:t>
    </w:r>
    <w:r w:rsidR="006B391B" w:rsidRPr="008279D3">
      <w:rPr>
        <w:rFonts w:asciiTheme="majorHAnsi" w:hAnsiTheme="majorHAnsi"/>
        <w:color w:val="FFFFFF" w:themeColor="background1"/>
      </w:rPr>
      <w:t xml:space="preserve"> | </w:t>
    </w:r>
    <w:hyperlink r:id="rId1" w:tgtFrame="_blank" w:history="1">
      <w:r w:rsidR="006B391B" w:rsidRPr="008279D3">
        <w:rPr>
          <w:rFonts w:asciiTheme="majorHAnsi" w:hAnsiTheme="majorHAnsi"/>
          <w:color w:val="FFFFFF" w:themeColor="background1"/>
        </w:rPr>
        <w:t>ESMA</w:t>
      </w:r>
    </w:hyperlink>
    <w:r w:rsidR="008279D3">
      <w:rPr>
        <w:rFonts w:asciiTheme="majorHAnsi" w:hAnsiTheme="majorHAnsi"/>
        <w:color w:val="FFFFFF" w:themeColor="background1"/>
      </w:rPr>
      <w:t xml:space="preserve"> 70-</w:t>
    </w:r>
    <w:r w:rsidR="00B63379">
      <w:rPr>
        <w:rFonts w:asciiTheme="majorHAnsi" w:hAnsiTheme="majorHAnsi"/>
        <w:color w:val="FFFFFF" w:themeColor="background1"/>
      </w:rPr>
      <w:t>44</w:t>
    </w:r>
    <w:r w:rsidR="006D3F14">
      <w:rPr>
        <w:rFonts w:asciiTheme="majorHAnsi" w:hAnsiTheme="majorHAnsi"/>
        <w:color w:val="FFFFFF" w:themeColor="background1"/>
      </w:rPr>
      <w:t>9</w:t>
    </w:r>
    <w:r w:rsidR="00B63379">
      <w:rPr>
        <w:rFonts w:asciiTheme="majorHAnsi" w:hAnsiTheme="majorHAnsi"/>
        <w:color w:val="FFFFFF" w:themeColor="background1"/>
      </w:rPr>
      <w:t>-67</w:t>
    </w:r>
    <w:r w:rsidR="006D3F14">
      <w:rPr>
        <w:rFonts w:asciiTheme="majorHAnsi" w:hAnsiTheme="majorHAnsi"/>
        <w:color w:val="FFFFFF" w:themeColor="background1"/>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752247"/>
      <w:docPartObj>
        <w:docPartGallery w:val="Page Numbers (Bottom of Page)"/>
        <w:docPartUnique/>
      </w:docPartObj>
    </w:sdtPr>
    <w:sdtEndPr>
      <w:rPr>
        <w:noProof/>
      </w:rPr>
    </w:sdtEndPr>
    <w:sdtContent>
      <w:p w14:paraId="4C9B3DBF" w14:textId="6ECC1B82" w:rsidR="00E36813" w:rsidRDefault="00E36813">
        <w:pPr>
          <w:pStyle w:val="Footer"/>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Footer"/>
      <w:jc w:val="right"/>
    </w:pPr>
  </w:p>
  <w:p w14:paraId="12C756E7" w14:textId="77777777" w:rsidR="00C97F9B" w:rsidRDefault="00C97F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E4026" w14:textId="77777777" w:rsidR="005E3669" w:rsidRDefault="005E3669" w:rsidP="007E7997">
      <w:r>
        <w:separator/>
      </w:r>
    </w:p>
  </w:footnote>
  <w:footnote w:type="continuationSeparator" w:id="0">
    <w:p w14:paraId="3C868D00" w14:textId="77777777" w:rsidR="005E3669" w:rsidRDefault="005E3669" w:rsidP="007E7997">
      <w:r>
        <w:continuationSeparator/>
      </w:r>
    </w:p>
  </w:footnote>
  <w:footnote w:type="continuationNotice" w:id="1">
    <w:p w14:paraId="6247DC41" w14:textId="77777777" w:rsidR="005E3669" w:rsidRDefault="005E36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956F7" w14:textId="77777777" w:rsidR="00E36813" w:rsidRDefault="00E36813">
    <w:pPr>
      <w:pStyle w:val="Header"/>
    </w:pPr>
  </w:p>
  <w:p w14:paraId="59FA3C9D" w14:textId="77777777" w:rsidR="00E36813" w:rsidRDefault="00E368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923F5" w14:textId="77C7624B" w:rsidR="00FA64BE" w:rsidRDefault="00FA64BE" w:rsidP="00FA64BE">
    <w:pPr>
      <w:pStyle w:val="Header"/>
      <w:jc w:val="right"/>
      <w:rPr>
        <w:rFonts w:asciiTheme="minorHAnsi" w:eastAsiaTheme="minorEastAsia" w:hAnsiTheme="minorHAnsi" w:cstheme="minorBidi"/>
        <w:color w:val="000000" w:themeColor="text1" w:themeShade="80"/>
        <w:sz w:val="16"/>
        <w:szCs w:val="20"/>
        <w:lang w:eastAsia="en-US"/>
      </w:rPr>
    </w:pPr>
    <w:r w:rsidRPr="001522DD">
      <w:rPr>
        <w:rFonts w:asciiTheme="minorHAnsi" w:eastAsiaTheme="minorEastAsia" w:hAnsiTheme="minorHAnsi" w:cstheme="minorBidi"/>
        <w:bCs/>
        <w:caps/>
        <w:noProof/>
        <w:color w:val="000000" w:themeColor="text1" w:themeShade="80"/>
        <w:sz w:val="16"/>
        <w:szCs w:val="20"/>
        <w:highlight w:val="yellow"/>
        <w:lang w:eastAsia="en-US"/>
      </w:rPr>
      <w:drawing>
        <wp:anchor distT="0" distB="0" distL="114300" distR="114300" simplePos="0" relativeHeight="251658240" behindDoc="0" locked="0" layoutInCell="1" allowOverlap="1" wp14:anchorId="7D655387" wp14:editId="3342670B">
          <wp:simplePos x="0" y="0"/>
          <wp:positionH relativeFrom="page">
            <wp:posOffset>892914</wp:posOffset>
          </wp:positionH>
          <wp:positionV relativeFrom="page">
            <wp:posOffset>547370</wp:posOffset>
          </wp:positionV>
          <wp:extent cx="2296800" cy="601200"/>
          <wp:effectExtent l="0" t="0" r="190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0310AB">
      <w:rPr>
        <w:rFonts w:asciiTheme="minorHAnsi" w:eastAsiaTheme="minorEastAsia" w:hAnsiTheme="minorHAnsi" w:cstheme="minorBidi"/>
        <w:color w:val="000000" w:themeColor="text1" w:themeShade="80"/>
        <w:sz w:val="16"/>
        <w:szCs w:val="20"/>
        <w:lang w:eastAsia="en-US"/>
      </w:rPr>
      <w:t>2</w:t>
    </w:r>
    <w:r w:rsidR="004D19BD">
      <w:rPr>
        <w:rFonts w:asciiTheme="minorHAnsi" w:eastAsiaTheme="minorEastAsia" w:hAnsiTheme="minorHAnsi" w:cstheme="minorBidi"/>
        <w:color w:val="000000" w:themeColor="text1" w:themeShade="80"/>
        <w:sz w:val="16"/>
        <w:szCs w:val="20"/>
        <w:lang w:eastAsia="en-US"/>
      </w:rPr>
      <w:t>3</w:t>
    </w:r>
    <w:r w:rsidR="000310AB">
      <w:rPr>
        <w:rFonts w:asciiTheme="minorHAnsi" w:eastAsiaTheme="minorEastAsia" w:hAnsiTheme="minorHAnsi" w:cstheme="minorBidi"/>
        <w:color w:val="000000" w:themeColor="text1" w:themeShade="80"/>
        <w:sz w:val="16"/>
        <w:szCs w:val="20"/>
        <w:lang w:eastAsia="en-US"/>
      </w:rPr>
      <w:t xml:space="preserve"> </w:t>
    </w:r>
    <w:r w:rsidR="004D19BD">
      <w:rPr>
        <w:rFonts w:asciiTheme="minorHAnsi" w:eastAsiaTheme="minorEastAsia" w:hAnsiTheme="minorHAnsi" w:cstheme="minorBidi"/>
        <w:color w:val="000000" w:themeColor="text1" w:themeShade="80"/>
        <w:sz w:val="16"/>
        <w:szCs w:val="20"/>
        <w:lang w:eastAsia="en-US"/>
      </w:rPr>
      <w:t>June</w:t>
    </w:r>
    <w:r w:rsidR="000310AB">
      <w:rPr>
        <w:rFonts w:asciiTheme="minorHAnsi" w:eastAsiaTheme="minorEastAsia" w:hAnsiTheme="minorHAnsi" w:cstheme="minorBidi"/>
        <w:color w:val="000000" w:themeColor="text1" w:themeShade="80"/>
        <w:sz w:val="16"/>
        <w:szCs w:val="20"/>
        <w:lang w:eastAsia="en-US"/>
      </w:rPr>
      <w:t xml:space="preserve"> 2025</w:t>
    </w:r>
    <w:r w:rsidR="00C00D4F">
      <w:rPr>
        <w:rFonts w:asciiTheme="minorHAnsi" w:eastAsiaTheme="minorEastAsia" w:hAnsiTheme="minorHAnsi" w:cstheme="minorBidi"/>
        <w:color w:val="000000" w:themeColor="text1" w:themeShade="80"/>
        <w:sz w:val="16"/>
        <w:szCs w:val="20"/>
        <w:lang w:eastAsia="en-US"/>
      </w:rPr>
      <w:br/>
    </w:r>
    <w:r w:rsidR="006D2EE6" w:rsidRPr="006D2EE6">
      <w:rPr>
        <w:rFonts w:asciiTheme="minorHAnsi" w:eastAsiaTheme="minorEastAsia" w:hAnsiTheme="minorHAnsi" w:cstheme="minorBidi"/>
        <w:color w:val="000000" w:themeColor="text1" w:themeShade="80"/>
        <w:sz w:val="16"/>
        <w:szCs w:val="20"/>
        <w:lang w:eastAsia="en-US"/>
      </w:rPr>
      <w:t>ESMA12-437499640-3046</w:t>
    </w:r>
  </w:p>
  <w:p w14:paraId="70391035" w14:textId="0FE57758" w:rsidR="00E36813" w:rsidRDefault="00FA64BE" w:rsidP="00FA64BE">
    <w:pPr>
      <w:pStyle w:val="Header"/>
      <w:ind w:left="1836" w:firstLine="4536"/>
    </w:pPr>
    <w:r>
      <w:t xml:space="preserve">   </w:t>
    </w:r>
    <w:r w:rsidRPr="00374D79">
      <w:t>ESMA74-449133380-434</w:t>
    </w:r>
    <w:r>
      <w:rPr>
        <w:noProof/>
      </w:rPr>
      <mc:AlternateContent>
        <mc:Choice Requires="wps">
          <w:drawing>
            <wp:anchor distT="0" distB="0" distL="114300" distR="114300" simplePos="1" relativeHeight="251658241" behindDoc="1" locked="1" layoutInCell="1" allowOverlap="0" wp14:anchorId="71203346" wp14:editId="7B5BE921">
              <wp:simplePos x="899795" y="624205"/>
              <wp:positionH relativeFrom="page">
                <wp:posOffset>899795</wp:posOffset>
              </wp:positionH>
              <wp:positionV relativeFrom="paragraph">
                <wp:posOffset>624205</wp:posOffset>
              </wp:positionV>
              <wp:extent cx="7570470" cy="9777095"/>
              <wp:effectExtent l="0" t="0" r="0" b="0"/>
              <wp:wrapNone/>
              <wp:docPr id="7" name="Freeform: Shape 7"/>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8A3259" id="Freeform: Shape 7" o:spid="_x0000_s1026" style="position:absolute;margin-left:70.85pt;margin-top:49.15pt;width:596.1pt;height:769.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" o:allowoverlap="f" path="m2939613,926867c5038819,-714379,6826523,267027,7569200,545025r,2628099l7569200,9779055r,l,9779055r,l,3173124,2939613,926867xe" stroked="f" strokeweight="1pt">
              <v:fill r:id="rId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B6EC4" w14:textId="2AEFCC83" w:rsidR="00E36813" w:rsidRDefault="00FA64BE" w:rsidP="00B50534">
    <w:pPr>
      <w:pStyle w:val="Header"/>
      <w:jc w:val="right"/>
      <w:rPr>
        <w:b/>
        <w:color w:val="FF0000"/>
      </w:rPr>
    </w:pPr>
    <w:r w:rsidRPr="008858FE">
      <w:rPr>
        <w:rStyle w:val="ESMAConfidentialRestricted"/>
        <w:noProof/>
      </w:rPr>
      <w:drawing>
        <wp:anchor distT="0" distB="0" distL="114300" distR="114300" simplePos="0" relativeHeight="251658242" behindDoc="0" locked="0" layoutInCell="1" allowOverlap="1" wp14:anchorId="4C8586CB" wp14:editId="39910558">
          <wp:simplePos x="0" y="0"/>
          <wp:positionH relativeFrom="page">
            <wp:posOffset>900430</wp:posOffset>
          </wp:positionH>
          <wp:positionV relativeFrom="page">
            <wp:posOffset>449580</wp:posOffset>
          </wp:positionV>
          <wp:extent cx="2296800" cy="601200"/>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p w14:paraId="66716E7C" w14:textId="7FD8E363" w:rsidR="00FA64BE" w:rsidRDefault="00FA64BE" w:rsidP="00FA64BE">
    <w:pPr>
      <w:pStyle w:val="Header"/>
      <w:jc w:val="right"/>
      <w:rPr>
        <w:rFonts w:asciiTheme="minorHAnsi" w:hAnsiTheme="minorHAnsi" w:cstheme="minorHAnsi"/>
        <w:color w:val="2F5496" w:themeColor="accent5" w:themeShade="BF"/>
        <w:sz w:val="20"/>
      </w:rPr>
    </w:pPr>
  </w:p>
  <w:p w14:paraId="3E983FE8" w14:textId="71D87355" w:rsidR="00FA64BE" w:rsidRDefault="00FA64BE" w:rsidP="00FA64BE">
    <w:pPr>
      <w:pStyle w:val="Header"/>
      <w:jc w:val="right"/>
      <w:rPr>
        <w:rFonts w:asciiTheme="minorHAnsi" w:hAnsiTheme="minorHAnsi" w:cstheme="minorHAnsi"/>
        <w:color w:val="2F5496" w:themeColor="accent5" w:themeShade="BF"/>
        <w:sz w:val="20"/>
      </w:rPr>
    </w:pPr>
  </w:p>
  <w:p w14:paraId="17CD6BBB" w14:textId="77777777" w:rsidR="00FA64BE" w:rsidRPr="00D13661" w:rsidRDefault="00FA64BE" w:rsidP="00FA64BE">
    <w:pPr>
      <w:pStyle w:val="Header"/>
      <w:jc w:val="right"/>
      <w:rPr>
        <w:rFonts w:asciiTheme="minorHAnsi" w:hAnsiTheme="minorHAnsi" w:cstheme="minorHAnsi"/>
        <w:color w:val="2F5496" w:themeColor="accent5" w:themeShade="BF"/>
        <w:sz w:val="20"/>
      </w:rPr>
    </w:pPr>
  </w:p>
  <w:p w14:paraId="276D8625" w14:textId="77777777" w:rsidR="00E36813" w:rsidRPr="00C3170E" w:rsidRDefault="00E36813" w:rsidP="00B50534">
    <w:pPr>
      <w:pStyle w:val="Header"/>
      <w:jc w:val="right"/>
      <w:rPr>
        <w:color w:val="2F5496" w:themeColor="accent5" w:themeShade="BF"/>
        <w:sz w:val="20"/>
      </w:rPr>
    </w:pPr>
  </w:p>
  <w:p w14:paraId="5EAB6EC6" w14:textId="77777777" w:rsidR="00E36813" w:rsidRPr="00B50534" w:rsidRDefault="00E36813" w:rsidP="00B50534">
    <w:pPr>
      <w:pStyle w:val="Header"/>
      <w:jc w:val="right"/>
      <w:rPr>
        <w:b/>
        <w:color w:val="FF0000"/>
      </w:rPr>
    </w:pPr>
  </w:p>
  <w:p w14:paraId="237512AD" w14:textId="77777777" w:rsidR="00C97F9B" w:rsidRDefault="00C97F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A1E2D"/>
    <w:multiLevelType w:val="multilevel"/>
    <w:tmpl w:val="B322B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071234"/>
    <w:multiLevelType w:val="hybridMultilevel"/>
    <w:tmpl w:val="95600B7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9D1C8F"/>
    <w:multiLevelType w:val="hybridMultilevel"/>
    <w:tmpl w:val="4F6C4180"/>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C16C55"/>
    <w:multiLevelType w:val="multilevel"/>
    <w:tmpl w:val="B5249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2C6E42E9"/>
    <w:multiLevelType w:val="hybridMultilevel"/>
    <w:tmpl w:val="32681C4A"/>
    <w:lvl w:ilvl="0" w:tplc="084E04BE">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181D69"/>
    <w:multiLevelType w:val="hybridMultilevel"/>
    <w:tmpl w:val="0A189E10"/>
    <w:lvl w:ilvl="0" w:tplc="52DE78C0">
      <w:start w:val="1"/>
      <w:numFmt w:val="upperLetter"/>
      <w:pStyle w:val="ListParagraph"/>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8"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52232B"/>
    <w:multiLevelType w:val="hybridMultilevel"/>
    <w:tmpl w:val="4EF43C1E"/>
    <w:lvl w:ilvl="0" w:tplc="A97A1B6E">
      <w:start w:val="1"/>
      <w:numFmt w:val="decimal"/>
      <w:pStyle w:val="Questionstyle"/>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5A7DC8"/>
    <w:multiLevelType w:val="hybridMultilevel"/>
    <w:tmpl w:val="38C66FF2"/>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11C0F6F"/>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33916DB"/>
    <w:multiLevelType w:val="hybridMultilevel"/>
    <w:tmpl w:val="B12A1BCA"/>
    <w:lvl w:ilvl="0" w:tplc="62468FBE">
      <w:start w:val="1"/>
      <w:numFmt w:val="decimal"/>
      <w:pStyle w:val="Paragraph"/>
      <w:lvlText w:val="%1."/>
      <w:lvlJc w:val="left"/>
      <w:pPr>
        <w:ind w:left="709" w:hanging="709"/>
      </w:pPr>
      <w:rPr>
        <w:b w:val="0"/>
        <w:bCs w:val="0"/>
        <w:i w:val="0"/>
        <w:iCs w:val="0"/>
      </w:rPr>
    </w:lvl>
    <w:lvl w:ilvl="1" w:tplc="AD0E719C">
      <w:start w:val="1"/>
      <w:numFmt w:val="lowerRoman"/>
      <w:lvlText w:val="(%2)"/>
      <w:lvlJc w:val="left"/>
      <w:pPr>
        <w:ind w:left="72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5"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47455BCB"/>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A5B559B"/>
    <w:multiLevelType w:val="multilevel"/>
    <w:tmpl w:val="A28A0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A804203"/>
    <w:multiLevelType w:val="multilevel"/>
    <w:tmpl w:val="44027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B0013C2"/>
    <w:multiLevelType w:val="hybridMultilevel"/>
    <w:tmpl w:val="58064840"/>
    <w:lvl w:ilvl="0" w:tplc="D45C4E4C">
      <w:start w:val="1"/>
      <w:numFmt w:val="decimal"/>
      <w:lvlText w:val="Q%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DA732A2"/>
    <w:multiLevelType w:val="hybridMultilevel"/>
    <w:tmpl w:val="7E46BA8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ECE74B3"/>
    <w:multiLevelType w:val="multilevel"/>
    <w:tmpl w:val="AC98E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5CB2698E"/>
    <w:multiLevelType w:val="hybridMultilevel"/>
    <w:tmpl w:val="12B6401A"/>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2F2FCC"/>
    <w:multiLevelType w:val="hybridMultilevel"/>
    <w:tmpl w:val="AE325D84"/>
    <w:lvl w:ilvl="0" w:tplc="76FE66C0">
      <w:start w:val="3"/>
      <w:numFmt w:val="decimal"/>
      <w:lvlText w:val="Q%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D8508FC"/>
    <w:multiLevelType w:val="hybridMultilevel"/>
    <w:tmpl w:val="87D8DCA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2105866"/>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3E1477"/>
    <w:multiLevelType w:val="multilevel"/>
    <w:tmpl w:val="A1862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4F42D82"/>
    <w:multiLevelType w:val="multilevel"/>
    <w:tmpl w:val="447CC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77B3358"/>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9EB32D1"/>
    <w:multiLevelType w:val="multilevel"/>
    <w:tmpl w:val="98C8B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3"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D76F3F"/>
    <w:multiLevelType w:val="hybridMultilevel"/>
    <w:tmpl w:val="221AC284"/>
    <w:lvl w:ilvl="0" w:tplc="E0F01CF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8975619">
    <w:abstractNumId w:val="4"/>
  </w:num>
  <w:num w:numId="2" w16cid:durableId="1495532731">
    <w:abstractNumId w:val="4"/>
  </w:num>
  <w:num w:numId="3" w16cid:durableId="994409496">
    <w:abstractNumId w:val="32"/>
  </w:num>
  <w:num w:numId="4" w16cid:durableId="1880320868">
    <w:abstractNumId w:val="5"/>
  </w:num>
  <w:num w:numId="5" w16cid:durableId="290864581">
    <w:abstractNumId w:val="15"/>
  </w:num>
  <w:num w:numId="6" w16cid:durableId="952590553">
    <w:abstractNumId w:val="34"/>
  </w:num>
  <w:num w:numId="7" w16cid:durableId="1159686949">
    <w:abstractNumId w:val="14"/>
  </w:num>
  <w:num w:numId="8" w16cid:durableId="765269892">
    <w:abstractNumId w:val="7"/>
  </w:num>
  <w:num w:numId="9" w16cid:durableId="1301960395">
    <w:abstractNumId w:val="10"/>
  </w:num>
  <w:num w:numId="10" w16cid:durableId="1228616548">
    <w:abstractNumId w:val="9"/>
  </w:num>
  <w:num w:numId="11" w16cid:durableId="2051027016">
    <w:abstractNumId w:val="8"/>
  </w:num>
  <w:num w:numId="12" w16cid:durableId="83380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94756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7849168">
    <w:abstractNumId w:val="35"/>
  </w:num>
  <w:num w:numId="15" w16cid:durableId="986476960">
    <w:abstractNumId w:val="26"/>
  </w:num>
  <w:num w:numId="16" w16cid:durableId="398749299">
    <w:abstractNumId w:val="33"/>
  </w:num>
  <w:num w:numId="17" w16cid:durableId="14076118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9762317">
    <w:abstractNumId w:val="27"/>
  </w:num>
  <w:num w:numId="19" w16cid:durableId="558588771">
    <w:abstractNumId w:val="34"/>
  </w:num>
  <w:num w:numId="20" w16cid:durableId="1306933315">
    <w:abstractNumId w:val="12"/>
  </w:num>
  <w:num w:numId="21" w16cid:durableId="1623876054">
    <w:abstractNumId w:val="30"/>
  </w:num>
  <w:num w:numId="22" w16cid:durableId="783383837">
    <w:abstractNumId w:val="16"/>
  </w:num>
  <w:num w:numId="23" w16cid:durableId="2112964618">
    <w:abstractNumId w:val="25"/>
  </w:num>
  <w:num w:numId="24" w16cid:durableId="1958565453">
    <w:abstractNumId w:val="1"/>
  </w:num>
  <w:num w:numId="25" w16cid:durableId="1372725395">
    <w:abstractNumId w:val="23"/>
  </w:num>
  <w:num w:numId="26" w16cid:durableId="1686445133">
    <w:abstractNumId w:val="20"/>
  </w:num>
  <w:num w:numId="27" w16cid:durableId="1247768697">
    <w:abstractNumId w:val="11"/>
  </w:num>
  <w:num w:numId="28" w16cid:durableId="954170948">
    <w:abstractNumId w:val="2"/>
  </w:num>
  <w:num w:numId="29" w16cid:durableId="837424337">
    <w:abstractNumId w:val="22"/>
  </w:num>
  <w:num w:numId="30" w16cid:durableId="299657983">
    <w:abstractNumId w:val="6"/>
  </w:num>
  <w:num w:numId="31" w16cid:durableId="699822250">
    <w:abstractNumId w:val="19"/>
  </w:num>
  <w:num w:numId="32" w16cid:durableId="730466929">
    <w:abstractNumId w:val="13"/>
    <w:lvlOverride w:ilvl="0">
      <w:startOverride w:val="1"/>
    </w:lvlOverride>
  </w:num>
  <w:num w:numId="33" w16cid:durableId="552498262">
    <w:abstractNumId w:val="24"/>
  </w:num>
  <w:num w:numId="34" w16cid:durableId="1829132647">
    <w:abstractNumId w:val="13"/>
    <w:lvlOverride w:ilvl="0">
      <w:startOverride w:val="1"/>
    </w:lvlOverride>
  </w:num>
  <w:num w:numId="35" w16cid:durableId="1915964461">
    <w:abstractNumId w:val="13"/>
    <w:lvlOverride w:ilvl="0">
      <w:startOverride w:val="1"/>
    </w:lvlOverride>
  </w:num>
  <w:num w:numId="36" w16cid:durableId="1385182617">
    <w:abstractNumId w:val="13"/>
    <w:lvlOverride w:ilvl="0">
      <w:startOverride w:val="1"/>
    </w:lvlOverride>
  </w:num>
  <w:num w:numId="37" w16cid:durableId="202251606">
    <w:abstractNumId w:val="17"/>
  </w:num>
  <w:num w:numId="38" w16cid:durableId="2038508658">
    <w:abstractNumId w:val="3"/>
  </w:num>
  <w:num w:numId="39" w16cid:durableId="1501265272">
    <w:abstractNumId w:val="18"/>
  </w:num>
  <w:num w:numId="40" w16cid:durableId="1892379997">
    <w:abstractNumId w:val="31"/>
  </w:num>
  <w:num w:numId="41" w16cid:durableId="1125386018">
    <w:abstractNumId w:val="28"/>
  </w:num>
  <w:num w:numId="42" w16cid:durableId="35932486">
    <w:abstractNumId w:val="29"/>
  </w:num>
  <w:num w:numId="43" w16cid:durableId="1502890445">
    <w:abstractNumId w:val="21"/>
  </w:num>
  <w:num w:numId="44" w16cid:durableId="96217843">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proofState w:spelling="clean"/>
  <w:attachedTemplate r:id="rId1"/>
  <w:documentProtection w:edit="readOnly" w:enforcement="1" w:cryptProviderType="rsaAES" w:cryptAlgorithmClass="hash" w:cryptAlgorithmType="typeAny" w:cryptAlgorithmSid="14" w:cryptSpinCount="100000" w:hash="nAphKpkaeZEPo4cL34GqxI1GhByEj+ZfUlxttBRS1W1NpR3oZRkLRVwmpgy47+A1FK/eSpf35TYVrWfFOYTE7w==" w:salt="q1RVhAxdIzK7AQZzP5Pty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0205"/>
    <w:rsid w:val="0000380B"/>
    <w:rsid w:val="00005505"/>
    <w:rsid w:val="00006275"/>
    <w:rsid w:val="00006971"/>
    <w:rsid w:val="00011CC1"/>
    <w:rsid w:val="00011F6C"/>
    <w:rsid w:val="0001249B"/>
    <w:rsid w:val="00012D68"/>
    <w:rsid w:val="000142BB"/>
    <w:rsid w:val="0001633D"/>
    <w:rsid w:val="0001726F"/>
    <w:rsid w:val="00020098"/>
    <w:rsid w:val="00020300"/>
    <w:rsid w:val="00021A9A"/>
    <w:rsid w:val="00022ADA"/>
    <w:rsid w:val="00026327"/>
    <w:rsid w:val="00027EC9"/>
    <w:rsid w:val="000310AB"/>
    <w:rsid w:val="00033934"/>
    <w:rsid w:val="00036C09"/>
    <w:rsid w:val="000372BF"/>
    <w:rsid w:val="000405C8"/>
    <w:rsid w:val="00040A52"/>
    <w:rsid w:val="00043BE0"/>
    <w:rsid w:val="00044C5A"/>
    <w:rsid w:val="00044E0A"/>
    <w:rsid w:val="00047C57"/>
    <w:rsid w:val="00054E00"/>
    <w:rsid w:val="00061B2B"/>
    <w:rsid w:val="000627C5"/>
    <w:rsid w:val="0006448C"/>
    <w:rsid w:val="0006449B"/>
    <w:rsid w:val="000655AD"/>
    <w:rsid w:val="00066FD1"/>
    <w:rsid w:val="00072BF9"/>
    <w:rsid w:val="00073DF9"/>
    <w:rsid w:val="0007767E"/>
    <w:rsid w:val="0007796D"/>
    <w:rsid w:val="000830DA"/>
    <w:rsid w:val="00083FBB"/>
    <w:rsid w:val="00086F71"/>
    <w:rsid w:val="000921E6"/>
    <w:rsid w:val="00092D6C"/>
    <w:rsid w:val="00093239"/>
    <w:rsid w:val="000A03C9"/>
    <w:rsid w:val="000A12CC"/>
    <w:rsid w:val="000A2738"/>
    <w:rsid w:val="000A2DF1"/>
    <w:rsid w:val="000A3D10"/>
    <w:rsid w:val="000A409B"/>
    <w:rsid w:val="000A6018"/>
    <w:rsid w:val="000A66FC"/>
    <w:rsid w:val="000A741E"/>
    <w:rsid w:val="000B1615"/>
    <w:rsid w:val="000B2AAF"/>
    <w:rsid w:val="000B2E26"/>
    <w:rsid w:val="000B5D3D"/>
    <w:rsid w:val="000C0CE0"/>
    <w:rsid w:val="000C2400"/>
    <w:rsid w:val="000C299C"/>
    <w:rsid w:val="000C406A"/>
    <w:rsid w:val="000C5032"/>
    <w:rsid w:val="000C5ACC"/>
    <w:rsid w:val="000D0293"/>
    <w:rsid w:val="000D0850"/>
    <w:rsid w:val="000D0913"/>
    <w:rsid w:val="000D1038"/>
    <w:rsid w:val="000D11A9"/>
    <w:rsid w:val="000D2D7B"/>
    <w:rsid w:val="000E2232"/>
    <w:rsid w:val="000E3DB1"/>
    <w:rsid w:val="000E6946"/>
    <w:rsid w:val="000F0169"/>
    <w:rsid w:val="000F0951"/>
    <w:rsid w:val="000F2598"/>
    <w:rsid w:val="000F29C0"/>
    <w:rsid w:val="000F2BE6"/>
    <w:rsid w:val="000F474D"/>
    <w:rsid w:val="000F5C90"/>
    <w:rsid w:val="000F5EA6"/>
    <w:rsid w:val="000F7998"/>
    <w:rsid w:val="001000D7"/>
    <w:rsid w:val="00100ADC"/>
    <w:rsid w:val="0010429A"/>
    <w:rsid w:val="00105424"/>
    <w:rsid w:val="001075EC"/>
    <w:rsid w:val="00113D82"/>
    <w:rsid w:val="00120F0D"/>
    <w:rsid w:val="001214DA"/>
    <w:rsid w:val="0012722A"/>
    <w:rsid w:val="0013090E"/>
    <w:rsid w:val="00130EF9"/>
    <w:rsid w:val="001319C7"/>
    <w:rsid w:val="001355E6"/>
    <w:rsid w:val="0013644A"/>
    <w:rsid w:val="00140762"/>
    <w:rsid w:val="00140BA6"/>
    <w:rsid w:val="00141946"/>
    <w:rsid w:val="00143DCA"/>
    <w:rsid w:val="00144AAD"/>
    <w:rsid w:val="001455E7"/>
    <w:rsid w:val="0014624E"/>
    <w:rsid w:val="001522DD"/>
    <w:rsid w:val="00155BAB"/>
    <w:rsid w:val="001608B2"/>
    <w:rsid w:val="00160FE0"/>
    <w:rsid w:val="00162574"/>
    <w:rsid w:val="00163AB3"/>
    <w:rsid w:val="00165047"/>
    <w:rsid w:val="00165FF8"/>
    <w:rsid w:val="0016669F"/>
    <w:rsid w:val="00170AD6"/>
    <w:rsid w:val="001735B8"/>
    <w:rsid w:val="00177AA7"/>
    <w:rsid w:val="00180917"/>
    <w:rsid w:val="00180E53"/>
    <w:rsid w:val="00181CB7"/>
    <w:rsid w:val="0018606F"/>
    <w:rsid w:val="001862A5"/>
    <w:rsid w:val="00186A70"/>
    <w:rsid w:val="00191035"/>
    <w:rsid w:val="001918E5"/>
    <w:rsid w:val="00192A7A"/>
    <w:rsid w:val="00197AAF"/>
    <w:rsid w:val="001A1EF4"/>
    <w:rsid w:val="001A68A0"/>
    <w:rsid w:val="001A7046"/>
    <w:rsid w:val="001A710D"/>
    <w:rsid w:val="001A7E6F"/>
    <w:rsid w:val="001B0A27"/>
    <w:rsid w:val="001B0A77"/>
    <w:rsid w:val="001B1727"/>
    <w:rsid w:val="001B1B48"/>
    <w:rsid w:val="001B2151"/>
    <w:rsid w:val="001B3CFF"/>
    <w:rsid w:val="001B4957"/>
    <w:rsid w:val="001B4996"/>
    <w:rsid w:val="001B4EC9"/>
    <w:rsid w:val="001C0E59"/>
    <w:rsid w:val="001C432D"/>
    <w:rsid w:val="001C469E"/>
    <w:rsid w:val="001C56C3"/>
    <w:rsid w:val="001C5D8C"/>
    <w:rsid w:val="001C7E0A"/>
    <w:rsid w:val="001D0112"/>
    <w:rsid w:val="001D19F5"/>
    <w:rsid w:val="001D385A"/>
    <w:rsid w:val="001D3AC4"/>
    <w:rsid w:val="001D4C67"/>
    <w:rsid w:val="001D6B39"/>
    <w:rsid w:val="001E1ECD"/>
    <w:rsid w:val="001E3E0D"/>
    <w:rsid w:val="001E4A45"/>
    <w:rsid w:val="001E5AB7"/>
    <w:rsid w:val="001E5E30"/>
    <w:rsid w:val="001F0479"/>
    <w:rsid w:val="001F1F10"/>
    <w:rsid w:val="001F23C9"/>
    <w:rsid w:val="001F3999"/>
    <w:rsid w:val="001F3D9D"/>
    <w:rsid w:val="001F4AC8"/>
    <w:rsid w:val="00200894"/>
    <w:rsid w:val="002022EC"/>
    <w:rsid w:val="00202333"/>
    <w:rsid w:val="00202FA8"/>
    <w:rsid w:val="002034B8"/>
    <w:rsid w:val="00205922"/>
    <w:rsid w:val="00206FB8"/>
    <w:rsid w:val="0020766F"/>
    <w:rsid w:val="00207A07"/>
    <w:rsid w:val="00210181"/>
    <w:rsid w:val="00210498"/>
    <w:rsid w:val="0021147A"/>
    <w:rsid w:val="00213BFB"/>
    <w:rsid w:val="002156A3"/>
    <w:rsid w:val="00217478"/>
    <w:rsid w:val="00220938"/>
    <w:rsid w:val="00224806"/>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991"/>
    <w:rsid w:val="00254CC2"/>
    <w:rsid w:val="00256CCC"/>
    <w:rsid w:val="002574D1"/>
    <w:rsid w:val="00261CCB"/>
    <w:rsid w:val="00262E56"/>
    <w:rsid w:val="002630C0"/>
    <w:rsid w:val="0026332A"/>
    <w:rsid w:val="002645A8"/>
    <w:rsid w:val="0026493B"/>
    <w:rsid w:val="00265566"/>
    <w:rsid w:val="00265F44"/>
    <w:rsid w:val="002665E3"/>
    <w:rsid w:val="0027199C"/>
    <w:rsid w:val="00272C4E"/>
    <w:rsid w:val="002751FC"/>
    <w:rsid w:val="002753BD"/>
    <w:rsid w:val="00281456"/>
    <w:rsid w:val="00282B3A"/>
    <w:rsid w:val="00282D38"/>
    <w:rsid w:val="00282FBE"/>
    <w:rsid w:val="00284802"/>
    <w:rsid w:val="00284AF2"/>
    <w:rsid w:val="0028536B"/>
    <w:rsid w:val="00285CED"/>
    <w:rsid w:val="00285EB5"/>
    <w:rsid w:val="00287C8F"/>
    <w:rsid w:val="00290893"/>
    <w:rsid w:val="002917B9"/>
    <w:rsid w:val="00291A55"/>
    <w:rsid w:val="0029394C"/>
    <w:rsid w:val="002A13B0"/>
    <w:rsid w:val="002A2A39"/>
    <w:rsid w:val="002A2C91"/>
    <w:rsid w:val="002A6C21"/>
    <w:rsid w:val="002A780E"/>
    <w:rsid w:val="002B144C"/>
    <w:rsid w:val="002B53F3"/>
    <w:rsid w:val="002C03FD"/>
    <w:rsid w:val="002C044D"/>
    <w:rsid w:val="002C1AA5"/>
    <w:rsid w:val="002C2A46"/>
    <w:rsid w:val="002C3048"/>
    <w:rsid w:val="002C76AE"/>
    <w:rsid w:val="002D2992"/>
    <w:rsid w:val="002D37A0"/>
    <w:rsid w:val="002D5AB5"/>
    <w:rsid w:val="002D6667"/>
    <w:rsid w:val="002D761A"/>
    <w:rsid w:val="002D79F3"/>
    <w:rsid w:val="002E1C11"/>
    <w:rsid w:val="002E3D0B"/>
    <w:rsid w:val="002E3E7D"/>
    <w:rsid w:val="002E685C"/>
    <w:rsid w:val="002E6A8E"/>
    <w:rsid w:val="002F6279"/>
    <w:rsid w:val="00300F55"/>
    <w:rsid w:val="003013B7"/>
    <w:rsid w:val="00301993"/>
    <w:rsid w:val="00301E55"/>
    <w:rsid w:val="00307397"/>
    <w:rsid w:val="003101EF"/>
    <w:rsid w:val="00312BDD"/>
    <w:rsid w:val="00314117"/>
    <w:rsid w:val="00317EDF"/>
    <w:rsid w:val="00322B55"/>
    <w:rsid w:val="003279E7"/>
    <w:rsid w:val="00327B62"/>
    <w:rsid w:val="00331FE9"/>
    <w:rsid w:val="0033324D"/>
    <w:rsid w:val="0033587C"/>
    <w:rsid w:val="0033696D"/>
    <w:rsid w:val="00336BF9"/>
    <w:rsid w:val="003371E8"/>
    <w:rsid w:val="00337471"/>
    <w:rsid w:val="00340647"/>
    <w:rsid w:val="0034151D"/>
    <w:rsid w:val="00342B5B"/>
    <w:rsid w:val="00343532"/>
    <w:rsid w:val="00345469"/>
    <w:rsid w:val="003454ED"/>
    <w:rsid w:val="00345EB9"/>
    <w:rsid w:val="0035030F"/>
    <w:rsid w:val="003519DD"/>
    <w:rsid w:val="00351B68"/>
    <w:rsid w:val="00351F68"/>
    <w:rsid w:val="00353C4B"/>
    <w:rsid w:val="003545A6"/>
    <w:rsid w:val="00356C60"/>
    <w:rsid w:val="003578D1"/>
    <w:rsid w:val="00363639"/>
    <w:rsid w:val="00366D42"/>
    <w:rsid w:val="003671A8"/>
    <w:rsid w:val="0036748C"/>
    <w:rsid w:val="00371FAA"/>
    <w:rsid w:val="00372615"/>
    <w:rsid w:val="00372EA3"/>
    <w:rsid w:val="0037311D"/>
    <w:rsid w:val="0037358E"/>
    <w:rsid w:val="00373A3C"/>
    <w:rsid w:val="00373AB8"/>
    <w:rsid w:val="00373FCF"/>
    <w:rsid w:val="00374193"/>
    <w:rsid w:val="00376233"/>
    <w:rsid w:val="00380B30"/>
    <w:rsid w:val="00381784"/>
    <w:rsid w:val="00381EB0"/>
    <w:rsid w:val="00382A72"/>
    <w:rsid w:val="00382CA6"/>
    <w:rsid w:val="00382EBA"/>
    <w:rsid w:val="0038331A"/>
    <w:rsid w:val="003865C3"/>
    <w:rsid w:val="0039135B"/>
    <w:rsid w:val="003A34E7"/>
    <w:rsid w:val="003A3CB1"/>
    <w:rsid w:val="003A3D55"/>
    <w:rsid w:val="003A5CC4"/>
    <w:rsid w:val="003A73A4"/>
    <w:rsid w:val="003B102E"/>
    <w:rsid w:val="003B26BA"/>
    <w:rsid w:val="003B4E3D"/>
    <w:rsid w:val="003B7E44"/>
    <w:rsid w:val="003C167E"/>
    <w:rsid w:val="003C481D"/>
    <w:rsid w:val="003C4EB5"/>
    <w:rsid w:val="003D1099"/>
    <w:rsid w:val="003D2CED"/>
    <w:rsid w:val="003D344A"/>
    <w:rsid w:val="003D3BB8"/>
    <w:rsid w:val="003D72F4"/>
    <w:rsid w:val="003D7C07"/>
    <w:rsid w:val="003E13FD"/>
    <w:rsid w:val="003E1C24"/>
    <w:rsid w:val="003E61FC"/>
    <w:rsid w:val="003E77BC"/>
    <w:rsid w:val="003F0087"/>
    <w:rsid w:val="003F0EDF"/>
    <w:rsid w:val="003F20C7"/>
    <w:rsid w:val="003F35B0"/>
    <w:rsid w:val="003F39B1"/>
    <w:rsid w:val="00400D9C"/>
    <w:rsid w:val="00400FBE"/>
    <w:rsid w:val="004022CF"/>
    <w:rsid w:val="004029B1"/>
    <w:rsid w:val="004038F1"/>
    <w:rsid w:val="00404282"/>
    <w:rsid w:val="00404ED5"/>
    <w:rsid w:val="0040743A"/>
    <w:rsid w:val="00407623"/>
    <w:rsid w:val="00407A74"/>
    <w:rsid w:val="004114D5"/>
    <w:rsid w:val="00414210"/>
    <w:rsid w:val="00414DB4"/>
    <w:rsid w:val="004159DB"/>
    <w:rsid w:val="004171F5"/>
    <w:rsid w:val="0041760A"/>
    <w:rsid w:val="00420FD4"/>
    <w:rsid w:val="004242B3"/>
    <w:rsid w:val="00424A4F"/>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5577"/>
    <w:rsid w:val="00456795"/>
    <w:rsid w:val="004578B3"/>
    <w:rsid w:val="0046150E"/>
    <w:rsid w:val="00461CC8"/>
    <w:rsid w:val="00462B2F"/>
    <w:rsid w:val="00462E09"/>
    <w:rsid w:val="00465EAA"/>
    <w:rsid w:val="004708CA"/>
    <w:rsid w:val="004709E7"/>
    <w:rsid w:val="00470ADE"/>
    <w:rsid w:val="004712C7"/>
    <w:rsid w:val="00474736"/>
    <w:rsid w:val="004759EB"/>
    <w:rsid w:val="00477919"/>
    <w:rsid w:val="00482611"/>
    <w:rsid w:val="00482A27"/>
    <w:rsid w:val="00487DCE"/>
    <w:rsid w:val="00492701"/>
    <w:rsid w:val="004950B7"/>
    <w:rsid w:val="0049534D"/>
    <w:rsid w:val="00497209"/>
    <w:rsid w:val="00497FEA"/>
    <w:rsid w:val="004A22F3"/>
    <w:rsid w:val="004A75F5"/>
    <w:rsid w:val="004B07B2"/>
    <w:rsid w:val="004B0955"/>
    <w:rsid w:val="004B143D"/>
    <w:rsid w:val="004B1842"/>
    <w:rsid w:val="004B1D1B"/>
    <w:rsid w:val="004B25D0"/>
    <w:rsid w:val="004B3553"/>
    <w:rsid w:val="004B5E92"/>
    <w:rsid w:val="004B6859"/>
    <w:rsid w:val="004C0A30"/>
    <w:rsid w:val="004C357C"/>
    <w:rsid w:val="004C3D18"/>
    <w:rsid w:val="004D19BD"/>
    <w:rsid w:val="004D283B"/>
    <w:rsid w:val="004D2D3F"/>
    <w:rsid w:val="004D42B1"/>
    <w:rsid w:val="004D526F"/>
    <w:rsid w:val="004E0583"/>
    <w:rsid w:val="004E19C0"/>
    <w:rsid w:val="004E1C54"/>
    <w:rsid w:val="004E21FE"/>
    <w:rsid w:val="004E2C37"/>
    <w:rsid w:val="004E5285"/>
    <w:rsid w:val="004F0CF3"/>
    <w:rsid w:val="004F5740"/>
    <w:rsid w:val="004F58C9"/>
    <w:rsid w:val="005028B9"/>
    <w:rsid w:val="00503A3F"/>
    <w:rsid w:val="00505E17"/>
    <w:rsid w:val="00511A59"/>
    <w:rsid w:val="00511C3B"/>
    <w:rsid w:val="00513DA2"/>
    <w:rsid w:val="00514440"/>
    <w:rsid w:val="005166C3"/>
    <w:rsid w:val="00520F7C"/>
    <w:rsid w:val="00523974"/>
    <w:rsid w:val="00526E5D"/>
    <w:rsid w:val="00527517"/>
    <w:rsid w:val="00531432"/>
    <w:rsid w:val="00532BC8"/>
    <w:rsid w:val="005333E8"/>
    <w:rsid w:val="00534912"/>
    <w:rsid w:val="005370E7"/>
    <w:rsid w:val="005409B7"/>
    <w:rsid w:val="00545E62"/>
    <w:rsid w:val="00551070"/>
    <w:rsid w:val="00552C8A"/>
    <w:rsid w:val="00555156"/>
    <w:rsid w:val="0055535B"/>
    <w:rsid w:val="00560A96"/>
    <w:rsid w:val="005619CB"/>
    <w:rsid w:val="00561B71"/>
    <w:rsid w:val="00561F98"/>
    <w:rsid w:val="00563DB0"/>
    <w:rsid w:val="00564607"/>
    <w:rsid w:val="00565193"/>
    <w:rsid w:val="005664AB"/>
    <w:rsid w:val="005725BD"/>
    <w:rsid w:val="005730B0"/>
    <w:rsid w:val="00575DCC"/>
    <w:rsid w:val="00576AAD"/>
    <w:rsid w:val="005821B0"/>
    <w:rsid w:val="0059175F"/>
    <w:rsid w:val="00591AAC"/>
    <w:rsid w:val="00595F08"/>
    <w:rsid w:val="00595FBE"/>
    <w:rsid w:val="005A1C55"/>
    <w:rsid w:val="005A4636"/>
    <w:rsid w:val="005A5EF1"/>
    <w:rsid w:val="005B169D"/>
    <w:rsid w:val="005B467C"/>
    <w:rsid w:val="005B4A69"/>
    <w:rsid w:val="005B4ACA"/>
    <w:rsid w:val="005B6B12"/>
    <w:rsid w:val="005C19E9"/>
    <w:rsid w:val="005C2DBC"/>
    <w:rsid w:val="005C5F13"/>
    <w:rsid w:val="005C65F9"/>
    <w:rsid w:val="005C6B0E"/>
    <w:rsid w:val="005C7E1F"/>
    <w:rsid w:val="005D1B9E"/>
    <w:rsid w:val="005D1F6B"/>
    <w:rsid w:val="005D2DE7"/>
    <w:rsid w:val="005D331C"/>
    <w:rsid w:val="005D54DC"/>
    <w:rsid w:val="005D6355"/>
    <w:rsid w:val="005D7AAF"/>
    <w:rsid w:val="005E0C59"/>
    <w:rsid w:val="005E18DE"/>
    <w:rsid w:val="005E1DA3"/>
    <w:rsid w:val="005E306B"/>
    <w:rsid w:val="005E3669"/>
    <w:rsid w:val="005E53D0"/>
    <w:rsid w:val="005E5785"/>
    <w:rsid w:val="005E6098"/>
    <w:rsid w:val="005E7969"/>
    <w:rsid w:val="005F0C93"/>
    <w:rsid w:val="005F3F22"/>
    <w:rsid w:val="005F4FC0"/>
    <w:rsid w:val="005F540F"/>
    <w:rsid w:val="005F5491"/>
    <w:rsid w:val="005F6144"/>
    <w:rsid w:val="005F6573"/>
    <w:rsid w:val="00601541"/>
    <w:rsid w:val="0060361E"/>
    <w:rsid w:val="006040AD"/>
    <w:rsid w:val="00604A25"/>
    <w:rsid w:val="00606683"/>
    <w:rsid w:val="006072C6"/>
    <w:rsid w:val="00613BF6"/>
    <w:rsid w:val="00616D27"/>
    <w:rsid w:val="006234FE"/>
    <w:rsid w:val="00623840"/>
    <w:rsid w:val="006255EC"/>
    <w:rsid w:val="00625A25"/>
    <w:rsid w:val="0062736A"/>
    <w:rsid w:val="0063565E"/>
    <w:rsid w:val="00636E02"/>
    <w:rsid w:val="006372FE"/>
    <w:rsid w:val="00640691"/>
    <w:rsid w:val="00641DB1"/>
    <w:rsid w:val="00642297"/>
    <w:rsid w:val="00644A34"/>
    <w:rsid w:val="00654824"/>
    <w:rsid w:val="00655791"/>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172D"/>
    <w:rsid w:val="006A23F3"/>
    <w:rsid w:val="006A2CF3"/>
    <w:rsid w:val="006A5047"/>
    <w:rsid w:val="006A5E48"/>
    <w:rsid w:val="006A7A10"/>
    <w:rsid w:val="006A7E17"/>
    <w:rsid w:val="006B0DA4"/>
    <w:rsid w:val="006B1B6B"/>
    <w:rsid w:val="006B2C57"/>
    <w:rsid w:val="006B391B"/>
    <w:rsid w:val="006B79E0"/>
    <w:rsid w:val="006C0B2D"/>
    <w:rsid w:val="006C1633"/>
    <w:rsid w:val="006C5BF8"/>
    <w:rsid w:val="006C791B"/>
    <w:rsid w:val="006C7CCB"/>
    <w:rsid w:val="006D1DDF"/>
    <w:rsid w:val="006D2EE6"/>
    <w:rsid w:val="006D3F14"/>
    <w:rsid w:val="006D3FDF"/>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148CC"/>
    <w:rsid w:val="00721256"/>
    <w:rsid w:val="007217AD"/>
    <w:rsid w:val="007219A9"/>
    <w:rsid w:val="00723BA1"/>
    <w:rsid w:val="00724A1B"/>
    <w:rsid w:val="0073173E"/>
    <w:rsid w:val="007319C3"/>
    <w:rsid w:val="0073454F"/>
    <w:rsid w:val="00735C00"/>
    <w:rsid w:val="007364C6"/>
    <w:rsid w:val="00740BF3"/>
    <w:rsid w:val="00741D5C"/>
    <w:rsid w:val="0074352F"/>
    <w:rsid w:val="00747C5E"/>
    <w:rsid w:val="00750210"/>
    <w:rsid w:val="00750618"/>
    <w:rsid w:val="0075162F"/>
    <w:rsid w:val="00754844"/>
    <w:rsid w:val="00754B57"/>
    <w:rsid w:val="007552C7"/>
    <w:rsid w:val="0075671D"/>
    <w:rsid w:val="0076002F"/>
    <w:rsid w:val="0076038B"/>
    <w:rsid w:val="00761744"/>
    <w:rsid w:val="00762B6D"/>
    <w:rsid w:val="00764582"/>
    <w:rsid w:val="00765FA3"/>
    <w:rsid w:val="00766961"/>
    <w:rsid w:val="00766B5A"/>
    <w:rsid w:val="007678D6"/>
    <w:rsid w:val="0077026A"/>
    <w:rsid w:val="00770C33"/>
    <w:rsid w:val="00773465"/>
    <w:rsid w:val="007741C3"/>
    <w:rsid w:val="00777BE0"/>
    <w:rsid w:val="00777CFF"/>
    <w:rsid w:val="00780923"/>
    <w:rsid w:val="00781265"/>
    <w:rsid w:val="0078131F"/>
    <w:rsid w:val="007844C6"/>
    <w:rsid w:val="007876EF"/>
    <w:rsid w:val="00790306"/>
    <w:rsid w:val="00793573"/>
    <w:rsid w:val="0079364C"/>
    <w:rsid w:val="00793C6C"/>
    <w:rsid w:val="007942B9"/>
    <w:rsid w:val="00796C7F"/>
    <w:rsid w:val="00797E0C"/>
    <w:rsid w:val="007A160F"/>
    <w:rsid w:val="007A48BC"/>
    <w:rsid w:val="007A51D4"/>
    <w:rsid w:val="007B0BC1"/>
    <w:rsid w:val="007B354B"/>
    <w:rsid w:val="007B4FC3"/>
    <w:rsid w:val="007B73F3"/>
    <w:rsid w:val="007B7EE5"/>
    <w:rsid w:val="007C1C28"/>
    <w:rsid w:val="007C2A2C"/>
    <w:rsid w:val="007C3577"/>
    <w:rsid w:val="007C5E08"/>
    <w:rsid w:val="007C5F2A"/>
    <w:rsid w:val="007C660A"/>
    <w:rsid w:val="007D0002"/>
    <w:rsid w:val="007D7A59"/>
    <w:rsid w:val="007E0E75"/>
    <w:rsid w:val="007E53F5"/>
    <w:rsid w:val="007E6E9E"/>
    <w:rsid w:val="007E7637"/>
    <w:rsid w:val="007E7997"/>
    <w:rsid w:val="007F014A"/>
    <w:rsid w:val="007F04EF"/>
    <w:rsid w:val="007F0763"/>
    <w:rsid w:val="007F1DE9"/>
    <w:rsid w:val="007F25C2"/>
    <w:rsid w:val="007F4F88"/>
    <w:rsid w:val="007F5642"/>
    <w:rsid w:val="007F5822"/>
    <w:rsid w:val="007F5B86"/>
    <w:rsid w:val="00800A7F"/>
    <w:rsid w:val="0080285D"/>
    <w:rsid w:val="0081028F"/>
    <w:rsid w:val="008107D9"/>
    <w:rsid w:val="0081093B"/>
    <w:rsid w:val="008116D9"/>
    <w:rsid w:val="00811936"/>
    <w:rsid w:val="00812BE2"/>
    <w:rsid w:val="00813059"/>
    <w:rsid w:val="008157C8"/>
    <w:rsid w:val="00815C43"/>
    <w:rsid w:val="008173E2"/>
    <w:rsid w:val="008201C3"/>
    <w:rsid w:val="00820422"/>
    <w:rsid w:val="00820655"/>
    <w:rsid w:val="008227D7"/>
    <w:rsid w:val="008249A1"/>
    <w:rsid w:val="00825D43"/>
    <w:rsid w:val="0082632D"/>
    <w:rsid w:val="008279D3"/>
    <w:rsid w:val="00832500"/>
    <w:rsid w:val="00832787"/>
    <w:rsid w:val="00833000"/>
    <w:rsid w:val="00835192"/>
    <w:rsid w:val="00835805"/>
    <w:rsid w:val="0083595F"/>
    <w:rsid w:val="008372B6"/>
    <w:rsid w:val="00843A1A"/>
    <w:rsid w:val="00846433"/>
    <w:rsid w:val="008472C2"/>
    <w:rsid w:val="00850B43"/>
    <w:rsid w:val="008510D9"/>
    <w:rsid w:val="00851EE3"/>
    <w:rsid w:val="00853121"/>
    <w:rsid w:val="008555E4"/>
    <w:rsid w:val="00864124"/>
    <w:rsid w:val="00864E60"/>
    <w:rsid w:val="00866A09"/>
    <w:rsid w:val="00871077"/>
    <w:rsid w:val="00871163"/>
    <w:rsid w:val="00871241"/>
    <w:rsid w:val="008712BF"/>
    <w:rsid w:val="00872209"/>
    <w:rsid w:val="008731EB"/>
    <w:rsid w:val="00873656"/>
    <w:rsid w:val="00880140"/>
    <w:rsid w:val="008842F7"/>
    <w:rsid w:val="00885B94"/>
    <w:rsid w:val="0089075A"/>
    <w:rsid w:val="00890F80"/>
    <w:rsid w:val="00892BFD"/>
    <w:rsid w:val="0089338A"/>
    <w:rsid w:val="00894199"/>
    <w:rsid w:val="008948BE"/>
    <w:rsid w:val="00896D1F"/>
    <w:rsid w:val="00896D5B"/>
    <w:rsid w:val="008A1E27"/>
    <w:rsid w:val="008A2C86"/>
    <w:rsid w:val="008A6000"/>
    <w:rsid w:val="008A70A8"/>
    <w:rsid w:val="008A7FAC"/>
    <w:rsid w:val="008B1FD9"/>
    <w:rsid w:val="008B2AF1"/>
    <w:rsid w:val="008B5191"/>
    <w:rsid w:val="008B710D"/>
    <w:rsid w:val="008B7CA1"/>
    <w:rsid w:val="008C0177"/>
    <w:rsid w:val="008C0389"/>
    <w:rsid w:val="008C1B25"/>
    <w:rsid w:val="008C27D3"/>
    <w:rsid w:val="008C2C43"/>
    <w:rsid w:val="008C4B2B"/>
    <w:rsid w:val="008C5E91"/>
    <w:rsid w:val="008C686D"/>
    <w:rsid w:val="008C6B18"/>
    <w:rsid w:val="008C75E6"/>
    <w:rsid w:val="008C767A"/>
    <w:rsid w:val="008C7A73"/>
    <w:rsid w:val="008D0569"/>
    <w:rsid w:val="008D28FD"/>
    <w:rsid w:val="008D59F9"/>
    <w:rsid w:val="008D5C28"/>
    <w:rsid w:val="008E00A6"/>
    <w:rsid w:val="008E1710"/>
    <w:rsid w:val="008E2D26"/>
    <w:rsid w:val="008E3C8E"/>
    <w:rsid w:val="008E4076"/>
    <w:rsid w:val="008E5ACB"/>
    <w:rsid w:val="008E7DBA"/>
    <w:rsid w:val="008F1993"/>
    <w:rsid w:val="008F3386"/>
    <w:rsid w:val="008F3AD9"/>
    <w:rsid w:val="008F4642"/>
    <w:rsid w:val="008F4C29"/>
    <w:rsid w:val="008F4E00"/>
    <w:rsid w:val="008F5B9E"/>
    <w:rsid w:val="008F6163"/>
    <w:rsid w:val="008F761D"/>
    <w:rsid w:val="00900D44"/>
    <w:rsid w:val="00902520"/>
    <w:rsid w:val="00906DC4"/>
    <w:rsid w:val="00911A61"/>
    <w:rsid w:val="00914478"/>
    <w:rsid w:val="0091457F"/>
    <w:rsid w:val="00914893"/>
    <w:rsid w:val="0091729E"/>
    <w:rsid w:val="00926BDA"/>
    <w:rsid w:val="00931615"/>
    <w:rsid w:val="0093261E"/>
    <w:rsid w:val="00937B82"/>
    <w:rsid w:val="00937FA6"/>
    <w:rsid w:val="0094008E"/>
    <w:rsid w:val="00940999"/>
    <w:rsid w:val="00941C0C"/>
    <w:rsid w:val="009437F2"/>
    <w:rsid w:val="0094528B"/>
    <w:rsid w:val="00960A8B"/>
    <w:rsid w:val="00965128"/>
    <w:rsid w:val="00967068"/>
    <w:rsid w:val="00973F43"/>
    <w:rsid w:val="0097785D"/>
    <w:rsid w:val="0098011D"/>
    <w:rsid w:val="00981912"/>
    <w:rsid w:val="009819C0"/>
    <w:rsid w:val="009835AD"/>
    <w:rsid w:val="00987A75"/>
    <w:rsid w:val="00990C72"/>
    <w:rsid w:val="00991A8A"/>
    <w:rsid w:val="00991BED"/>
    <w:rsid w:val="00992611"/>
    <w:rsid w:val="00994303"/>
    <w:rsid w:val="00995019"/>
    <w:rsid w:val="0099526D"/>
    <w:rsid w:val="00996C8B"/>
    <w:rsid w:val="009A0054"/>
    <w:rsid w:val="009A0F6E"/>
    <w:rsid w:val="009A2D9C"/>
    <w:rsid w:val="009A38D9"/>
    <w:rsid w:val="009A5548"/>
    <w:rsid w:val="009A72CC"/>
    <w:rsid w:val="009B25C1"/>
    <w:rsid w:val="009B26DB"/>
    <w:rsid w:val="009B7B79"/>
    <w:rsid w:val="009C0383"/>
    <w:rsid w:val="009C145B"/>
    <w:rsid w:val="009C3E04"/>
    <w:rsid w:val="009C4FB0"/>
    <w:rsid w:val="009C75D1"/>
    <w:rsid w:val="009C7694"/>
    <w:rsid w:val="009C792D"/>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9F7BE9"/>
    <w:rsid w:val="00A02199"/>
    <w:rsid w:val="00A026A4"/>
    <w:rsid w:val="00A04044"/>
    <w:rsid w:val="00A055DD"/>
    <w:rsid w:val="00A11D0C"/>
    <w:rsid w:val="00A16579"/>
    <w:rsid w:val="00A24843"/>
    <w:rsid w:val="00A25AB7"/>
    <w:rsid w:val="00A26D48"/>
    <w:rsid w:val="00A31C7C"/>
    <w:rsid w:val="00A367AA"/>
    <w:rsid w:val="00A378DF"/>
    <w:rsid w:val="00A37AC6"/>
    <w:rsid w:val="00A409C2"/>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299"/>
    <w:rsid w:val="00A73949"/>
    <w:rsid w:val="00A76707"/>
    <w:rsid w:val="00A7697E"/>
    <w:rsid w:val="00A76C98"/>
    <w:rsid w:val="00A76E20"/>
    <w:rsid w:val="00A770B3"/>
    <w:rsid w:val="00A8284E"/>
    <w:rsid w:val="00A870EE"/>
    <w:rsid w:val="00A91D91"/>
    <w:rsid w:val="00A95D52"/>
    <w:rsid w:val="00A960E3"/>
    <w:rsid w:val="00A96F81"/>
    <w:rsid w:val="00A9709D"/>
    <w:rsid w:val="00A973A8"/>
    <w:rsid w:val="00AA054E"/>
    <w:rsid w:val="00AA0A10"/>
    <w:rsid w:val="00AA2094"/>
    <w:rsid w:val="00AA2947"/>
    <w:rsid w:val="00AA7461"/>
    <w:rsid w:val="00AB1894"/>
    <w:rsid w:val="00AB22DF"/>
    <w:rsid w:val="00AB2C3F"/>
    <w:rsid w:val="00AB30EA"/>
    <w:rsid w:val="00AB458B"/>
    <w:rsid w:val="00AB45E4"/>
    <w:rsid w:val="00AB6157"/>
    <w:rsid w:val="00AB7542"/>
    <w:rsid w:val="00AC022D"/>
    <w:rsid w:val="00AC0629"/>
    <w:rsid w:val="00AC70C7"/>
    <w:rsid w:val="00AC79E0"/>
    <w:rsid w:val="00AD32CE"/>
    <w:rsid w:val="00AD515A"/>
    <w:rsid w:val="00AD5187"/>
    <w:rsid w:val="00AD6B11"/>
    <w:rsid w:val="00AD6B34"/>
    <w:rsid w:val="00AD6F90"/>
    <w:rsid w:val="00AE0286"/>
    <w:rsid w:val="00AE247F"/>
    <w:rsid w:val="00AE4A24"/>
    <w:rsid w:val="00AE4FC7"/>
    <w:rsid w:val="00AE7235"/>
    <w:rsid w:val="00AF01E3"/>
    <w:rsid w:val="00AF23AE"/>
    <w:rsid w:val="00AF2EF7"/>
    <w:rsid w:val="00AF3741"/>
    <w:rsid w:val="00AF3B5C"/>
    <w:rsid w:val="00B0014A"/>
    <w:rsid w:val="00B00B50"/>
    <w:rsid w:val="00B00DB2"/>
    <w:rsid w:val="00B016E3"/>
    <w:rsid w:val="00B02B0B"/>
    <w:rsid w:val="00B03817"/>
    <w:rsid w:val="00B04283"/>
    <w:rsid w:val="00B04EF3"/>
    <w:rsid w:val="00B05BA8"/>
    <w:rsid w:val="00B0741D"/>
    <w:rsid w:val="00B07AD8"/>
    <w:rsid w:val="00B07B20"/>
    <w:rsid w:val="00B1081B"/>
    <w:rsid w:val="00B14406"/>
    <w:rsid w:val="00B14F01"/>
    <w:rsid w:val="00B15525"/>
    <w:rsid w:val="00B15C0B"/>
    <w:rsid w:val="00B16706"/>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6736"/>
    <w:rsid w:val="00B57687"/>
    <w:rsid w:val="00B578E3"/>
    <w:rsid w:val="00B57CE5"/>
    <w:rsid w:val="00B63379"/>
    <w:rsid w:val="00B648F2"/>
    <w:rsid w:val="00B655D1"/>
    <w:rsid w:val="00B7002C"/>
    <w:rsid w:val="00B728C7"/>
    <w:rsid w:val="00B73FF2"/>
    <w:rsid w:val="00B74CBA"/>
    <w:rsid w:val="00B74ED3"/>
    <w:rsid w:val="00B768CF"/>
    <w:rsid w:val="00B81A44"/>
    <w:rsid w:val="00B86AF8"/>
    <w:rsid w:val="00B86BB5"/>
    <w:rsid w:val="00B91072"/>
    <w:rsid w:val="00B91B6E"/>
    <w:rsid w:val="00B94B2C"/>
    <w:rsid w:val="00B96F7D"/>
    <w:rsid w:val="00B970D0"/>
    <w:rsid w:val="00BA49F4"/>
    <w:rsid w:val="00BA5C41"/>
    <w:rsid w:val="00BA6ACA"/>
    <w:rsid w:val="00BA7232"/>
    <w:rsid w:val="00BA7809"/>
    <w:rsid w:val="00BB29AA"/>
    <w:rsid w:val="00BB449C"/>
    <w:rsid w:val="00BB44D7"/>
    <w:rsid w:val="00BC2561"/>
    <w:rsid w:val="00BC3E3E"/>
    <w:rsid w:val="00BC422A"/>
    <w:rsid w:val="00BC5128"/>
    <w:rsid w:val="00BC5608"/>
    <w:rsid w:val="00BD04C9"/>
    <w:rsid w:val="00BD29C8"/>
    <w:rsid w:val="00BD3536"/>
    <w:rsid w:val="00BD37FD"/>
    <w:rsid w:val="00BE0B46"/>
    <w:rsid w:val="00BE225E"/>
    <w:rsid w:val="00BE237E"/>
    <w:rsid w:val="00BE3703"/>
    <w:rsid w:val="00BE567F"/>
    <w:rsid w:val="00BF0A29"/>
    <w:rsid w:val="00BF25CD"/>
    <w:rsid w:val="00BF5553"/>
    <w:rsid w:val="00BF75CD"/>
    <w:rsid w:val="00BF7E68"/>
    <w:rsid w:val="00C00D4F"/>
    <w:rsid w:val="00C00F1C"/>
    <w:rsid w:val="00C0346D"/>
    <w:rsid w:val="00C0358F"/>
    <w:rsid w:val="00C03BB0"/>
    <w:rsid w:val="00C041CF"/>
    <w:rsid w:val="00C0696A"/>
    <w:rsid w:val="00C11CFA"/>
    <w:rsid w:val="00C12034"/>
    <w:rsid w:val="00C1396B"/>
    <w:rsid w:val="00C1501F"/>
    <w:rsid w:val="00C16775"/>
    <w:rsid w:val="00C1698A"/>
    <w:rsid w:val="00C17150"/>
    <w:rsid w:val="00C17E6C"/>
    <w:rsid w:val="00C22015"/>
    <w:rsid w:val="00C249CC"/>
    <w:rsid w:val="00C24E5F"/>
    <w:rsid w:val="00C255B6"/>
    <w:rsid w:val="00C262E7"/>
    <w:rsid w:val="00C26E4D"/>
    <w:rsid w:val="00C26F3A"/>
    <w:rsid w:val="00C2770B"/>
    <w:rsid w:val="00C30296"/>
    <w:rsid w:val="00C30C00"/>
    <w:rsid w:val="00C3170E"/>
    <w:rsid w:val="00C31947"/>
    <w:rsid w:val="00C40053"/>
    <w:rsid w:val="00C4294D"/>
    <w:rsid w:val="00C444C8"/>
    <w:rsid w:val="00C452DD"/>
    <w:rsid w:val="00C45856"/>
    <w:rsid w:val="00C46603"/>
    <w:rsid w:val="00C5320B"/>
    <w:rsid w:val="00C54316"/>
    <w:rsid w:val="00C55208"/>
    <w:rsid w:val="00C5527D"/>
    <w:rsid w:val="00C61B1A"/>
    <w:rsid w:val="00C62A53"/>
    <w:rsid w:val="00C709F9"/>
    <w:rsid w:val="00C70FF7"/>
    <w:rsid w:val="00C73A00"/>
    <w:rsid w:val="00C73A70"/>
    <w:rsid w:val="00C76054"/>
    <w:rsid w:val="00C779A2"/>
    <w:rsid w:val="00C80546"/>
    <w:rsid w:val="00C83CAD"/>
    <w:rsid w:val="00C8419E"/>
    <w:rsid w:val="00C851D7"/>
    <w:rsid w:val="00C85C8B"/>
    <w:rsid w:val="00C867AD"/>
    <w:rsid w:val="00C87F9F"/>
    <w:rsid w:val="00C90A5B"/>
    <w:rsid w:val="00C9545D"/>
    <w:rsid w:val="00C9625C"/>
    <w:rsid w:val="00C97337"/>
    <w:rsid w:val="00C978C6"/>
    <w:rsid w:val="00C97F2A"/>
    <w:rsid w:val="00C97F9B"/>
    <w:rsid w:val="00CA0A79"/>
    <w:rsid w:val="00CA112D"/>
    <w:rsid w:val="00CA1F9F"/>
    <w:rsid w:val="00CA2179"/>
    <w:rsid w:val="00CA3D8A"/>
    <w:rsid w:val="00CA4A87"/>
    <w:rsid w:val="00CA5110"/>
    <w:rsid w:val="00CB0C0C"/>
    <w:rsid w:val="00CB4B3E"/>
    <w:rsid w:val="00CB50EF"/>
    <w:rsid w:val="00CB623F"/>
    <w:rsid w:val="00CB791A"/>
    <w:rsid w:val="00CB7D1B"/>
    <w:rsid w:val="00CC11DF"/>
    <w:rsid w:val="00CC1A6E"/>
    <w:rsid w:val="00CC3F62"/>
    <w:rsid w:val="00CC536E"/>
    <w:rsid w:val="00CC59DD"/>
    <w:rsid w:val="00CC7FC6"/>
    <w:rsid w:val="00CD47B2"/>
    <w:rsid w:val="00CD5AFD"/>
    <w:rsid w:val="00CD6E6D"/>
    <w:rsid w:val="00CD7091"/>
    <w:rsid w:val="00CD74EB"/>
    <w:rsid w:val="00CE49F8"/>
    <w:rsid w:val="00CE4E1E"/>
    <w:rsid w:val="00CE66B5"/>
    <w:rsid w:val="00CF2D77"/>
    <w:rsid w:val="00CF52DF"/>
    <w:rsid w:val="00CF5832"/>
    <w:rsid w:val="00CF5911"/>
    <w:rsid w:val="00CF7221"/>
    <w:rsid w:val="00CF724E"/>
    <w:rsid w:val="00D059F5"/>
    <w:rsid w:val="00D117F5"/>
    <w:rsid w:val="00D11B30"/>
    <w:rsid w:val="00D13661"/>
    <w:rsid w:val="00D142BD"/>
    <w:rsid w:val="00D146DE"/>
    <w:rsid w:val="00D17FEC"/>
    <w:rsid w:val="00D200E7"/>
    <w:rsid w:val="00D21427"/>
    <w:rsid w:val="00D22164"/>
    <w:rsid w:val="00D22B86"/>
    <w:rsid w:val="00D22F2F"/>
    <w:rsid w:val="00D24194"/>
    <w:rsid w:val="00D2460F"/>
    <w:rsid w:val="00D2590F"/>
    <w:rsid w:val="00D26321"/>
    <w:rsid w:val="00D27150"/>
    <w:rsid w:val="00D27EB3"/>
    <w:rsid w:val="00D32D2A"/>
    <w:rsid w:val="00D35E02"/>
    <w:rsid w:val="00D378C9"/>
    <w:rsid w:val="00D37B9F"/>
    <w:rsid w:val="00D40FA1"/>
    <w:rsid w:val="00D41425"/>
    <w:rsid w:val="00D41EFF"/>
    <w:rsid w:val="00D46275"/>
    <w:rsid w:val="00D467CA"/>
    <w:rsid w:val="00D4759B"/>
    <w:rsid w:val="00D500A4"/>
    <w:rsid w:val="00D51205"/>
    <w:rsid w:val="00D516FC"/>
    <w:rsid w:val="00D51F2D"/>
    <w:rsid w:val="00D535EE"/>
    <w:rsid w:val="00D54FC4"/>
    <w:rsid w:val="00D57019"/>
    <w:rsid w:val="00D574C1"/>
    <w:rsid w:val="00D57615"/>
    <w:rsid w:val="00D577C9"/>
    <w:rsid w:val="00D606B7"/>
    <w:rsid w:val="00D60DF0"/>
    <w:rsid w:val="00D61A94"/>
    <w:rsid w:val="00D62282"/>
    <w:rsid w:val="00D6356C"/>
    <w:rsid w:val="00D64A32"/>
    <w:rsid w:val="00D6553A"/>
    <w:rsid w:val="00D657CA"/>
    <w:rsid w:val="00D65CEE"/>
    <w:rsid w:val="00D73338"/>
    <w:rsid w:val="00D775F3"/>
    <w:rsid w:val="00D77868"/>
    <w:rsid w:val="00D77F25"/>
    <w:rsid w:val="00D809B4"/>
    <w:rsid w:val="00D84C2A"/>
    <w:rsid w:val="00D9064B"/>
    <w:rsid w:val="00D95D17"/>
    <w:rsid w:val="00D978C6"/>
    <w:rsid w:val="00DA03F6"/>
    <w:rsid w:val="00DA134A"/>
    <w:rsid w:val="00DA1A2E"/>
    <w:rsid w:val="00DA3413"/>
    <w:rsid w:val="00DA426E"/>
    <w:rsid w:val="00DA4339"/>
    <w:rsid w:val="00DA462C"/>
    <w:rsid w:val="00DA4B1B"/>
    <w:rsid w:val="00DA4EFC"/>
    <w:rsid w:val="00DA648D"/>
    <w:rsid w:val="00DA6A7B"/>
    <w:rsid w:val="00DA726D"/>
    <w:rsid w:val="00DB1B8D"/>
    <w:rsid w:val="00DB2693"/>
    <w:rsid w:val="00DB377C"/>
    <w:rsid w:val="00DB3DEA"/>
    <w:rsid w:val="00DB40BD"/>
    <w:rsid w:val="00DB4B8E"/>
    <w:rsid w:val="00DB4F4B"/>
    <w:rsid w:val="00DC070F"/>
    <w:rsid w:val="00DC3462"/>
    <w:rsid w:val="00DC3858"/>
    <w:rsid w:val="00DC3A57"/>
    <w:rsid w:val="00DC7A95"/>
    <w:rsid w:val="00DD1DAF"/>
    <w:rsid w:val="00DD55C2"/>
    <w:rsid w:val="00DD759E"/>
    <w:rsid w:val="00DE314E"/>
    <w:rsid w:val="00DE48C5"/>
    <w:rsid w:val="00DE4CFB"/>
    <w:rsid w:val="00DF045B"/>
    <w:rsid w:val="00DF0F58"/>
    <w:rsid w:val="00DF1ED8"/>
    <w:rsid w:val="00DF3785"/>
    <w:rsid w:val="00DF3D27"/>
    <w:rsid w:val="00DF6074"/>
    <w:rsid w:val="00E02239"/>
    <w:rsid w:val="00E047EC"/>
    <w:rsid w:val="00E07D42"/>
    <w:rsid w:val="00E163E9"/>
    <w:rsid w:val="00E240F5"/>
    <w:rsid w:val="00E30004"/>
    <w:rsid w:val="00E31A5B"/>
    <w:rsid w:val="00E333AC"/>
    <w:rsid w:val="00E3456B"/>
    <w:rsid w:val="00E35C16"/>
    <w:rsid w:val="00E36085"/>
    <w:rsid w:val="00E36813"/>
    <w:rsid w:val="00E42382"/>
    <w:rsid w:val="00E603DF"/>
    <w:rsid w:val="00E63745"/>
    <w:rsid w:val="00E66134"/>
    <w:rsid w:val="00E6699F"/>
    <w:rsid w:val="00E67845"/>
    <w:rsid w:val="00E67B40"/>
    <w:rsid w:val="00E703AE"/>
    <w:rsid w:val="00E72373"/>
    <w:rsid w:val="00E72C92"/>
    <w:rsid w:val="00E74A40"/>
    <w:rsid w:val="00E76AF9"/>
    <w:rsid w:val="00E84EF0"/>
    <w:rsid w:val="00E8649C"/>
    <w:rsid w:val="00E87886"/>
    <w:rsid w:val="00E87CDE"/>
    <w:rsid w:val="00E91330"/>
    <w:rsid w:val="00E91FC1"/>
    <w:rsid w:val="00E92D54"/>
    <w:rsid w:val="00E9323C"/>
    <w:rsid w:val="00E95FD8"/>
    <w:rsid w:val="00EA0283"/>
    <w:rsid w:val="00EA357E"/>
    <w:rsid w:val="00EA5DE1"/>
    <w:rsid w:val="00EB0C86"/>
    <w:rsid w:val="00EB0E16"/>
    <w:rsid w:val="00EB1A57"/>
    <w:rsid w:val="00EB236F"/>
    <w:rsid w:val="00EB237E"/>
    <w:rsid w:val="00EB2561"/>
    <w:rsid w:val="00EC1546"/>
    <w:rsid w:val="00EC15D5"/>
    <w:rsid w:val="00EC384A"/>
    <w:rsid w:val="00EC4D18"/>
    <w:rsid w:val="00EC5B23"/>
    <w:rsid w:val="00EC5DED"/>
    <w:rsid w:val="00EC6BD8"/>
    <w:rsid w:val="00ED0356"/>
    <w:rsid w:val="00ED0D71"/>
    <w:rsid w:val="00ED3DCD"/>
    <w:rsid w:val="00ED3DD5"/>
    <w:rsid w:val="00ED4FDB"/>
    <w:rsid w:val="00ED56BE"/>
    <w:rsid w:val="00ED74D7"/>
    <w:rsid w:val="00EE095F"/>
    <w:rsid w:val="00EE0DA8"/>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25B7F"/>
    <w:rsid w:val="00F30180"/>
    <w:rsid w:val="00F31A29"/>
    <w:rsid w:val="00F3279A"/>
    <w:rsid w:val="00F37236"/>
    <w:rsid w:val="00F44634"/>
    <w:rsid w:val="00F45473"/>
    <w:rsid w:val="00F505EC"/>
    <w:rsid w:val="00F5088F"/>
    <w:rsid w:val="00F51657"/>
    <w:rsid w:val="00F5223C"/>
    <w:rsid w:val="00F55F69"/>
    <w:rsid w:val="00F57787"/>
    <w:rsid w:val="00F61E82"/>
    <w:rsid w:val="00F6243A"/>
    <w:rsid w:val="00F63323"/>
    <w:rsid w:val="00F636FE"/>
    <w:rsid w:val="00F648B2"/>
    <w:rsid w:val="00F67EBD"/>
    <w:rsid w:val="00F7090A"/>
    <w:rsid w:val="00F70EA4"/>
    <w:rsid w:val="00F77851"/>
    <w:rsid w:val="00F80FAB"/>
    <w:rsid w:val="00F81AAC"/>
    <w:rsid w:val="00F81E3B"/>
    <w:rsid w:val="00F827E1"/>
    <w:rsid w:val="00F856DA"/>
    <w:rsid w:val="00F879B3"/>
    <w:rsid w:val="00F927B5"/>
    <w:rsid w:val="00F94BD0"/>
    <w:rsid w:val="00F95403"/>
    <w:rsid w:val="00F954EE"/>
    <w:rsid w:val="00F96705"/>
    <w:rsid w:val="00F96750"/>
    <w:rsid w:val="00F9704D"/>
    <w:rsid w:val="00FA0166"/>
    <w:rsid w:val="00FA2400"/>
    <w:rsid w:val="00FA33E9"/>
    <w:rsid w:val="00FA55C8"/>
    <w:rsid w:val="00FA64BE"/>
    <w:rsid w:val="00FA74C6"/>
    <w:rsid w:val="00FB24ED"/>
    <w:rsid w:val="00FB29AF"/>
    <w:rsid w:val="00FB313D"/>
    <w:rsid w:val="00FB4003"/>
    <w:rsid w:val="00FB4EBA"/>
    <w:rsid w:val="00FB7086"/>
    <w:rsid w:val="00FC1B94"/>
    <w:rsid w:val="00FC3B26"/>
    <w:rsid w:val="00FC6384"/>
    <w:rsid w:val="00FC6733"/>
    <w:rsid w:val="00FD224E"/>
    <w:rsid w:val="00FD2677"/>
    <w:rsid w:val="00FD28B8"/>
    <w:rsid w:val="00FD4D00"/>
    <w:rsid w:val="00FD6D5E"/>
    <w:rsid w:val="00FE0BD8"/>
    <w:rsid w:val="00FE1709"/>
    <w:rsid w:val="00FE1FC9"/>
    <w:rsid w:val="00FF32DE"/>
    <w:rsid w:val="00FF4205"/>
    <w:rsid w:val="00FF5858"/>
    <w:rsid w:val="00FF6930"/>
    <w:rsid w:val="36725D5C"/>
    <w:rsid w:val="3CFE2AD9"/>
    <w:rsid w:val="3EC79034"/>
    <w:rsid w:val="4119874D"/>
    <w:rsid w:val="42EC885E"/>
    <w:rsid w:val="440F045F"/>
    <w:rsid w:val="563EF20D"/>
    <w:rsid w:val="6233BE84"/>
    <w:rsid w:val="77E82626"/>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B6E44"/>
  <w15:docId w15:val="{9C04BF69-CA55-48B5-A60C-B108C2F75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5D5"/>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Heading4">
    <w:name w:val="heading 4"/>
    <w:basedOn w:val="Normal"/>
    <w:next w:val="Normal"/>
    <w:link w:val="Heading4Ch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rsid w:val="00020300"/>
    <w:rPr>
      <w:rFonts w:asciiTheme="majorHAnsi" w:eastAsiaTheme="majorEastAsia" w:hAnsiTheme="majorHAnsi" w:cstheme="majorBidi"/>
      <w:sz w:val="24"/>
      <w:szCs w:val="22"/>
      <w:lang w:val="en-GB" w:eastAsia="en-GB"/>
    </w:rPr>
  </w:style>
  <w:style w:type="character" w:customStyle="1" w:styleId="Heading3Char">
    <w:name w:val="Heading 3 Char"/>
    <w:basedOn w:val="DefaultParagraphFont"/>
    <w:link w:val="Heading3"/>
    <w:rsid w:val="00020300"/>
    <w:rPr>
      <w:rFonts w:asciiTheme="majorHAnsi" w:eastAsiaTheme="majorEastAsia" w:hAnsiTheme="majorHAnsi" w:cstheme="majorBidi"/>
      <w:sz w:val="24"/>
      <w:szCs w:val="24"/>
      <w:lang w:val="en-GB" w:eastAsia="en-GB"/>
    </w:rPr>
  </w:style>
  <w:style w:type="character" w:customStyle="1" w:styleId="Heading1Char">
    <w:name w:val="Heading 1 Char"/>
    <w:basedOn w:val="DefaultParagraphFont"/>
    <w:link w:val="Heading1"/>
    <w:rsid w:val="00FE0BD8"/>
    <w:rPr>
      <w:rFonts w:asciiTheme="majorHAnsi" w:eastAsiaTheme="majorEastAsia" w:hAnsiTheme="majorHAnsi" w:cstheme="majorBidi"/>
      <w:b/>
      <w:sz w:val="32"/>
      <w:szCs w:val="32"/>
      <w:lang w:val="en-GB" w:eastAsia="en-GB"/>
    </w:rPr>
  </w:style>
  <w:style w:type="character" w:customStyle="1" w:styleId="Heading2Char">
    <w:name w:val="Heading 2 Char"/>
    <w:basedOn w:val="DefaultParagraphFont"/>
    <w:link w:val="Heading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b/>
      <w:sz w:val="28"/>
    </w:rPr>
  </w:style>
  <w:style w:type="character" w:customStyle="1" w:styleId="Title1Char">
    <w:name w:val="Title 1 Char"/>
    <w:basedOn w:val="DefaultParagraphFont"/>
    <w:link w:val="Title1"/>
    <w:rsid w:val="003C4EB5"/>
    <w:rPr>
      <w:rFonts w:eastAsiaTheme="majorEastAsia" w:cstheme="minorHAnsi"/>
      <w:b/>
      <w:sz w:val="28"/>
      <w:szCs w:val="22"/>
      <w:lang w:val="en-GB" w:eastAsia="en-GB"/>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4"/>
      <w:szCs w:val="22"/>
      <w:lang w:val="en-GB" w:eastAsia="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rsid w:val="00AA054E"/>
    <w:rPr>
      <w:rFonts w:asciiTheme="majorHAnsi" w:eastAsiaTheme="majorEastAsia" w:hAnsiTheme="majorHAnsi" w:cstheme="majorBidi"/>
      <w:i/>
      <w:iCs/>
      <w:color w:val="44546A" w:themeColor="text2"/>
      <w:sz w:val="21"/>
      <w:szCs w:val="21"/>
      <w:lang w:val="en-GB" w:eastAsia="en-GB"/>
    </w:rPr>
  </w:style>
  <w:style w:type="paragraph" w:styleId="Title">
    <w:name w:val="Title"/>
    <w:basedOn w:val="Normal"/>
    <w:next w:val="Normal"/>
    <w:link w:val="TitleCh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pPr>
    <w:rPr>
      <w:rFonts w:asciiTheme="majorHAnsi" w:eastAsiaTheme="majorEastAsia" w:hAnsiTheme="majorHAnsi" w:cstheme="majorBidi"/>
      <w:b/>
      <w:sz w:val="28"/>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Heading8Char">
    <w:name w:val="Heading 8 Char"/>
    <w:basedOn w:val="DefaultParagraphFont"/>
    <w:link w:val="Heading8"/>
    <w:rsid w:val="00AA054E"/>
    <w:rPr>
      <w:rFonts w:asciiTheme="majorHAnsi" w:eastAsiaTheme="majorEastAsia" w:hAnsiTheme="majorHAnsi" w:cstheme="majorBidi"/>
      <w:b/>
      <w:bCs/>
      <w:color w:val="44546A" w:themeColor="text2"/>
      <w:sz w:val="24"/>
      <w:szCs w:val="24"/>
      <w:lang w:val="en-GB" w:eastAsia="en-GB"/>
    </w:rPr>
  </w:style>
  <w:style w:type="character" w:customStyle="1" w:styleId="Heading9Char">
    <w:name w:val="Heading 9 Char"/>
    <w:basedOn w:val="DefaultParagraphFont"/>
    <w:link w:val="Heading9"/>
    <w:rsid w:val="00AA054E"/>
    <w:rPr>
      <w:rFonts w:asciiTheme="majorHAnsi" w:eastAsiaTheme="majorEastAsia" w:hAnsiTheme="majorHAnsi" w:cstheme="majorBidi"/>
      <w:b/>
      <w:bCs/>
      <w:i/>
      <w:iCs/>
      <w:color w:val="44546A" w:themeColor="text2"/>
      <w:sz w:val="24"/>
      <w:szCs w:val="24"/>
      <w:lang w:val="en-GB" w:eastAsia="en-GB"/>
    </w:rPr>
  </w:style>
  <w:style w:type="paragraph" w:styleId="Caption">
    <w:name w:val="caption"/>
    <w:basedOn w:val="Normal"/>
    <w:next w:val="Normal"/>
    <w:uiPriority w:val="35"/>
    <w:semiHidden/>
    <w:unhideWhenUsed/>
    <w:qFormat/>
    <w:rsid w:val="00AA054E"/>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aliases w:val="Text,Emphase pâle,Diskret betoning"/>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qFormat/>
    <w:rsid w:val="007E7997"/>
    <w:pPr>
      <w:tabs>
        <w:tab w:val="center" w:pos="4536"/>
        <w:tab w:val="right" w:pos="9072"/>
      </w:tabs>
    </w:pPr>
  </w:style>
  <w:style w:type="character" w:customStyle="1" w:styleId="HeaderChar">
    <w:name w:val="Header Char"/>
    <w:basedOn w:val="DefaultParagraphFont"/>
    <w:link w:val="Header"/>
    <w:rsid w:val="007E7997"/>
    <w:rPr>
      <w:sz w:val="22"/>
    </w:rPr>
  </w:style>
  <w:style w:type="paragraph" w:styleId="Footer">
    <w:name w:val="footer"/>
    <w:basedOn w:val="Normal"/>
    <w:link w:val="FooterChar"/>
    <w:uiPriority w:val="99"/>
    <w:unhideWhenUsed/>
    <w:rsid w:val="007E7997"/>
    <w:pPr>
      <w:tabs>
        <w:tab w:val="center" w:pos="4536"/>
        <w:tab w:val="right" w:pos="9072"/>
      </w:tabs>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OC1">
    <w:name w:val="toc 1"/>
    <w:basedOn w:val="Normal"/>
    <w:next w:val="Normal"/>
    <w:autoRedefine/>
    <w:uiPriority w:val="39"/>
    <w:unhideWhenUsed/>
    <w:rsid w:val="00B81A44"/>
    <w:pPr>
      <w:tabs>
        <w:tab w:val="left" w:pos="440"/>
        <w:tab w:val="right" w:leader="dot" w:pos="9062"/>
      </w:tabs>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871163"/>
    <w:pPr>
      <w:numPr>
        <w:numId w:val="9"/>
      </w:numPr>
      <w:spacing w:after="250" w:line="276" w:lineRule="auto"/>
      <w:contextualSpacing/>
      <w:jc w:val="both"/>
    </w:pPr>
    <w:rPr>
      <w:rFonts w:asciiTheme="minorHAnsi" w:hAnsiTheme="minorHAnsi" w:cstheme="minorHAnsi"/>
      <w:b/>
      <w:bCs/>
      <w:sz w:val="22"/>
      <w:szCs w:val="22"/>
    </w:rPr>
  </w:style>
  <w:style w:type="character" w:customStyle="1" w:styleId="QuestionstyleChar">
    <w:name w:val="Question style Char"/>
    <w:basedOn w:val="DefaultParagraphFont"/>
    <w:link w:val="Questionstyle"/>
    <w:rsid w:val="00871163"/>
    <w:rPr>
      <w:rFonts w:eastAsia="Times New Roman" w:cstheme="minorHAnsi"/>
      <w:b/>
      <w:bCs/>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semiHidden/>
    <w:unhideWhenUsed/>
    <w:qFormat/>
    <w:rsid w:val="006F53E8"/>
    <w:rPr>
      <w:sz w:val="16"/>
    </w:rPr>
  </w:style>
  <w:style w:type="character" w:customStyle="1" w:styleId="FootnoteTextChar">
    <w:name w:val="Footnote Text Char"/>
    <w:basedOn w:val="DefaultParagraphFont"/>
    <w:link w:val="FootnoteText"/>
    <w:uiPriority w:val="99"/>
    <w:semiHidden/>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BVI fnr"/>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BalloonText">
    <w:name w:val="Balloon Text"/>
    <w:basedOn w:val="Normal"/>
    <w:link w:val="BalloonTextChar"/>
    <w:uiPriority w:val="99"/>
    <w:semiHidden/>
    <w:unhideWhenUsed/>
    <w:rsid w:val="003C167E"/>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DefaultParagraphFon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695AF2"/>
    <w:rPr>
      <w:rFonts w:eastAsiaTheme="majorEastAsia" w:cstheme="minorHAnsi"/>
      <w:sz w:val="22"/>
      <w:szCs w:val="22"/>
      <w:lang w:val="en-GB" w:eastAsia="en-GB"/>
    </w:rPr>
  </w:style>
  <w:style w:type="table" w:customStyle="1" w:styleId="TableGrid3">
    <w:name w:val="Table Grid3"/>
    <w:basedOn w:val="Table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MAConfidentialRestricted">
    <w:name w:val="ESMA Confidential/Restricted"/>
    <w:basedOn w:val="Strong"/>
    <w:uiPriority w:val="1"/>
    <w:qFormat/>
    <w:rsid w:val="00FA64BE"/>
    <w:rPr>
      <w:b w:val="0"/>
      <w:bCs/>
      <w:caps/>
      <w:smallCaps w:val="0"/>
      <w:color w:val="70AD47" w:themeColor="accent6"/>
      <w:sz w:val="22"/>
    </w:rPr>
  </w:style>
  <w:style w:type="paragraph" w:customStyle="1" w:styleId="Paragraph">
    <w:name w:val="Paragraph"/>
    <w:basedOn w:val="ListParagraph"/>
    <w:link w:val="ParagraphChar"/>
    <w:qFormat/>
    <w:rsid w:val="00CB0C0C"/>
    <w:pPr>
      <w:numPr>
        <w:numId w:val="32"/>
      </w:numPr>
      <w:tabs>
        <w:tab w:val="clear" w:pos="0"/>
        <w:tab w:val="clear" w:pos="142"/>
        <w:tab w:val="clear" w:pos="284"/>
        <w:tab w:val="clear" w:pos="567"/>
      </w:tabs>
      <w:autoSpaceDE/>
      <w:autoSpaceDN/>
      <w:adjustRightInd/>
      <w:spacing w:before="120" w:after="120" w:line="276" w:lineRule="auto"/>
      <w:textAlignment w:val="baseline"/>
    </w:pPr>
    <w:rPr>
      <w:rFonts w:ascii="Arial" w:eastAsiaTheme="minorEastAsia" w:hAnsi="Arial" w:cs="Arial"/>
      <w:color w:val="1A1A1A" w:themeColor="background1" w:themeShade="1A"/>
    </w:rPr>
  </w:style>
  <w:style w:type="character" w:customStyle="1" w:styleId="ParagraphChar">
    <w:name w:val="Paragraph Char"/>
    <w:basedOn w:val="DefaultParagraphFont"/>
    <w:link w:val="Paragraph"/>
    <w:rsid w:val="00CB0C0C"/>
    <w:rPr>
      <w:rFonts w:ascii="Arial" w:hAnsi="Arial" w:cs="Arial"/>
      <w:color w:val="1A1A1A" w:themeColor="background1" w:themeShade="1A"/>
      <w:sz w:val="22"/>
      <w:szCs w:val="22"/>
      <w:lang w:val="en-GB" w:eastAsia="en-GB"/>
    </w:rPr>
  </w:style>
  <w:style w:type="paragraph" w:customStyle="1" w:styleId="paragraph0">
    <w:name w:val="paragraph"/>
    <w:basedOn w:val="Normal"/>
    <w:rsid w:val="00CA0A79"/>
    <w:pPr>
      <w:spacing w:before="100" w:beforeAutospacing="1" w:after="100" w:afterAutospacing="1"/>
    </w:pPr>
  </w:style>
  <w:style w:type="character" w:customStyle="1" w:styleId="normaltextrun">
    <w:name w:val="normaltextrun"/>
    <w:basedOn w:val="DefaultParagraphFont"/>
    <w:rsid w:val="00CA0A79"/>
  </w:style>
  <w:style w:type="character" w:customStyle="1" w:styleId="eop">
    <w:name w:val="eop"/>
    <w:basedOn w:val="DefaultParagraphFont"/>
    <w:rsid w:val="00CA0A79"/>
  </w:style>
  <w:style w:type="character" w:customStyle="1" w:styleId="scxw68782009">
    <w:name w:val="scxw68782009"/>
    <w:basedOn w:val="DefaultParagraphFont"/>
    <w:rsid w:val="00B86AF8"/>
  </w:style>
  <w:style w:type="character" w:customStyle="1" w:styleId="scxw152741893">
    <w:name w:val="scxw152741893"/>
    <w:basedOn w:val="DefaultParagraphFont"/>
    <w:rsid w:val="003671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33908436">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37201994">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437221792">
          <w:marLeft w:val="547"/>
          <w:marRight w:val="0"/>
          <w:marTop w:val="120"/>
          <w:marBottom w:val="120"/>
          <w:divBdr>
            <w:top w:val="none" w:sz="0" w:space="0" w:color="auto"/>
            <w:left w:val="none" w:sz="0" w:space="0" w:color="auto"/>
            <w:bottom w:val="none" w:sz="0" w:space="0" w:color="auto"/>
            <w:right w:val="none" w:sz="0" w:space="0" w:color="auto"/>
          </w:divBdr>
        </w:div>
        <w:div w:id="627320154">
          <w:marLeft w:val="547"/>
          <w:marRight w:val="0"/>
          <w:marTop w:val="120"/>
          <w:marBottom w:val="120"/>
          <w:divBdr>
            <w:top w:val="none" w:sz="0" w:space="0" w:color="auto"/>
            <w:left w:val="none" w:sz="0" w:space="0" w:color="auto"/>
            <w:bottom w:val="none" w:sz="0" w:space="0" w:color="auto"/>
            <w:right w:val="none" w:sz="0" w:space="0" w:color="auto"/>
          </w:divBdr>
        </w:div>
      </w:divsChild>
    </w:div>
    <w:div w:id="743265188">
      <w:bodyDiv w:val="1"/>
      <w:marLeft w:val="0"/>
      <w:marRight w:val="0"/>
      <w:marTop w:val="0"/>
      <w:marBottom w:val="0"/>
      <w:divBdr>
        <w:top w:val="none" w:sz="0" w:space="0" w:color="auto"/>
        <w:left w:val="none" w:sz="0" w:space="0" w:color="auto"/>
        <w:bottom w:val="none" w:sz="0" w:space="0" w:color="auto"/>
        <w:right w:val="none" w:sz="0" w:space="0" w:color="auto"/>
      </w:divBdr>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093010987">
          <w:marLeft w:val="547"/>
          <w:marRight w:val="0"/>
          <w:marTop w:val="120"/>
          <w:marBottom w:val="120"/>
          <w:divBdr>
            <w:top w:val="none" w:sz="0" w:space="0" w:color="auto"/>
            <w:left w:val="none" w:sz="0" w:space="0" w:color="auto"/>
            <w:bottom w:val="none" w:sz="0" w:space="0" w:color="auto"/>
            <w:right w:val="none" w:sz="0" w:space="0" w:color="auto"/>
          </w:divBdr>
        </w:div>
        <w:div w:id="1467972504">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2432951">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713226">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51534017">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872621579">
      <w:bodyDiv w:val="1"/>
      <w:marLeft w:val="0"/>
      <w:marRight w:val="0"/>
      <w:marTop w:val="0"/>
      <w:marBottom w:val="0"/>
      <w:divBdr>
        <w:top w:val="none" w:sz="0" w:space="0" w:color="auto"/>
        <w:left w:val="none" w:sz="0" w:space="0" w:color="auto"/>
        <w:bottom w:val="none" w:sz="0" w:space="0" w:color="auto"/>
        <w:right w:val="none" w:sz="0" w:space="0" w:color="auto"/>
      </w:divBdr>
    </w:div>
    <w:div w:id="962080478">
      <w:bodyDiv w:val="1"/>
      <w:marLeft w:val="0"/>
      <w:marRight w:val="0"/>
      <w:marTop w:val="0"/>
      <w:marBottom w:val="0"/>
      <w:divBdr>
        <w:top w:val="none" w:sz="0" w:space="0" w:color="auto"/>
        <w:left w:val="none" w:sz="0" w:space="0" w:color="auto"/>
        <w:bottom w:val="none" w:sz="0" w:space="0" w:color="auto"/>
        <w:right w:val="none" w:sz="0" w:space="0" w:color="auto"/>
      </w:divBdr>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554805026">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8912395">
      <w:bodyDiv w:val="1"/>
      <w:marLeft w:val="0"/>
      <w:marRight w:val="0"/>
      <w:marTop w:val="0"/>
      <w:marBottom w:val="0"/>
      <w:divBdr>
        <w:top w:val="none" w:sz="0" w:space="0" w:color="auto"/>
        <w:left w:val="none" w:sz="0" w:space="0" w:color="auto"/>
        <w:bottom w:val="none" w:sz="0" w:space="0" w:color="auto"/>
        <w:right w:val="none" w:sz="0" w:space="0" w:color="auto"/>
      </w:divBdr>
    </w:div>
    <w:div w:id="1425295946">
      <w:bodyDiv w:val="1"/>
      <w:marLeft w:val="0"/>
      <w:marRight w:val="0"/>
      <w:marTop w:val="0"/>
      <w:marBottom w:val="0"/>
      <w:divBdr>
        <w:top w:val="none" w:sz="0" w:space="0" w:color="auto"/>
        <w:left w:val="none" w:sz="0" w:space="0" w:color="auto"/>
        <w:bottom w:val="none" w:sz="0" w:space="0" w:color="auto"/>
        <w:right w:val="none" w:sz="0" w:space="0" w:color="auto"/>
      </w:divBdr>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334718046">
          <w:marLeft w:val="547"/>
          <w:marRight w:val="0"/>
          <w:marTop w:val="120"/>
          <w:marBottom w:val="120"/>
          <w:divBdr>
            <w:top w:val="none" w:sz="0" w:space="0" w:color="auto"/>
            <w:left w:val="none" w:sz="0" w:space="0" w:color="auto"/>
            <w:bottom w:val="none" w:sz="0" w:space="0" w:color="auto"/>
            <w:right w:val="none" w:sz="0" w:space="0" w:color="auto"/>
          </w:divBdr>
        </w:div>
        <w:div w:id="1910724800">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525359563">
      <w:bodyDiv w:val="1"/>
      <w:marLeft w:val="0"/>
      <w:marRight w:val="0"/>
      <w:marTop w:val="0"/>
      <w:marBottom w:val="0"/>
      <w:divBdr>
        <w:top w:val="none" w:sz="0" w:space="0" w:color="auto"/>
        <w:left w:val="none" w:sz="0" w:space="0" w:color="auto"/>
        <w:bottom w:val="none" w:sz="0" w:space="0" w:color="auto"/>
        <w:right w:val="none" w:sz="0" w:space="0" w:color="auto"/>
      </w:divBdr>
    </w:div>
    <w:div w:id="1535144967">
      <w:bodyDiv w:val="1"/>
      <w:marLeft w:val="0"/>
      <w:marRight w:val="0"/>
      <w:marTop w:val="0"/>
      <w:marBottom w:val="0"/>
      <w:divBdr>
        <w:top w:val="none" w:sz="0" w:space="0" w:color="auto"/>
        <w:left w:val="none" w:sz="0" w:space="0" w:color="auto"/>
        <w:bottom w:val="none" w:sz="0" w:space="0" w:color="auto"/>
        <w:right w:val="none" w:sz="0" w:space="0" w:color="auto"/>
      </w:divBdr>
    </w:div>
    <w:div w:id="1597983348">
      <w:bodyDiv w:val="1"/>
      <w:marLeft w:val="0"/>
      <w:marRight w:val="0"/>
      <w:marTop w:val="0"/>
      <w:marBottom w:val="0"/>
      <w:divBdr>
        <w:top w:val="none" w:sz="0" w:space="0" w:color="auto"/>
        <w:left w:val="none" w:sz="0" w:space="0" w:color="auto"/>
        <w:bottom w:val="none" w:sz="0" w:space="0" w:color="auto"/>
        <w:right w:val="none" w:sz="0" w:space="0" w:color="auto"/>
      </w:divBdr>
    </w:div>
    <w:div w:id="1604996733">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1780953536">
      <w:bodyDiv w:val="1"/>
      <w:marLeft w:val="0"/>
      <w:marRight w:val="0"/>
      <w:marTop w:val="0"/>
      <w:marBottom w:val="0"/>
      <w:divBdr>
        <w:top w:val="none" w:sz="0" w:space="0" w:color="auto"/>
        <w:left w:val="none" w:sz="0" w:space="0" w:color="auto"/>
        <w:bottom w:val="none" w:sz="0" w:space="0" w:color="auto"/>
        <w:right w:val="none" w:sz="0" w:space="0" w:color="auto"/>
      </w:divBdr>
    </w:div>
    <w:div w:id="1818372730">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384447457">
          <w:marLeft w:val="126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322007622">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esma.europa.eu/legal-noti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1484"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6</Value>
      <Value>509</Value>
      <Value>508</Value>
      <Value>20</Value>
    </TaxCatchAll>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78753201-1e9e-4a21-a088-6ff602b5c999</TermId>
        </TermInfo>
      </Terms>
    </eed0a0b2ea6941718a34434e243f3d8f>
    <n644e5dfaa29486bad4a4fc019c6d2df xmlns="d0fb0f98-34f9-4d57-9559-eb8efd17aa5e">
      <Terms xmlns="http://schemas.microsoft.com/office/infopath/2007/PartnerControls">
        <TermInfo xmlns="http://schemas.microsoft.com/office/infopath/2007/PartnerControls">
          <TermName xmlns="http://schemas.microsoft.com/office/infopath/2007/PartnerControls">Qualification of crypto-assets - ESMA Guidelines on classification</TermName>
          <TermId xmlns="http://schemas.microsoft.com/office/infopath/2007/PartnerControls">4332d316-c095-4f91-9af2-56426177b6b7</TermId>
        </TermInfo>
      </Terms>
    </n644e5dfaa29486bad4a4fc019c6d2df>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MeetingDate xmlns="d0fb0f98-34f9-4d57-9559-eb8efd17aa5e" xsi:nil="true"/>
    <Year xmlns="d0fb0f98-34f9-4d57-9559-eb8efd17aa5e">2025</Year>
    <a9b3b1dad23b4ba58c3f3e36a96e1d9c xmlns="d0fb0f98-34f9-4d57-9559-eb8efd17aa5e">
      <Terms xmlns="http://schemas.microsoft.com/office/infopath/2007/PartnerControls"/>
    </a9b3b1dad23b4ba58c3f3e36a96e1d9c>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European Green Bonds</TermName>
          <TermId xmlns="http://schemas.microsoft.com/office/infopath/2007/PartnerControls">f68cfe7f-8b0c-4445-b5d7-ad808afd8270</TermId>
        </TermInfo>
      </Terms>
    </caa5aeb1a6644849b60fbe2335e12657>
    <_dlc_DocId xmlns="d0fb0f98-34f9-4d57-9559-eb8efd17aa5e">ESMA12-437499640-3046</_dlc_DocId>
    <_dlc_DocIdUrl xmlns="d0fb0f98-34f9-4d57-9559-eb8efd17aa5e">
      <Url>https://securitiesandmarketsauth.sharepoint.com/sites/sherpa-daru/_layouts/15/DocIdRedir.aspx?ID=ESMA12-437499640-3046</Url>
      <Description>ESMA12-437499640-3046</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Projects Document" ma:contentTypeID="0x010100503F0D35E53D034B940919FAB1A37C880700C6AD09EDF1492341843D00183F05DEB3" ma:contentTypeVersion="27" ma:contentTypeDescription="" ma:contentTypeScope="" ma:versionID="d34fef912863cac6dfebdfb03ae49ef2">
  <xsd:schema xmlns:xsd="http://www.w3.org/2001/XMLSchema" xmlns:xs="http://www.w3.org/2001/XMLSchema" xmlns:p="http://schemas.microsoft.com/office/2006/metadata/properties" xmlns:ns2="d0fb0f98-34f9-4d57-9559-eb8efd17aa5e" xmlns:ns3="865d8a05-f056-4017-b8dd-1de195fc3e23" targetNamespace="http://schemas.microsoft.com/office/2006/metadata/properties" ma:root="true" ma:fieldsID="7e11c17e85f2e7699576c4f9eb43d193" ns2:_="" ns3:_="">
    <xsd:import namespace="d0fb0f98-34f9-4d57-9559-eb8efd17aa5e"/>
    <xsd:import namespace="865d8a05-f056-4017-b8dd-1de195fc3e23"/>
    <xsd:element name="properties">
      <xsd:complexType>
        <xsd:sequence>
          <xsd:element name="documentManagement">
            <xsd:complexType>
              <xsd:all>
                <xsd:element ref="ns2:Year"/>
                <xsd:element ref="ns2:MeetingDate"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caa5aeb1a6644849b60fbe2335e12657" minOccurs="0"/>
                <xsd:element ref="ns2:n644e5dfaa29486bad4a4fc019c6d2df"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5" ma:displayName="Year" ma:default="" ma:internalName="Year" ma:readOnly="false">
      <xsd:simpleType>
        <xsd:restriction base="dms:Text">
          <xsd:maxLength value="4"/>
        </xsd:restriction>
      </xsd:simpleType>
    </xsd:element>
    <xsd:element name="MeetingDate" ma:index="7" nillable="true" ma:displayName="Meeting Date" ma:format="DateOnly" ma:internalName="MeetingDate" ma:readOnly="false">
      <xsd:simpleType>
        <xsd:restriction base="dms:DateTime"/>
      </xsd:simpleType>
    </xsd:element>
    <xsd:element name="TaxCatchAll" ma:index="8" nillable="true" ma:displayName="Taxonomy Catch All Column" ma:hidden="true" ma:list="{226adf03-de49-4967-ab93-d74c7d05cbd5}"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226adf03-de49-4967-ab93-d74c7d05cbd5}"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7" nillable="true" ma:taxonomy="true" ma:internalName="eed0a0b2ea6941718a34434e243f3d8f" ma:taxonomyFieldName="DocumentType" ma:displayName="Document Type" ma:readOnly="false" ma:default="5;#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8" ma:taxonomy="true" ma:internalName="j69a081f486747f6ac8a5aeed63facfd" ma:taxonomyFieldName="ConfidentialityLevel" ma:displayName="Confidentiality Level" ma:readOnly="false" ma:default="8;#Restricted|187aa7e6-627f-4951-b138-6ff841dc883d"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9"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caa5aeb1a6644849b60fbe2335e12657" ma:index="20" nillable="true" ma:taxonomy="true" ma:internalName="caa5aeb1a6644849b60fbe2335e12657" ma:taxonomyFieldName="Topic" ma:displayName="Topic" ma:readOnly="false" ma:fieldId="{caa5aeb1-a664-4849-b60f-be2335e12657}" ma:sspId="d4b01e31-ead0-4f68-a8e9-2aaca35f2e62" ma:termSetId="9a9b884f-1937-4ba8-b5f2-ea2505275fea" ma:anchorId="00000000-0000-0000-0000-000000000000" ma:open="true" ma:isKeyword="false">
      <xsd:complexType>
        <xsd:sequence>
          <xsd:element ref="pc:Terms" minOccurs="0" maxOccurs="1"/>
        </xsd:sequence>
      </xsd:complexType>
    </xsd:element>
    <xsd:element name="n644e5dfaa29486bad4a4fc019c6d2df" ma:index="21" nillable="true" ma:taxonomy="true" ma:internalName="n644e5dfaa29486bad4a4fc019c6d2df" ma:taxonomyFieldName="SubTopic" ma:displayName="Sub Topic" ma:readOnly="false" ma:fieldId="{7644e5df-aa29-486b-ad4a-4fc019c6d2df}" ma:sspId="d4b01e31-ead0-4f68-a8e9-2aaca35f2e62" ma:termSetId="e8ea3c90-637e-4220-bd5c-1240989cf81e"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5d8a05-f056-4017-b8dd-1de195fc3e23"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2.xml><?xml version="1.0" encoding="utf-8"?>
<ds:datastoreItem xmlns:ds="http://schemas.openxmlformats.org/officeDocument/2006/customXml" ds:itemID="{4F80F4C4-F0A0-4061-B9D6-D46D7D39BCD2}">
  <ds:schemaRefs>
    <ds:schemaRef ds:uri="http://schemas.openxmlformats.org/officeDocument/2006/bibliography"/>
  </ds:schemaRefs>
</ds:datastoreItem>
</file>

<file path=customXml/itemProps3.xml><?xml version="1.0" encoding="utf-8"?>
<ds:datastoreItem xmlns:ds="http://schemas.openxmlformats.org/officeDocument/2006/customXml" ds:itemID="{4FBC0C5A-5A55-4279-A037-D43AA8D96806}">
  <ds:schemaRefs>
    <ds:schemaRef ds:uri="http://schemas.microsoft.com/sharepoint/events"/>
  </ds:schemaRefs>
</ds:datastoreItem>
</file>

<file path=customXml/itemProps4.xml><?xml version="1.0" encoding="utf-8"?>
<ds:datastoreItem xmlns:ds="http://schemas.openxmlformats.org/officeDocument/2006/customXml" ds:itemID="{8337F5EE-E87B-49CE-96B5-F95CE63A0DF2}">
  <ds:schemaRefs>
    <ds:schemaRef ds:uri="http://schemas.openxmlformats.org/package/2006/metadata/core-properties"/>
    <ds:schemaRef ds:uri="http://purl.org/dc/terms/"/>
    <ds:schemaRef ds:uri="d0fb0f98-34f9-4d57-9559-eb8efd17aa5e"/>
    <ds:schemaRef ds:uri="http://purl.org/dc/elements/1.1/"/>
    <ds:schemaRef ds:uri="http://schemas.microsoft.com/office/infopath/2007/PartnerControls"/>
    <ds:schemaRef ds:uri="865d8a05-f056-4017-b8dd-1de195fc3e23"/>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52151C37-7AB0-45DC-A9ED-E58388F1C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865d8a05-f056-4017-b8dd-1de195fc3e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Template>
  <TotalTime>1296</TotalTime>
  <Pages>14</Pages>
  <Words>4015</Words>
  <Characters>23851</Characters>
  <Application>Microsoft Office Word</Application>
  <DocSecurity>8</DocSecurity>
  <Lines>662</Lines>
  <Paragraphs>398</Paragraphs>
  <ScaleCrop>false</ScaleCrop>
  <Company>ESMA</Company>
  <LinksUpToDate>false</LinksUpToDate>
  <CharactersWithSpaces>27468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Elguea Palacios, Jesus</cp:lastModifiedBy>
  <cp:revision>28</cp:revision>
  <cp:lastPrinted>2017-07-24T14:47:00Z</cp:lastPrinted>
  <dcterms:created xsi:type="dcterms:W3CDTF">2025-09-16T14:47:00Z</dcterms:created>
  <dcterms:modified xsi:type="dcterms:W3CDTF">2025-09-17T12:23:00Z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6;#Regular|07f1e362-856b-423d-bea6-a14079762141</vt:lpwstr>
  </property>
  <property fmtid="{D5CDD505-2E9C-101B-9397-08002B2CF9AE}" pid="4" name="ContentTypeId">
    <vt:lpwstr>0x010100503F0D35E53D034B940919FAB1A37C880700C6AD09EDF1492341843D00183F05DEB3</vt:lpwstr>
  </property>
  <property fmtid="{D5CDD505-2E9C-101B-9397-08002B2CF9AE}" pid="5" name="_dlc_DocIdItemGuid">
    <vt:lpwstr>569bcf0d-12b0-4e1e-b129-58e1e8da7205</vt:lpwstr>
  </property>
  <property fmtid="{D5CDD505-2E9C-101B-9397-08002B2CF9AE}" pid="6" name="DocumentType">
    <vt:lpwstr>20;#Report|78753201-1e9e-4a21-a088-6ff602b5c999</vt:lpwstr>
  </property>
  <property fmtid="{D5CDD505-2E9C-101B-9397-08002B2CF9AE}" pid="7" name="Topic">
    <vt:lpwstr>508;#European Green Bonds|f68cfe7f-8b0c-4445-b5d7-ad808afd8270</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9;#Credit Ratings Agency Unit|ac587c9e-f6a3-4205-8197-96cf16201777</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509;#Qualification of crypto-assets - ESMA Guidelines on classification|4332d316-c095-4f91-9af2-56426177b6b7</vt:lpwstr>
  </property>
  <property fmtid="{D5CDD505-2E9C-101B-9397-08002B2CF9AE}" pid="18" name="TeamTopic">
    <vt:lpwstr>87;#Other Work|f1a52b52-917d-42ef-9667-945839604bb2</vt:lpwstr>
  </property>
  <property fmtid="{D5CDD505-2E9C-101B-9397-08002B2CF9AE}" pid="19" name="URL">
    <vt:lpwstr/>
  </property>
  <property fmtid="{D5CDD505-2E9C-101B-9397-08002B2CF9AE}" pid="20" name="DocumentSetDescription">
    <vt:lpwstr/>
  </property>
  <property fmtid="{D5CDD505-2E9C-101B-9397-08002B2CF9AE}" pid="21" name="MSIP_Label_05ae7051-b702-462d-8e81-9ac0b6085f00_Extended_MSFT_Method">
    <vt:lpwstr>Standard</vt:lpwstr>
  </property>
  <property fmtid="{D5CDD505-2E9C-101B-9397-08002B2CF9AE}" pid="22" name="MSIP_Label_05ae7051-b702-462d-8e81-9ac0b6085f00_Removed">
    <vt:lpwstr>False</vt:lpwstr>
  </property>
  <property fmtid="{D5CDD505-2E9C-101B-9397-08002B2CF9AE}" pid="23" name="MSIP_Label_05ae7051-b702-462d-8e81-9ac0b6085f00_ActionId">
    <vt:lpwstr>4dcb8942-b9fd-4687-9c67-fe5cb333f037</vt:lpwstr>
  </property>
  <property fmtid="{D5CDD505-2E9C-101B-9397-08002B2CF9AE}" pid="24" name="MSIP_Label_05ae7051-b702-462d-8e81-9ac0b6085f00_Name">
    <vt:lpwstr>Regular</vt:lpwstr>
  </property>
  <property fmtid="{D5CDD505-2E9C-101B-9397-08002B2CF9AE}" pid="25" name="MSIP_Label_05ae7051-b702-462d-8e81-9ac0b6085f00_SetDate">
    <vt:lpwstr>2025-06-17T15:19:03Z</vt:lpwstr>
  </property>
  <property fmtid="{D5CDD505-2E9C-101B-9397-08002B2CF9AE}" pid="26" name="MSIP_Label_05ae7051-b702-462d-8e81-9ac0b6085f00_SiteId">
    <vt:lpwstr>e406f268-4ae7-4c80-8994-02493da00c03</vt:lpwstr>
  </property>
  <property fmtid="{D5CDD505-2E9C-101B-9397-08002B2CF9AE}" pid="27" name="MSIP_Label_05ae7051-b702-462d-8e81-9ac0b6085f00_Enabled">
    <vt:lpwstr>True</vt:lpwstr>
  </property>
  <property fmtid="{D5CDD505-2E9C-101B-9397-08002B2CF9AE}" pid="28" name="Sensitivity">
    <vt:lpwstr>Regular</vt:lpwstr>
  </property>
</Properties>
</file>