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5D367152" w:rsidR="00C85C8B" w:rsidRPr="00B16706" w:rsidRDefault="00585FC9" w:rsidP="00C85C8B">
                <w:pPr>
                  <w:rPr>
                    <w:rFonts w:ascii="Arial" w:hAnsi="Arial" w:cs="Arial"/>
                    <w:color w:val="808080"/>
                    <w:sz w:val="16"/>
                    <w:szCs w:val="20"/>
                    <w:lang w:eastAsia="de-DE"/>
                  </w:rPr>
                </w:pPr>
                <w:r>
                  <w:rPr>
                    <w:rFonts w:ascii="Arial" w:hAnsi="Arial" w:cs="Arial"/>
                    <w:color w:val="808080"/>
                    <w:sz w:val="16"/>
                    <w:szCs w:val="20"/>
                    <w:lang w:eastAsia="de-DE"/>
                  </w:rPr>
                  <w:t>Association of German Public Banks</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54D42D8" w:rsidR="00C85C8B" w:rsidRPr="00B16706" w:rsidRDefault="00FA0A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85FC9">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4DB3F816" w:rsidR="00C85C8B" w:rsidRPr="00B16706" w:rsidRDefault="00585FC9"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192859A1" w:rsidR="00C85C8B" w:rsidRPr="00B16706" w:rsidRDefault="00585FC9"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55872E8" w14:textId="77777777" w:rsidR="00CE12F1" w:rsidRDefault="00CE12F1" w:rsidP="00CE12F1">
      <w:permStart w:id="785210304" w:edGrp="everyone"/>
      <w:r>
        <w:t>We see the following three as the most significant cost drivers:</w:t>
      </w:r>
    </w:p>
    <w:p w14:paraId="1E7D07F4" w14:textId="77777777" w:rsidR="00CE12F1" w:rsidRDefault="00CE12F1" w:rsidP="00CE12F1">
      <w:r>
        <w:t>1.</w:t>
      </w:r>
      <w:r>
        <w:tab/>
        <w:t>Frequent regulatory changes (Issue 1): These lead to continuous IT adjustments, staff training, and compliance reviews, creating high operational costs.</w:t>
      </w:r>
    </w:p>
    <w:p w14:paraId="4A815285" w14:textId="7AE0D857" w:rsidR="00CE12F1" w:rsidRDefault="00CE12F1" w:rsidP="00CE12F1">
      <w:r>
        <w:t>2.</w:t>
      </w:r>
      <w:r>
        <w:tab/>
        <w:t>Duplicative reporting obligations (Issue 2 and 5): Especially the overlap between EMIR and MiFIR for derivatives, and the dual-sided reporting requirement under EMIR</w:t>
      </w:r>
      <w:r w:rsidR="00FA0A00">
        <w:t xml:space="preserve"> and SFTR</w:t>
      </w:r>
      <w:r>
        <w:t>, are major cost drivers.</w:t>
      </w:r>
    </w:p>
    <w:p w14:paraId="5E4785B7" w14:textId="1ED86E54" w:rsidR="00CE12F1" w:rsidRDefault="00CE12F1" w:rsidP="00CE12F1">
      <w:r>
        <w:t>3.</w:t>
      </w:r>
      <w:r>
        <w:tab/>
        <w:t>Multiple reporting channels and systems (Issue 8 and 9): The fragmentation of reporting infrastructures and the need to maintain parallel systems for EMIR, MiFIR and SFTR significantly increase complexity and cost.</w:t>
      </w:r>
    </w:p>
    <w:p w14:paraId="4777F4A0" w14:textId="77777777" w:rsidR="00CE12F1" w:rsidRDefault="00CE12F1" w:rsidP="00CE12F1"/>
    <w:p w14:paraId="118F100F" w14:textId="6A7C8E8F" w:rsidR="00926BDA" w:rsidRDefault="00CE12F1" w:rsidP="00CE12F1">
      <w:r>
        <w:t>We also note that the lack of harmonised definitions and data dictionaries (Issue 3) further complicates implementation and reconciliation efforts.</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A1A0BF9" w14:textId="77777777" w:rsidR="00CE12F1" w:rsidRDefault="00CE12F1" w:rsidP="00CE12F1">
      <w:permStart w:id="545925079" w:edGrp="everyone"/>
      <w:r>
        <w:t>Designing the system with foresight is of critical importance. A forward-thinking approach during the planning and development phases helps to anticipate future requirements and challenges, thereby minimizing the need for ongoing adjustments and reactive modifications. The continued changes in the capital market reporting regimes not only disrupt operations but also lead to significant costs over time. By investing in a well-thought-out, sustainable system architecture from the outset, costly rework can be avoided, long-term efficiency ensured and limited budgets and resources will not be overstrained.</w:t>
      </w:r>
    </w:p>
    <w:p w14:paraId="744A1836" w14:textId="77777777" w:rsidR="00CE12F1" w:rsidRDefault="00CE12F1" w:rsidP="00CE12F1"/>
    <w:p w14:paraId="598FB7C4" w14:textId="77777777" w:rsidR="00CE12F1" w:rsidRDefault="00CE12F1" w:rsidP="00CE12F1">
      <w:r>
        <w:t xml:space="preserve">We stress that the principle of preserving information scope (especially as clarified in footnote 29) must be applied proportionally. A critical review of which data fields are truly necessary for supervisory purposes is essential. </w:t>
      </w:r>
    </w:p>
    <w:p w14:paraId="7989C69F" w14:textId="77777777" w:rsidR="00CE12F1" w:rsidRDefault="00CE12F1" w:rsidP="00CE12F1"/>
    <w:p w14:paraId="1B5E1A7E" w14:textId="7D805992" w:rsidR="00926BDA" w:rsidRDefault="00CE12F1" w:rsidP="00CE12F1">
      <w:r>
        <w:t>We support both European harmonisation and global alignment of reporting standards. However, European harmonisation must be prioritised. A coherent and consistent EU framework is the necessary foundation for any meaningful international convergence. During the development of a new reporting system, and for a defined period thereafter, there needs to be a moratorium on further changes to the running systems to ensure stability and avoid costly, repeated adjustments.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6F37E7E3" w14:textId="77777777" w:rsidR="00CE12F1" w:rsidRDefault="00CE12F1" w:rsidP="00CE12F1">
      <w:permStart w:id="666895774" w:edGrp="everyone"/>
      <w:r>
        <w:t>Option 1a may offer limited operational relief by reducing selected duplications and aligning certain data points. However, these effects remain incremental and do not address the structural fragmentation across EMIR, MiFIR and SFTR</w:t>
      </w:r>
    </w:p>
    <w:p w14:paraId="4EC7E062" w14:textId="77777777" w:rsidR="00CE12F1" w:rsidRDefault="00CE12F1" w:rsidP="00CE12F1"/>
    <w:p w14:paraId="10B78F54" w14:textId="701F5E3F" w:rsidR="00926BDA" w:rsidRDefault="00CE12F1" w:rsidP="00CE12F1">
      <w:r>
        <w:t>It would be a missed opportunity not to implement meaningful change. The capital markets reporting framework should 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6874491A" w14:textId="137184CD" w:rsidR="00CE12F1" w:rsidRDefault="00CE12F1" w:rsidP="00CE12F1">
      <w:permStart w:id="1901729855" w:edGrp="everyone"/>
      <w:r>
        <w:t xml:space="preserve">Even if all current overlaps were now eliminated, experience has shown that it cannot be ruled out that new overlaps will emerge over time. Regulatory frameworks evolve, reporting requirements shift (and broaden), and different use cases often lead to conflicting or additional data needs. Therefore, any system that is not designed with clear boundaries and long-term maintainability in mind runs the risk of becoming inconsistent and redundant again. </w:t>
      </w:r>
    </w:p>
    <w:p w14:paraId="5025669A" w14:textId="77777777" w:rsidR="00CE12F1" w:rsidRDefault="00CE12F1" w:rsidP="00CE12F1"/>
    <w:p w14:paraId="271C2CA6" w14:textId="2E15C2D5" w:rsidR="00926BDA" w:rsidRDefault="00CE12F1" w:rsidP="00CE12F1">
      <w:r>
        <w:t>Furthermore, expanding the EMIR template to serve additional purposes -such as market abuse surveillance - introduces immediate complexity. It blurs the original intent of the reporting structure and imposes additional data requirements that may not align with the system’s core objectives. This kind of functional overloading inevitably leads to inefficiencies, as well as again higher complexities and compliance costs. Instead of simplifying and streamlining reporting, such a move could reintroduce the very issues to be solved.</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6986A188" w14:textId="77777777" w:rsidR="00CE12F1" w:rsidRDefault="00CE12F1" w:rsidP="00CE12F1">
      <w:permStart w:id="1034637762" w:edGrp="everyone"/>
      <w:r>
        <w:t>As already outlined under Q4, adapting EMIR to capture data that is currently reported under MiFIR appears highly inefficient, both from a technical and regulatory standpoint. EMIR and MiFIR were designed with different objectives and data models in mind; merging their scopes risks undermining both clarity and compliance effectiveness.</w:t>
      </w:r>
    </w:p>
    <w:p w14:paraId="6CEFBEC3" w14:textId="77777777" w:rsidR="00CE12F1" w:rsidRDefault="00CE12F1" w:rsidP="00CE12F1"/>
    <w:p w14:paraId="1F27D03C" w14:textId="763F6088" w:rsidR="00926BDA" w:rsidRDefault="00CE12F1" w:rsidP="00CE12F1">
      <w:r>
        <w:t>Adapting EMIR to encompass MiFIR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there is a risk of increasing operational burdens and regulatory uncertainty, rather than delivering the intended efficiencies.</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28292CF1" w14:textId="77777777" w:rsidR="00CE12F1" w:rsidRDefault="00CE12F1" w:rsidP="00CE12F1">
      <w:permStart w:id="276758894" w:edGrp="everyone"/>
      <w:r>
        <w:t>Similar to Option 1a, option 1b may offer limited operational relief by reducing selected duplications and aligning certain data points. However, these effects remain incremental and do not address the structural fragmentation across EMIR, MiFIR and SFTR</w:t>
      </w:r>
    </w:p>
    <w:p w14:paraId="4EADD2DF" w14:textId="77777777" w:rsidR="00CE12F1" w:rsidRDefault="00CE12F1" w:rsidP="00CE12F1"/>
    <w:p w14:paraId="1FA6E054" w14:textId="2828E5F5" w:rsidR="00926BDA" w:rsidRDefault="00CE12F1" w:rsidP="00CE12F1">
      <w:r>
        <w:t>It would be a missed opportunity not to implement meaningful change. The capital markets reporting framework should 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4A8C72CA" w:rsidR="00926BDA" w:rsidRDefault="00CE12F1" w:rsidP="00926BDA">
      <w:permStart w:id="1327239170" w:edGrp="everyone"/>
      <w:r w:rsidRPr="00CE12F1">
        <w:t>Currently, reporting events reflect what actually happens with the financial instrument in question (life-cycle events). However, this does not always align with the concept of post-trade events as defined in existing regulatory frameworks. Hence, the current content and structure of reports does presumably not accurately capture the relevant information on post trade events. As a result, we expect to incur very high implementation costs to adapt the current reports, which are based on life-cycle events, to post-trade events and to eliminate possible inconsistencies. In consequence, we cannot identify any cost savings in option 1b. On the contrary. It would require a profound and fundamental restructuring of the capital markets reporting structure which has no equivalent in the current set-up and therefore be complex, radical, and costly without providing clear added value for anyone.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E2998A7" w14:textId="77777777" w:rsidR="00CE12F1" w:rsidRDefault="00CE12F1" w:rsidP="00CE12F1">
      <w:permStart w:id="1249454344" w:edGrp="everyone"/>
      <w:r>
        <w:t xml:space="preserve">From our perspective, option 2a is the only approach that is truly future-oriented and sustainable. In our view, it offers the best foundation for a coherent and efficient reporting system in the long term. </w:t>
      </w:r>
    </w:p>
    <w:p w14:paraId="5CD21476" w14:textId="77777777" w:rsidR="00CE12F1" w:rsidRDefault="00CE12F1" w:rsidP="00CE12F1"/>
    <w:p w14:paraId="0267CBE3" w14:textId="77777777" w:rsidR="00CE12F1" w:rsidRDefault="00CE12F1" w:rsidP="00CE12F1">
      <w:r>
        <w:t>The reporting system should be structured around the origin of data, assigning reporting responsibilities to the entities that generate the respective information, for example:</w:t>
      </w:r>
    </w:p>
    <w:p w14:paraId="63056ED9" w14:textId="77777777" w:rsidR="00CE12F1" w:rsidRDefault="00CE12F1" w:rsidP="00CE12F1">
      <w:r>
        <w:t>-</w:t>
      </w:r>
      <w:r>
        <w:tab/>
        <w:t>Trading venues report transaction-level data;</w:t>
      </w:r>
    </w:p>
    <w:p w14:paraId="627A5B31" w14:textId="77777777" w:rsidR="00CE12F1" w:rsidRDefault="00CE12F1" w:rsidP="00CE12F1">
      <w:r>
        <w:t>-</w:t>
      </w:r>
      <w:r>
        <w:tab/>
        <w:t>CCPs report position-level data.</w:t>
      </w:r>
    </w:p>
    <w:p w14:paraId="0B0947E9" w14:textId="77777777" w:rsidR="00CE12F1" w:rsidRDefault="00CE12F1" w:rsidP="00CE12F1">
      <w:r>
        <w:t>-</w:t>
      </w:r>
      <w:r>
        <w:tab/>
        <w:t>Clearing members report client-related data;</w:t>
      </w:r>
    </w:p>
    <w:p w14:paraId="7B70BAF5" w14:textId="77777777" w:rsidR="000E33ED" w:rsidRDefault="000E33ED" w:rsidP="00CE12F1"/>
    <w:p w14:paraId="7A398BCF" w14:textId="734AE1C3" w:rsidR="000E33ED" w:rsidRDefault="00CE12F1" w:rsidP="00CE12F1">
      <w:r>
        <w:t>This source-based approach enables a coherent “report once” regime. It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r w:rsidR="000E33ED">
        <w:t xml:space="preserve"> </w:t>
      </w:r>
      <w:r>
        <w:t>Th</w:t>
      </w:r>
      <w:r w:rsidR="000E33ED">
        <w:t xml:space="preserve">is approach </w:t>
      </w:r>
      <w:r>
        <w:t>supports scalability and long-term maintainability</w:t>
      </w:r>
      <w:r w:rsidR="000E33ED">
        <w:t xml:space="preserve"> since it </w:t>
      </w:r>
      <w:r>
        <w:t>reflects the structure of financial markets</w:t>
      </w:r>
      <w:r w:rsidR="000E33ED">
        <w:t>.</w:t>
      </w:r>
      <w:r w:rsidR="000E33ED" w:rsidRPr="000E33ED">
        <w:t xml:space="preserve"> </w:t>
      </w:r>
      <w:r w:rsidR="000E33ED">
        <w:t>It also enables targeted supervisory use without imposing unnecessary complexity on reporting entities.</w:t>
      </w:r>
    </w:p>
    <w:p w14:paraId="2B0CB083" w14:textId="77777777" w:rsidR="000E33ED" w:rsidRDefault="000E33ED" w:rsidP="00CE12F1"/>
    <w:p w14:paraId="5A8801BA" w14:textId="04DEFDED" w:rsidR="00926BDA" w:rsidRDefault="00CE12F1" w:rsidP="00CE12F1">
      <w:r>
        <w:t xml:space="preserve">In addition, we suggest separating general and product-specific data. </w:t>
      </w:r>
      <w:r w:rsidR="000E33ED">
        <w:t xml:space="preserve">This avoids the inefficiencies of forcing heterogeneous data into unified templates. </w:t>
      </w:r>
      <w:r>
        <w:t>As regards the content of the reports, it should be made sure that the data fields remain fit for purpose and aligned with the actual characteristics of the respective financial products. For example, derivative-related information should not be forced into templates primarily designed for securities — a practice that is conceptually flawed and often leads to inconsistencies and inefficiencies. Such a structure would prevent overlaps between reports, since each product type would be reported in a targeted and appropriate way.</w:t>
      </w:r>
      <w:r w:rsidR="000E33ED" w:rsidRPr="000E33ED">
        <w:t xml:space="preserve"> </w:t>
      </w:r>
      <w:r w:rsidR="000E33ED">
        <w:t>It would promote clarity, reduce operational burden for reporting entities, and support better data quality and supervisory outcomes.</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535E808A" w:rsidR="00926BDA" w:rsidRDefault="00380060" w:rsidP="00926BDA">
      <w:permStart w:id="199837036" w:edGrp="everyone"/>
      <w:r w:rsidRPr="00380060">
        <w:t>There is a significant risk that the reporting framework will not be fundamentally rethought, but rather extended by linking existing systems. Such an approach would likely result in high implementation costs without delivering meaningful burden reduction. Simply merging legacy structures increases complexity and operational risk, while failing to address the root causes of inefficiency. A sustainable solution requires a clean architectural break and a source-based reporting model, as outlined under Q9. Only a system designed from first principles can achieve long-term simplification and cost efficiency.</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758DEC86" w14:textId="0ADA30FD" w:rsidR="00380060" w:rsidRDefault="00380060" w:rsidP="00380060">
      <w:permStart w:id="2123508368" w:edGrp="everyone"/>
      <w:r>
        <w:t>The implementation of Option 2a - a fully integrated “report once” regime across MiFIR, EMIR and SFTR - must be approached as a structured, transparent and collaborative transformation process. This process should actively involve the reporting industry throughout the entire journey toward the new regime.</w:t>
      </w:r>
    </w:p>
    <w:p w14:paraId="554316B7" w14:textId="77777777" w:rsidR="00380060" w:rsidRDefault="00380060" w:rsidP="00380060"/>
    <w:p w14:paraId="60B7B934" w14:textId="77777777" w:rsidR="00380060" w:rsidRDefault="00380060" w:rsidP="00380060">
      <w:r>
        <w:t>To ensure that the resulting framework is effective, proportionate and operationally viable, we strongly recommend establishing a dedicated supervisory-industry dialogue that goes beyond existing consultation formats. This process should:</w:t>
      </w:r>
    </w:p>
    <w:p w14:paraId="0348E8B8" w14:textId="56732AAD" w:rsidR="00380060" w:rsidRPr="00380060" w:rsidRDefault="00380060" w:rsidP="00380060">
      <w:pPr>
        <w:pStyle w:val="Listenabsatz"/>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380060">
        <w:rPr>
          <w:rFonts w:ascii="Times New Roman" w:eastAsia="Times New Roman" w:hAnsi="Times New Roman" w:cs="Times New Roman"/>
          <w:sz w:val="24"/>
          <w:szCs w:val="24"/>
        </w:rPr>
        <w:t>e goal-driven, with supervisory objectives clearly defined and communicated from the outset.</w:t>
      </w:r>
    </w:p>
    <w:p w14:paraId="1F1492BE" w14:textId="09AA1B91" w:rsidR="00380060" w:rsidRPr="00380060" w:rsidRDefault="00380060" w:rsidP="00380060">
      <w:pPr>
        <w:pStyle w:val="Listenabsatz"/>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80060">
        <w:rPr>
          <w:rFonts w:ascii="Times New Roman" w:eastAsia="Times New Roman" w:hAnsi="Times New Roman" w:cs="Times New Roman"/>
          <w:sz w:val="24"/>
          <w:szCs w:val="24"/>
        </w:rPr>
        <w:t xml:space="preserve">nable iterative and structured engagement with market participants </w:t>
      </w:r>
      <w:r>
        <w:rPr>
          <w:rFonts w:ascii="Times New Roman" w:eastAsia="Times New Roman" w:hAnsi="Times New Roman" w:cs="Times New Roman"/>
          <w:sz w:val="24"/>
          <w:szCs w:val="24"/>
        </w:rPr>
        <w:t xml:space="preserve">- </w:t>
      </w:r>
      <w:r w:rsidRPr="00380060">
        <w:rPr>
          <w:rFonts w:ascii="Times New Roman" w:eastAsia="Times New Roman" w:hAnsi="Times New Roman" w:cs="Times New Roman"/>
          <w:sz w:val="24"/>
          <w:szCs w:val="24"/>
        </w:rPr>
        <w:t>not only through written consultations, but also via working groups, technical workshops and bilateral exchanges.</w:t>
      </w:r>
    </w:p>
    <w:p w14:paraId="734E49D5" w14:textId="05F61471" w:rsidR="00380060" w:rsidRPr="00380060" w:rsidRDefault="00380060" w:rsidP="00380060">
      <w:pPr>
        <w:pStyle w:val="Listenabsatz"/>
        <w:rPr>
          <w:rFonts w:ascii="Times New Roman" w:eastAsia="Times New Roman" w:hAnsi="Times New Roman" w:cs="Times New Roman"/>
          <w:sz w:val="24"/>
          <w:szCs w:val="24"/>
        </w:rPr>
      </w:pPr>
      <w:r>
        <w:rPr>
          <w:rFonts w:ascii="Times New Roman" w:eastAsia="Times New Roman" w:hAnsi="Times New Roman" w:cs="Times New Roman"/>
          <w:sz w:val="24"/>
          <w:szCs w:val="24"/>
        </w:rPr>
        <w:t>fo</w:t>
      </w:r>
      <w:r w:rsidRPr="00380060">
        <w:rPr>
          <w:rFonts w:ascii="Times New Roman" w:eastAsia="Times New Roman" w:hAnsi="Times New Roman" w:cs="Times New Roman"/>
          <w:sz w:val="24"/>
          <w:szCs w:val="24"/>
        </w:rPr>
        <w:t>cus on jointly identifying critical data elements, assessing their actual supervisory use, and aligning them with what is realistically reportable in practice.</w:t>
      </w:r>
    </w:p>
    <w:p w14:paraId="1D7353D0" w14:textId="2146C217" w:rsidR="00380060" w:rsidRPr="00380060" w:rsidRDefault="00380060" w:rsidP="00380060">
      <w:pPr>
        <w:pStyle w:val="Listenabsatz"/>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80060">
        <w:rPr>
          <w:rFonts w:ascii="Times New Roman" w:eastAsia="Times New Roman" w:hAnsi="Times New Roman" w:cs="Times New Roman"/>
          <w:sz w:val="24"/>
          <w:szCs w:val="24"/>
        </w:rPr>
        <w:t>llow for phased implementation, with realistic timelines, transitional arrangements and early testing of reporting logic and infrastructure.</w:t>
      </w:r>
    </w:p>
    <w:p w14:paraId="71F458AD" w14:textId="77777777" w:rsidR="00380060" w:rsidRDefault="00380060" w:rsidP="00380060"/>
    <w:p w14:paraId="04BEB89B" w14:textId="15B812A6" w:rsidR="00926BDA" w:rsidRDefault="00380060" w:rsidP="00380060">
      <w:r>
        <w:t>Such a process is essential to ensure that the integrated reporting regime under Option 2a delivers on its promise of real simplification, cost efficiency and regulatory effectiveness - while maintaining trust and alignment between supervisors and the reporting industry.</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06EEC1C6" w:rsidR="00926BDA" w:rsidRDefault="005010BF" w:rsidP="00926BDA">
      <w:permStart w:id="16780711" w:edGrp="everyone"/>
      <w:r w:rsidRPr="005010BF">
        <w:t>We are concerned that there may be too little overlap between the different reporting regimes and too many data fields that are irrelevant to the respective different transaction types or reporting entities. This well-intentioned idea has the potential to compromise the purpose of streamlining the reporting regimes. For example, Solvency is a reporting regime primarily designed for insurance companies, whereas EMIR, MiFIR, and SFTR are mainly relevant for investment firms.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23D442B" w14:textId="77777777" w:rsidR="005010BF" w:rsidRDefault="005010BF" w:rsidP="005010BF">
      <w:permStart w:id="695482675" w:edGrp="everyone"/>
      <w:r>
        <w:t>In our view, the only way forward is merging EMIR, MiFIR and SFTR into one common framework as outlined in Option 2a. These regimes have developed side by side in an often-piecemeal fashion, and there is significant and growing duplication between them. Investment firms should be able to report a superset of data once across all EU regimes, to be used many times by various regulators for their respective purposes.</w:t>
      </w:r>
    </w:p>
    <w:p w14:paraId="636D1F61" w14:textId="77777777" w:rsidR="005010BF" w:rsidRDefault="005010BF" w:rsidP="005010BF"/>
    <w:p w14:paraId="6C59AC72" w14:textId="77777777" w:rsidR="005010BF" w:rsidRPr="005010BF" w:rsidRDefault="005010BF" w:rsidP="005010BF">
      <w:pPr>
        <w:rPr>
          <w:b/>
        </w:rPr>
      </w:pPr>
      <w:r w:rsidRPr="005010BF">
        <w:rPr>
          <w:b/>
        </w:rPr>
        <w:t>Simplification and focus</w:t>
      </w:r>
    </w:p>
    <w:p w14:paraId="473973F2" w14:textId="1194C38B" w:rsidR="005010BF" w:rsidRDefault="005010BF" w:rsidP="005010BF">
      <w:r>
        <w:t>The new regime must significantly reduce complexity. Often, each individual data field can be justified in isolation. But taken together, they create a system that is overly complex and burdensome. A cultural shift is needed—from justifying every possible field to questioning what is truly necessary. The differences between MiFIR (focused on market surveillance) and EMIR/SFTR (focused on financial stability) are not so big as to require entirely separate reporting infrastructures. Many current data fields are "nice to have" but do – from our point of view - not meaningfully support supervisory objectives, in particular where the relevant data is already available through other sources. Only fields that are truly necessary for effective oversight should be retained.</w:t>
      </w:r>
    </w:p>
    <w:p w14:paraId="0221DF5D" w14:textId="77777777" w:rsidR="005010BF" w:rsidRDefault="005010BF" w:rsidP="005010BF"/>
    <w:p w14:paraId="68829B18" w14:textId="118272FB" w:rsidR="005010BF" w:rsidRDefault="005010BF" w:rsidP="005010BF">
      <w:r>
        <w:t>It must absolutely be ensured that three reports containing a total of more than 400 fields do not get merged into a single report with 400 fields – that would only make things worse. Furthermore, it must be ensured that the report is not repeatedly “optimized” because each department within the supervisory authorities has its own interests.</w:t>
      </w:r>
    </w:p>
    <w:p w14:paraId="7584DD48" w14:textId="77777777" w:rsidR="005010BF" w:rsidRDefault="005010BF" w:rsidP="005010BF">
      <w:r>
        <w:t>Complexity could be drastically reduced by leveraging existing registers. For example:</w:t>
      </w:r>
    </w:p>
    <w:p w14:paraId="052A03C7" w14:textId="07B819F0" w:rsidR="005010BF" w:rsidRPr="005010BF" w:rsidRDefault="005010BF" w:rsidP="005010BF">
      <w:pPr>
        <w:pStyle w:val="Listenabsatz"/>
        <w:numPr>
          <w:ilvl w:val="0"/>
          <w:numId w:val="39"/>
        </w:numPr>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Reporting of LEI is sufficient - ESMA can retrieve the related date from the LEI register.</w:t>
      </w:r>
    </w:p>
    <w:p w14:paraId="37DF9D12" w14:textId="443C8E73" w:rsidR="005010BF" w:rsidRPr="005010BF" w:rsidRDefault="005010BF" w:rsidP="005010BF">
      <w:pPr>
        <w:pStyle w:val="Listenabsatz"/>
        <w:numPr>
          <w:ilvl w:val="0"/>
          <w:numId w:val="39"/>
        </w:numPr>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Reporting of ISIN is sufficient - ESMA can obtain additional information from ANNA DSB, making many detailed fields redundant.</w:t>
      </w:r>
    </w:p>
    <w:p w14:paraId="189982B9" w14:textId="204BB86F" w:rsidR="005010BF" w:rsidRPr="005010BF" w:rsidRDefault="005010BF" w:rsidP="005010BF">
      <w:pPr>
        <w:pStyle w:val="Listenabsatz"/>
        <w:numPr>
          <w:ilvl w:val="0"/>
          <w:numId w:val="39"/>
        </w:numPr>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Reporting of CFI is sufficient – fields such as Asset Class can then be omitted.</w:t>
      </w:r>
    </w:p>
    <w:p w14:paraId="5438BC1D" w14:textId="77777777" w:rsidR="005010BF" w:rsidRDefault="005010BF" w:rsidP="005010BF">
      <w:r>
        <w:t>It is highly inefficient for thousands of institutions across Europe to import data into their own systems solely for reporting purposes, when ESMA could perform this centrally. Only then can data quality truly be improved, and only then will the supervisory authorities genuinely benefit.</w:t>
      </w:r>
    </w:p>
    <w:p w14:paraId="1F957443" w14:textId="77777777" w:rsidR="005010BF" w:rsidRDefault="005010BF" w:rsidP="005010BF"/>
    <w:p w14:paraId="4399EC02" w14:textId="77777777" w:rsidR="005010BF" w:rsidRPr="005010BF" w:rsidRDefault="005010BF" w:rsidP="005010BF">
      <w:pPr>
        <w:rPr>
          <w:b/>
        </w:rPr>
      </w:pPr>
      <w:r w:rsidRPr="005010BF">
        <w:rPr>
          <w:b/>
        </w:rPr>
        <w:t>Eliminate unnecessary matching requirements</w:t>
      </w:r>
    </w:p>
    <w:p w14:paraId="02FFCF03" w14:textId="77777777" w:rsidR="005010BF" w:rsidRDefault="005010BF" w:rsidP="005010BF">
      <w:r>
        <w:t>Certain data points, like market valuations, are inherently institution-specific and will never match between counterparties. Forcing alignment in such areas creates inefficiencies without adding supervisory value. Each firm uses its own models and data sources; it would be unrealistic and operationally unfeasible to expect them to adjust their valuations to match those of a counterparty. The same applies to transaction types—e.g., whether to report two forwards or one swap. These kinds of reporting mismatches are a persistent challenge under EMIR and are unlikely to ever be resolved definitively, as no institution is technically "wrong," but the transactions still don’t reconcile.</w:t>
      </w:r>
    </w:p>
    <w:p w14:paraId="2AB5681A" w14:textId="77777777" w:rsidR="005010BF" w:rsidRDefault="005010BF" w:rsidP="005010BF"/>
    <w:p w14:paraId="0C678844" w14:textId="77777777" w:rsidR="005010BF" w:rsidRPr="005010BF" w:rsidRDefault="005010BF" w:rsidP="005010BF">
      <w:pPr>
        <w:rPr>
          <w:b/>
        </w:rPr>
      </w:pPr>
      <w:r w:rsidRPr="005010BF">
        <w:rPr>
          <w:b/>
        </w:rPr>
        <w:t>Built jointly by ESMA and the market</w:t>
      </w:r>
    </w:p>
    <w:p w14:paraId="53069A83" w14:textId="099CEBD4" w:rsidR="00926BDA" w:rsidRDefault="005010BF" w:rsidP="005010BF">
      <w:r>
        <w:t>The new regime should be developed collaboratively by ESMA and market participants. It should be developed through a structured, transparent and collaborative process. This requires more than a one-time consultation — it calls for a dedicated and ongoing dialogue between supervisors and the reporting industry. Supervisory objectives must be clearly defined and translated into practical, proportionate solutions in close coordination with those who will implement them. Only through such a joint design phase can the regime achieve both regulatory effectiveness and operational feasibility.</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77777777" w:rsidR="00926BDA" w:rsidRDefault="00926BDA" w:rsidP="00926BDA">
      <w:permStart w:id="1784418006" w:edGrp="everyone"/>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2A5D0EA0" w:rsidR="00926BDA" w:rsidRDefault="005010BF" w:rsidP="00926BDA">
      <w:permStart w:id="1438851636" w:edGrp="everyone"/>
      <w:r w:rsidRPr="005010BF">
        <w:t>Yes, there should be only one reporting channel. Having a single reporting pathway would significantly reduce complexity, lower the risk of inconsistent data submissions, and ease the operational burden on reporting entities. Multiple reporting channels often lead to duplication of efforts and higher compliance costs.</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032F5966" w14:textId="77777777" w:rsidR="005010BF" w:rsidRDefault="005010BF" w:rsidP="005010BF">
      <w:permStart w:id="1962436404" w:edGrp="everyone"/>
      <w:r>
        <w:t>We support transferring the reporting obligation for on-venue transactions to the trading venues themselves. These venues already possess the relevant order and execution data, which ensures high data quality and avoids duplication. The same applies to cleared transactions, which should be reported exclusively by the CCP.</w:t>
      </w:r>
    </w:p>
    <w:p w14:paraId="4A85495D" w14:textId="77777777" w:rsidR="005010BF" w:rsidRDefault="005010BF" w:rsidP="005010BF"/>
    <w:p w14:paraId="33B78B8E" w14:textId="43E0702C" w:rsidR="00926BDA" w:rsidRDefault="005010BF" w:rsidP="005010BF">
      <w:r>
        <w:t>This shift would significantly reduce the operational burden on investment firms, lower the overall volume of reported data, and streamline reporting processes.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349BFA0D" w14:textId="77777777" w:rsidR="005010BF" w:rsidRDefault="005010BF" w:rsidP="005010BF">
      <w:permStart w:id="105197077" w:edGrp="everyone"/>
      <w:r>
        <w:t>We recognise the potential benefits of centralising access to harmonised data for NCAs. However, we have concerns about ESMA taking on the role of a full-scale reporting hub.</w:t>
      </w:r>
    </w:p>
    <w:p w14:paraId="5ED49844" w14:textId="77777777" w:rsidR="005010BF" w:rsidRDefault="005010BF" w:rsidP="005010BF"/>
    <w:p w14:paraId="1CE256DA" w14:textId="77777777" w:rsidR="005010BF" w:rsidRDefault="005010BF" w:rsidP="005010BF">
      <w:r>
        <w:t>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22A9D1F" w14:textId="77777777" w:rsidR="005010BF" w:rsidRDefault="005010BF" w:rsidP="005010BF"/>
    <w:p w14:paraId="1A3BE8DE" w14:textId="3BD462B5" w:rsidR="00926BDA" w:rsidRDefault="005010BF" w:rsidP="005010BF">
      <w:r>
        <w:t xml:space="preserve">On the other hand, trade repositories already operate globally and are integrated into international reporting and oversight structures. A </w:t>
      </w:r>
      <w:r w:rsidRPr="005010BF">
        <w:t>purely Europe-focused</w:t>
      </w:r>
      <w:r>
        <w:t xml:space="preserve"> reporting model risks creating fragmentation and may lack the global reach and flexibility that existing infrastructures provide. It makes sense to leverage their expertise and global reach.</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440D6A09" w14:textId="77777777" w:rsidR="005010BF" w:rsidRDefault="005010BF" w:rsidP="005010BF">
      <w:permStart w:id="817709938" w:edGrp="everyone"/>
      <w:r>
        <w:t>We recognise the potential benefits of centralising access to harmonised data for NCAs. However, we have concerns about ESMA taking on the role of a full-scale reporting hub.</w:t>
      </w:r>
    </w:p>
    <w:p w14:paraId="51A9B076" w14:textId="77777777" w:rsidR="005010BF" w:rsidRDefault="005010BF" w:rsidP="005010BF"/>
    <w:p w14:paraId="75E38CDC" w14:textId="77777777" w:rsidR="005010BF" w:rsidRDefault="005010BF" w:rsidP="005010BF">
      <w:r>
        <w:t>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59FC6A3" w14:textId="77777777" w:rsidR="005010BF" w:rsidRDefault="005010BF" w:rsidP="005010BF"/>
    <w:p w14:paraId="18F148C1" w14:textId="38BA0806" w:rsidR="00926BDA" w:rsidRDefault="005010BF" w:rsidP="005010BF">
      <w:r>
        <w:t>On the other hand, trade repositories already operate globally and are integrated into international reporting and oversight structures. A purely Europe-focused reporting model risks creating fragmentation and may lack the global reach and flexibility that existing infrastructures provide. It makes sense to leverage their expertise and global reach.</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7BD58EE6" w14:textId="77777777" w:rsidR="005010BF" w:rsidRDefault="005010BF" w:rsidP="005010BF">
      <w:permStart w:id="1652326327" w:edGrp="everyone"/>
      <w:r>
        <w:t>Dual-sided reporting imposes significant operational burdens, but the definition of “dual-sidedness” is not entirely clear. We understand it to mean mainly the reconciliation process under EMIR and SFTR, which is the most significant burden in reporting we identify. In particular the reconciliation of institution-specific data - such as valuations or transaction classifications - has proven inefficient, time consuming, error-prone and very costly. These mismatches are inherent to the fact that each counterparty uses its own calculation methods and data soucres and can, thus, not be resolved through forced alignment.</w:t>
      </w:r>
    </w:p>
    <w:p w14:paraId="4AD803DE" w14:textId="77777777" w:rsidR="005010BF" w:rsidRDefault="005010BF" w:rsidP="005010BF">
      <w:r>
        <w:t>In addition, it might be advisable to identify where the focus of supervision and the suspected need for a reporting obligation for both sides of a transaction lies. From our point of view, the reporting of the same transaction by both sides should be limited to cases where it is necessary from a supervisory perspective.</w:t>
      </w:r>
      <w:r w:rsidRPr="00404E7D">
        <w:t xml:space="preserve"> </w:t>
      </w:r>
      <w:r>
        <w:t>On the other hand, it should not necessary with regards to transactions that are not so relevant for the monitoring of financial and systemic stability (e.g., transactions arising from PTRR or those that are already concluded or cleared on market infrastructures and are therefore “public”).</w:t>
      </w:r>
    </w:p>
    <w:p w14:paraId="5C192E4B" w14:textId="77777777" w:rsidR="005010BF" w:rsidRDefault="005010BF" w:rsidP="005010BF"/>
    <w:p w14:paraId="4D11DA7F" w14:textId="77777777" w:rsidR="005010BF" w:rsidRDefault="005010BF" w:rsidP="005010BF">
      <w:r>
        <w:t>As already set out under Q9, we would generally propose a reporting system which is structured around the origin of data and which assigns reporting obligations to the entities that generate the respective information, for example:</w:t>
      </w:r>
    </w:p>
    <w:p w14:paraId="40F81F84" w14:textId="77777777" w:rsidR="005010BF" w:rsidRPr="005010BF" w:rsidRDefault="005010BF" w:rsidP="005010BF">
      <w:pPr>
        <w:pStyle w:val="Listenabsatz"/>
        <w:numPr>
          <w:ilvl w:val="0"/>
          <w:numId w:val="41"/>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Trading venues (regulated markets, MTFs and OTFs) report transaction-level data;</w:t>
      </w:r>
    </w:p>
    <w:p w14:paraId="09DDDB94" w14:textId="77777777" w:rsidR="005010BF" w:rsidRPr="005010BF" w:rsidRDefault="005010BF" w:rsidP="005010BF">
      <w:pPr>
        <w:pStyle w:val="Listenabsatz"/>
        <w:numPr>
          <w:ilvl w:val="0"/>
          <w:numId w:val="41"/>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CCPs report position-level data.</w:t>
      </w:r>
    </w:p>
    <w:p w14:paraId="1F3D8154" w14:textId="77777777" w:rsidR="005010BF" w:rsidRPr="005010BF" w:rsidRDefault="005010BF" w:rsidP="005010BF">
      <w:pPr>
        <w:pStyle w:val="Listenabsatz"/>
        <w:numPr>
          <w:ilvl w:val="0"/>
          <w:numId w:val="41"/>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5010BF">
        <w:rPr>
          <w:rFonts w:ascii="Times New Roman" w:eastAsia="Times New Roman" w:hAnsi="Times New Roman" w:cs="Times New Roman"/>
          <w:sz w:val="24"/>
          <w:szCs w:val="24"/>
        </w:rPr>
        <w:t>Clearing members report client-related data;</w:t>
      </w:r>
    </w:p>
    <w:p w14:paraId="15972EB6" w14:textId="77777777" w:rsidR="005010BF" w:rsidRDefault="005010BF" w:rsidP="005010BF">
      <w:r>
        <w:t>This concept applies in particular to trades entered into on market infrastructures. It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63E7C29F" w14:textId="77777777" w:rsidR="005010BF" w:rsidRDefault="005010BF" w:rsidP="005010BF"/>
    <w:p w14:paraId="4D224B0B" w14:textId="784A41AE" w:rsidR="005010BF" w:rsidRDefault="005010BF" w:rsidP="005010BF">
      <w:r>
        <w:t xml:space="preserve">If these infrastructures were to report the trades entered into or cleared on their platforms, a lot of trades and data would already be captured and would not have to be reported by the counterparties entering into a transaction. In addition, we would like to point out that factual dual-sided reporting under EMIR and SFTR, i.e. two distinct entities reporting the same transaction only for themselves, due to delegations does not occur as frequently as one might assume (we assume less than 30%; it should be possible to derive this data from the EMIR and SFTR reports). </w:t>
      </w:r>
      <w:r w:rsidRPr="0092712F">
        <w:t>As a result, much of the reporting today is already effectively handled by a single counterparty on behalf of both sides</w:t>
      </w:r>
      <w:r>
        <w:t>.</w:t>
      </w:r>
      <w:r w:rsidRPr="00DF3C39">
        <w:t xml:space="preserve"> However, this double reporting of essentially the same facts</w:t>
      </w:r>
      <w:r>
        <w:t xml:space="preserve"> has little to no added </w:t>
      </w:r>
      <w:r w:rsidRPr="00DF3C39">
        <w:t>value in terms of content for the supervisory authority and consumes large amounts of data.</w:t>
      </w:r>
      <w:r>
        <w:t xml:space="preserve"> In order to easier identify those trades it might, therefore, make sense to introduce a flag for delegated reporting and in these circumstances require only one full data set to be reported.</w:t>
      </w:r>
    </w:p>
    <w:p w14:paraId="37A5B372" w14:textId="77777777" w:rsidR="005010BF" w:rsidRDefault="005010BF" w:rsidP="005010BF">
      <w:pPr>
        <w:rPr>
          <w:lang w:val="en-US"/>
        </w:rPr>
      </w:pPr>
    </w:p>
    <w:p w14:paraId="6E39AACB" w14:textId="1AB14C4D" w:rsidR="00926BDA" w:rsidRDefault="005010BF" w:rsidP="005010BF">
      <w:r>
        <w:t>As regards the remaining transactions, i.e. likely OTC-transactions des between the larger market participants (i. e. FC in the EMIR and MiFIR regimes) where both parties would have to report the data, we would like to raise attention to the above-mentioned reconciliation of data. This process should, in our opinion, be abolished.</w:t>
      </w:r>
      <w:r>
        <w:rPr>
          <w:lang w:val="en-US"/>
        </w:rPr>
        <w:t xml:space="preserve"> </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7EE4B20A" w14:textId="77777777" w:rsidR="00263F61" w:rsidRDefault="00263F61" w:rsidP="00263F61">
      <w:permStart w:id="806124853" w:edGrp="everyone"/>
      <w:r w:rsidRPr="004D3B0B">
        <w:t>We recommend maintaining the current T+1 reporting frequency. Within the existing framework, we do not see any meaningful burden reduction from adjusting the</w:t>
      </w:r>
      <w:r>
        <w:t xml:space="preserve"> reporting frequency</w:t>
      </w:r>
      <w:r w:rsidRPr="004D3B0B">
        <w:t>.</w:t>
      </w:r>
    </w:p>
    <w:p w14:paraId="162ABCEF" w14:textId="778E5223" w:rsidR="00926BDA" w:rsidRDefault="00263F61" w:rsidP="00926BDA">
      <w:r w:rsidRPr="004D3B0B">
        <w:t xml:space="preserve">Changes to reporting </w:t>
      </w:r>
      <w:r>
        <w:t xml:space="preserve">frequency </w:t>
      </w:r>
      <w:r w:rsidRPr="004D3B0B">
        <w:t xml:space="preserve">should only be considered in the context of a structurally redesigned system, as outlined under </w:t>
      </w:r>
      <w:r>
        <w:t xml:space="preserve">our answer under </w:t>
      </w:r>
      <w:r w:rsidRPr="004D3B0B">
        <w:t>Q9</w:t>
      </w:r>
      <w:r>
        <w:t>.</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2EF01585" w14:textId="77777777" w:rsidR="00263F61" w:rsidRDefault="00263F61" w:rsidP="00263F61">
      <w:permStart w:id="1181963014" w:edGrp="everyone"/>
      <w:r>
        <w:t>T</w:t>
      </w:r>
      <w:r w:rsidRPr="00C61263">
        <w:t>he constant adaptations are extremely expensive. To illustrate this, we conducted a survey among our members (German public banks, including Landesbanken, DZ Bank, KfW as well as smaller promotional banks) on the implementation costs of EMIR Refit. The change cost 15 of our members alone almost 43 million euros, in average approximately 3 million Euros. Scaled to the German or EU market, this amounts to significant sums. And this only for the change of one of the three capital market reporting regimes.</w:t>
      </w:r>
    </w:p>
    <w:p w14:paraId="4B76585F" w14:textId="77777777" w:rsidR="00263F61" w:rsidRDefault="00263F61" w:rsidP="00263F61"/>
    <w:p w14:paraId="1629122D" w14:textId="77777777" w:rsidR="00263F61" w:rsidRPr="007E1DE0" w:rsidRDefault="00263F61" w:rsidP="00263F61">
      <w:pPr>
        <w:jc w:val="center"/>
        <w:rPr>
          <w:b/>
        </w:rPr>
      </w:pPr>
      <w:r w:rsidRPr="007E1DE0">
        <w:rPr>
          <w:b/>
        </w:rPr>
        <w:t>Cost Survey – EMIR Reporting</w:t>
      </w:r>
    </w:p>
    <w:p w14:paraId="40AAFDC6" w14:textId="77777777" w:rsidR="00263F61" w:rsidRPr="001B7128" w:rsidRDefault="00263F61" w:rsidP="00263F61">
      <w:pPr>
        <w:rPr>
          <w:u w:val="single"/>
        </w:rPr>
      </w:pPr>
      <w:r w:rsidRPr="001B7128">
        <w:rPr>
          <w:u w:val="single"/>
        </w:rPr>
        <w:t>Change the Bank</w:t>
      </w:r>
    </w:p>
    <w:p w14:paraId="7AD65BF5" w14:textId="77777777" w:rsidR="00263F61" w:rsidRDefault="00263F61" w:rsidP="00263F61">
      <w:r>
        <w:t>Start of data collection: Beginning of the EMIR Refit implementation project End of the cost survey period: January 31, 2025</w:t>
      </w:r>
    </w:p>
    <w:p w14:paraId="0C92CDB4" w14:textId="77777777" w:rsidR="00263F61" w:rsidRPr="00263F61" w:rsidRDefault="00263F61" w:rsidP="00263F61">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Average cost: €2.866 million</w:t>
      </w:r>
    </w:p>
    <w:p w14:paraId="76EA2411" w14:textId="77777777" w:rsidR="00263F61" w:rsidRPr="00263F61" w:rsidRDefault="00263F61" w:rsidP="00263F61">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15 institutions, total: €42,990,043</w:t>
      </w:r>
    </w:p>
    <w:p w14:paraId="0F768A6D" w14:textId="77777777" w:rsidR="00263F61" w:rsidRDefault="00263F61" w:rsidP="00263F61"/>
    <w:p w14:paraId="51A940F4" w14:textId="77777777" w:rsidR="00263F61" w:rsidRPr="001B7128" w:rsidRDefault="00263F61" w:rsidP="00263F61">
      <w:pPr>
        <w:rPr>
          <w:u w:val="single"/>
        </w:rPr>
      </w:pPr>
      <w:r w:rsidRPr="001B7128">
        <w:rPr>
          <w:u w:val="single"/>
        </w:rPr>
        <w:t>Run the Bank – Absolute Annual Costs for EMIR Reporting</w:t>
      </w:r>
    </w:p>
    <w:p w14:paraId="652DA3CF" w14:textId="77777777" w:rsidR="00263F61" w:rsidRPr="00263F61" w:rsidRDefault="00263F61" w:rsidP="00263F61">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Average: €622,669 annually</w:t>
      </w:r>
    </w:p>
    <w:p w14:paraId="22F22DDE" w14:textId="77777777" w:rsidR="00263F61" w:rsidRPr="00263F61" w:rsidRDefault="00263F61" w:rsidP="00263F61">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13 institutions, total: €8,094,695 annually</w:t>
      </w:r>
    </w:p>
    <w:p w14:paraId="3FD6662E" w14:textId="77777777" w:rsidR="00263F61" w:rsidRPr="00263F61" w:rsidRDefault="00263F61" w:rsidP="00263F61"/>
    <w:p w14:paraId="1F1AC5F5" w14:textId="77777777" w:rsidR="00263F61" w:rsidRPr="001B7128" w:rsidRDefault="00263F61" w:rsidP="00263F61">
      <w:pPr>
        <w:rPr>
          <w:u w:val="single"/>
        </w:rPr>
      </w:pPr>
      <w:r w:rsidRPr="001B7128">
        <w:rPr>
          <w:u w:val="single"/>
        </w:rPr>
        <w:t>Run the Bank – Delta of Annual Costs: EMIR Refit vs. previous EMIR Reporting</w:t>
      </w:r>
    </w:p>
    <w:p w14:paraId="61291A46" w14:textId="77777777" w:rsidR="00263F61" w:rsidRPr="00263F61" w:rsidRDefault="00263F61" w:rsidP="00263F61">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Average increase: €252,857 annually</w:t>
      </w:r>
    </w:p>
    <w:p w14:paraId="7BFB6A77" w14:textId="6C18619B" w:rsidR="00926BDA" w:rsidRPr="00263F61" w:rsidRDefault="00263F61" w:rsidP="00926BDA">
      <w:pPr>
        <w:pStyle w:val="Listenabsatz"/>
        <w:numPr>
          <w:ilvl w:val="0"/>
          <w:numId w:val="42"/>
        </w:numPr>
        <w:tabs>
          <w:tab w:val="clear" w:pos="0"/>
          <w:tab w:val="clear" w:pos="142"/>
          <w:tab w:val="clear" w:pos="284"/>
        </w:tabs>
        <w:autoSpaceDE/>
        <w:autoSpaceDN/>
        <w:adjustRightInd/>
        <w:spacing w:line="240" w:lineRule="auto"/>
        <w:contextualSpacing/>
        <w:jc w:val="left"/>
        <w:rPr>
          <w:rFonts w:ascii="Times New Roman" w:eastAsia="Times New Roman" w:hAnsi="Times New Roman" w:cs="Times New Roman"/>
          <w:sz w:val="24"/>
          <w:szCs w:val="24"/>
        </w:rPr>
      </w:pPr>
      <w:r w:rsidRPr="00263F61">
        <w:rPr>
          <w:rFonts w:ascii="Times New Roman" w:eastAsia="Times New Roman" w:hAnsi="Times New Roman" w:cs="Times New Roman"/>
          <w:sz w:val="24"/>
          <w:szCs w:val="24"/>
        </w:rPr>
        <w:t>14 institutions, total additional cost: €3,540,001 annually</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77E8BC0B" w14:textId="77777777" w:rsidR="00D31DE9" w:rsidRDefault="00D31DE9" w:rsidP="00D31DE9">
      <w:permStart w:id="1620378332" w:edGrp="everyone"/>
      <w:r>
        <w:t>As set out under question 25 above, conducted a survey among our members (German public banks, including Landesbanken, DZ Bank, KfW as well as smaller promotional banks) on the implementation costs of EMIR Refit. The change cost 15 of our members alone almost 43 million euros, in average approximately 3 million Euros. Scaled to the German or EU market, this amounts to significant sums. And this only for the change of one of the three capital market reporting regimes.</w:t>
      </w:r>
    </w:p>
    <w:p w14:paraId="3682E89C" w14:textId="77777777" w:rsidR="00D31DE9" w:rsidRDefault="00D31DE9" w:rsidP="00D31DE9"/>
    <w:p w14:paraId="1FB47DD6" w14:textId="27D14C28" w:rsidR="00926BDA" w:rsidRDefault="00D31DE9" w:rsidP="00D31DE9">
      <w:r>
        <w:t>As regards MiFIR, we would assume that roughly the same numbers apply. The reporting regime itself might be less complex, however, there are many more transactions falling under the MiFIR-regime, than under EMIR. As regards reporting under SFTR, again, roughly the same amount for our members (i.e. 3 million per member) can be taken as an estimate. Here, less transactions are covered but the regime itself is much more complex.</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7AEF3703" w14:textId="77777777" w:rsidR="00C06635" w:rsidRDefault="00C06635" w:rsidP="00C06635">
      <w:permStart w:id="1172965324" w:edGrp="everyone"/>
      <w:r>
        <w:t>We see the following three as the most significant cost drivers:</w:t>
      </w:r>
    </w:p>
    <w:p w14:paraId="461E793B" w14:textId="1F647404" w:rsidR="00C06635" w:rsidRPr="00C06635" w:rsidRDefault="00C06635" w:rsidP="00C06635">
      <w:pPr>
        <w:pStyle w:val="Listenabsatz"/>
        <w:numPr>
          <w:ilvl w:val="0"/>
          <w:numId w:val="43"/>
        </w:numPr>
        <w:rPr>
          <w:rFonts w:ascii="Times New Roman" w:eastAsia="Times New Roman" w:hAnsi="Times New Roman" w:cs="Times New Roman"/>
          <w:sz w:val="24"/>
          <w:szCs w:val="24"/>
        </w:rPr>
      </w:pPr>
      <w:r w:rsidRPr="00C06635">
        <w:rPr>
          <w:rFonts w:ascii="Times New Roman" w:eastAsia="Times New Roman" w:hAnsi="Times New Roman" w:cs="Times New Roman"/>
          <w:sz w:val="24"/>
          <w:szCs w:val="24"/>
        </w:rPr>
        <w:t>Frequent regulatory changes: These lead to continuous IT adjustments, staff training, and compliance reviews, creating high operational costs.</w:t>
      </w:r>
    </w:p>
    <w:p w14:paraId="1A1DB21D" w14:textId="118F4E5E" w:rsidR="00C06635" w:rsidRPr="00C06635" w:rsidRDefault="00C06635" w:rsidP="00C06635">
      <w:pPr>
        <w:pStyle w:val="Listenabsatz"/>
        <w:numPr>
          <w:ilvl w:val="0"/>
          <w:numId w:val="43"/>
        </w:numPr>
        <w:rPr>
          <w:rFonts w:ascii="Times New Roman" w:eastAsia="Times New Roman" w:hAnsi="Times New Roman" w:cs="Times New Roman"/>
          <w:sz w:val="24"/>
          <w:szCs w:val="24"/>
        </w:rPr>
      </w:pPr>
      <w:r w:rsidRPr="00C06635">
        <w:rPr>
          <w:rFonts w:ascii="Times New Roman" w:eastAsia="Times New Roman" w:hAnsi="Times New Roman" w:cs="Times New Roman"/>
          <w:sz w:val="24"/>
          <w:szCs w:val="24"/>
        </w:rPr>
        <w:t>Multiple reporting channels and systems: The fragmentation of reporting infrastructures and the need to maintain parallel systems for EMIR and MiFIR (and SFTR) significantly increase complexity and cost.</w:t>
      </w:r>
    </w:p>
    <w:p w14:paraId="0046C8AC" w14:textId="25DA07A0" w:rsidR="00C06635" w:rsidRPr="00C06635" w:rsidRDefault="00C06635" w:rsidP="00C06635">
      <w:pPr>
        <w:pStyle w:val="Listenabsatz"/>
        <w:numPr>
          <w:ilvl w:val="0"/>
          <w:numId w:val="43"/>
        </w:numPr>
        <w:rPr>
          <w:rFonts w:ascii="Times New Roman" w:eastAsia="Times New Roman" w:hAnsi="Times New Roman" w:cs="Times New Roman"/>
          <w:sz w:val="24"/>
          <w:szCs w:val="24"/>
        </w:rPr>
      </w:pPr>
      <w:r w:rsidRPr="00C06635">
        <w:rPr>
          <w:rFonts w:ascii="Times New Roman" w:eastAsia="Times New Roman" w:hAnsi="Times New Roman" w:cs="Times New Roman"/>
          <w:sz w:val="24"/>
          <w:szCs w:val="24"/>
        </w:rPr>
        <w:t>The lack of harmonised definitions and data dictionaries further complicates implementation and reconciliation efforts.</w:t>
      </w:r>
    </w:p>
    <w:p w14:paraId="0D39D81F" w14:textId="029820EC" w:rsidR="00926BDA" w:rsidRPr="00C06635" w:rsidRDefault="00C06635" w:rsidP="00C06635">
      <w:pPr>
        <w:pStyle w:val="Listenabsatz"/>
        <w:numPr>
          <w:ilvl w:val="0"/>
          <w:numId w:val="43"/>
        </w:numPr>
        <w:rPr>
          <w:rFonts w:ascii="Times New Roman" w:eastAsia="Times New Roman" w:hAnsi="Times New Roman" w:cs="Times New Roman"/>
          <w:sz w:val="24"/>
          <w:szCs w:val="24"/>
        </w:rPr>
      </w:pPr>
      <w:r w:rsidRPr="00C06635">
        <w:rPr>
          <w:rFonts w:ascii="Times New Roman" w:eastAsia="Times New Roman" w:hAnsi="Times New Roman" w:cs="Times New Roman"/>
          <w:sz w:val="24"/>
          <w:szCs w:val="24"/>
        </w:rPr>
        <w:t xml:space="preserve">Cost due to storage of data in particular under EMIR where there is a delegation arrangement in place and the same data </w:t>
      </w:r>
      <w:r w:rsidR="00FA0A00">
        <w:rPr>
          <w:rFonts w:ascii="Times New Roman" w:eastAsia="Times New Roman" w:hAnsi="Times New Roman" w:cs="Times New Roman"/>
          <w:sz w:val="24"/>
          <w:szCs w:val="24"/>
        </w:rPr>
        <w:t>must b</w:t>
      </w:r>
      <w:r w:rsidRPr="00C06635">
        <w:rPr>
          <w:rFonts w:ascii="Times New Roman" w:eastAsia="Times New Roman" w:hAnsi="Times New Roman" w:cs="Times New Roman"/>
          <w:sz w:val="24"/>
          <w:szCs w:val="24"/>
        </w:rPr>
        <w:t>e stored twice.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81CF5"/>
    <w:multiLevelType w:val="hybridMultilevel"/>
    <w:tmpl w:val="41AA6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F5053FD"/>
    <w:multiLevelType w:val="hybridMultilevel"/>
    <w:tmpl w:val="BBA2E33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9046F"/>
    <w:multiLevelType w:val="hybridMultilevel"/>
    <w:tmpl w:val="28802952"/>
    <w:lvl w:ilvl="0" w:tplc="A08CBFF8">
      <w:numFmt w:val="bullet"/>
      <w:lvlText w:val="•"/>
      <w:lvlJc w:val="left"/>
      <w:pPr>
        <w:ind w:left="1068" w:hanging="708"/>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6C66F5"/>
    <w:multiLevelType w:val="hybridMultilevel"/>
    <w:tmpl w:val="4606B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76ADA"/>
    <w:multiLevelType w:val="hybridMultilevel"/>
    <w:tmpl w:val="79F87DA2"/>
    <w:lvl w:ilvl="0" w:tplc="13E2012E">
      <w:numFmt w:val="bullet"/>
      <w:pStyle w:val="Listenabsatz"/>
      <w:lvlText w:val="-"/>
      <w:lvlJc w:val="left"/>
      <w:pPr>
        <w:ind w:left="1068" w:hanging="708"/>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A6669"/>
    <w:multiLevelType w:val="hybridMultilevel"/>
    <w:tmpl w:val="37CC0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30"/>
  </w:num>
  <w:num w:numId="4" w16cid:durableId="1880320868">
    <w:abstractNumId w:val="5"/>
  </w:num>
  <w:num w:numId="5" w16cid:durableId="290864581">
    <w:abstractNumId w:val="17"/>
  </w:num>
  <w:num w:numId="6" w16cid:durableId="952590553">
    <w:abstractNumId w:val="33"/>
  </w:num>
  <w:num w:numId="7" w16cid:durableId="1159686949">
    <w:abstractNumId w:val="16"/>
  </w:num>
  <w:num w:numId="8" w16cid:durableId="765269892">
    <w:abstractNumId w:val="7"/>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4"/>
  </w:num>
  <w:num w:numId="15" w16cid:durableId="986476960">
    <w:abstractNumId w:val="26"/>
  </w:num>
  <w:num w:numId="16" w16cid:durableId="398749299">
    <w:abstractNumId w:val="31"/>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7"/>
  </w:num>
  <w:num w:numId="19" w16cid:durableId="558588771">
    <w:abstractNumId w:val="33"/>
  </w:num>
  <w:num w:numId="20" w16cid:durableId="1306933315">
    <w:abstractNumId w:val="14"/>
  </w:num>
  <w:num w:numId="21" w16cid:durableId="1623876054">
    <w:abstractNumId w:val="29"/>
  </w:num>
  <w:num w:numId="22" w16cid:durableId="783383837">
    <w:abstractNumId w:val="18"/>
  </w:num>
  <w:num w:numId="23" w16cid:durableId="2112964618">
    <w:abstractNumId w:val="25"/>
  </w:num>
  <w:num w:numId="24" w16cid:durableId="1958565453">
    <w:abstractNumId w:val="0"/>
  </w:num>
  <w:num w:numId="25" w16cid:durableId="1372725395">
    <w:abstractNumId w:val="23"/>
  </w:num>
  <w:num w:numId="26" w16cid:durableId="1686445133">
    <w:abstractNumId w:val="20"/>
  </w:num>
  <w:num w:numId="27" w16cid:durableId="1247768697">
    <w:abstractNumId w:val="12"/>
  </w:num>
  <w:num w:numId="28" w16cid:durableId="954170948">
    <w:abstractNumId w:val="2"/>
  </w:num>
  <w:num w:numId="29" w16cid:durableId="837424337">
    <w:abstractNumId w:val="21"/>
  </w:num>
  <w:num w:numId="30" w16cid:durableId="299657983">
    <w:abstractNumId w:val="6"/>
  </w:num>
  <w:num w:numId="31" w16cid:durableId="699822250">
    <w:abstractNumId w:val="19"/>
  </w:num>
  <w:num w:numId="32" w16cid:durableId="730466929">
    <w:abstractNumId w:val="15"/>
    <w:lvlOverride w:ilvl="0">
      <w:startOverride w:val="1"/>
    </w:lvlOverride>
  </w:num>
  <w:num w:numId="33" w16cid:durableId="552498262">
    <w:abstractNumId w:val="24"/>
  </w:num>
  <w:num w:numId="34" w16cid:durableId="1829132647">
    <w:abstractNumId w:val="15"/>
    <w:lvlOverride w:ilvl="0">
      <w:startOverride w:val="1"/>
    </w:lvlOverride>
  </w:num>
  <w:num w:numId="35" w16cid:durableId="1915964461">
    <w:abstractNumId w:val="15"/>
    <w:lvlOverride w:ilvl="0">
      <w:startOverride w:val="1"/>
    </w:lvlOverride>
  </w:num>
  <w:num w:numId="36" w16cid:durableId="1385182617">
    <w:abstractNumId w:val="15"/>
    <w:lvlOverride w:ilvl="0">
      <w:startOverride w:val="1"/>
    </w:lvlOverride>
  </w:num>
  <w:num w:numId="37" w16cid:durableId="265819421">
    <w:abstractNumId w:val="3"/>
  </w:num>
  <w:num w:numId="38" w16cid:durableId="1086223179">
    <w:abstractNumId w:val="28"/>
  </w:num>
  <w:num w:numId="39" w16cid:durableId="1328628976">
    <w:abstractNumId w:val="22"/>
  </w:num>
  <w:num w:numId="40" w16cid:durableId="820729436">
    <w:abstractNumId w:val="13"/>
  </w:num>
  <w:num w:numId="41" w16cid:durableId="2057469341">
    <w:abstractNumId w:val="1"/>
  </w:num>
  <w:num w:numId="42" w16cid:durableId="990870996">
    <w:abstractNumId w:val="32"/>
  </w:num>
  <w:num w:numId="43" w16cid:durableId="15106366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3ED"/>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B7128"/>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3F61"/>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5C48"/>
    <w:rsid w:val="00376233"/>
    <w:rsid w:val="00380060"/>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10BF"/>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85FC9"/>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399"/>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635"/>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12F1"/>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1DE9"/>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0A00"/>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380060"/>
    <w:pPr>
      <w:numPr>
        <w:numId w:val="38"/>
      </w:numPr>
      <w:tabs>
        <w:tab w:val="left" w:pos="0"/>
        <w:tab w:val="left" w:pos="142"/>
        <w:tab w:val="left" w:pos="284"/>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380060"/>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32"/>
      </w:numPr>
      <w:tabs>
        <w:tab w:val="clear" w:pos="0"/>
        <w:tab w:val="clear" w:pos="142"/>
        <w:tab w:val="clear" w:pos="284"/>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17</Pages>
  <Words>4891</Words>
  <Characters>30816</Characters>
  <Application>Microsoft Office Word</Application>
  <DocSecurity>8</DocSecurity>
  <Lines>256</Lines>
  <Paragraphs>71</Paragraphs>
  <ScaleCrop>false</ScaleCrop>
  <Company>ESMA</Company>
  <LinksUpToDate>false</LinksUpToDate>
  <CharactersWithSpaces>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Schroeder, Sarah</cp:lastModifiedBy>
  <cp:revision>11</cp:revision>
  <cp:lastPrinted>2017-07-24T14:47:00Z</cp:lastPrinted>
  <dcterms:created xsi:type="dcterms:W3CDTF">2025-09-10T07:30:00Z</dcterms:created>
  <dcterms:modified xsi:type="dcterms:W3CDTF">2025-09-15T10:13:00Z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