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837D5"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lastRenderedPageBreak/>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3DBFEEA5" w:rsidR="00C85C8B" w:rsidRPr="00B16706" w:rsidRDefault="004732DC" w:rsidP="00C85C8B">
                <w:pPr>
                  <w:rPr>
                    <w:rFonts w:ascii="Arial" w:hAnsi="Arial" w:cs="Arial"/>
                    <w:color w:val="808080"/>
                    <w:sz w:val="16"/>
                    <w:szCs w:val="20"/>
                    <w:lang w:eastAsia="de-DE"/>
                  </w:rPr>
                </w:pPr>
                <w:r>
                  <w:rPr>
                    <w:rFonts w:ascii="Arial" w:hAnsi="Arial" w:cs="Arial"/>
                    <w:color w:val="808080"/>
                    <w:sz w:val="16"/>
                    <w:szCs w:val="20"/>
                    <w:lang w:eastAsia="de-DE"/>
                  </w:rPr>
                  <w:t>AS SEB Pank</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685A82FB"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732DC">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tcPr>
              <w:p w14:paraId="6C4423E1" w14:textId="142E66F1" w:rsidR="00C85C8B" w:rsidRPr="00B16706" w:rsidRDefault="003C7A30"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4F32ECA0" w:rsidR="00C85C8B" w:rsidRPr="00B16706" w:rsidRDefault="004732DC" w:rsidP="00C85C8B">
                <w:pPr>
                  <w:rPr>
                    <w:rFonts w:ascii="Arial" w:hAnsi="Arial" w:cs="Arial"/>
                    <w:sz w:val="16"/>
                    <w:szCs w:val="20"/>
                    <w:lang w:eastAsia="de-DE"/>
                  </w:rPr>
                </w:pPr>
                <w:r>
                  <w:rPr>
                    <w:rFonts w:ascii="Arial" w:hAnsi="Arial" w:cs="Arial"/>
                    <w:sz w:val="16"/>
                    <w:szCs w:val="20"/>
                    <w:lang w:eastAsia="de-DE"/>
                  </w:rPr>
                  <w:t>Estonia</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118F100F" w14:textId="77777777" w:rsidR="00926BDA" w:rsidRDefault="00926BDA" w:rsidP="00926BDA">
      <w:permStart w:id="785210304" w:edGrp="everyone"/>
      <w:r>
        <w:t>TYPE YOUR TEXT HERE</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B5E1A7E" w14:textId="77777777" w:rsidR="00926BDA" w:rsidRDefault="00926BDA" w:rsidP="00926BDA">
      <w:permStart w:id="545925079" w:edGrp="everyone"/>
      <w:r>
        <w:t>TYPE YOUR TEXT HERE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B78F54" w14:textId="77777777" w:rsidR="00926BDA" w:rsidRDefault="00926BDA" w:rsidP="00926BDA">
      <w:permStart w:id="666895774" w:edGrp="everyone"/>
      <w:r>
        <w:t>TYPE YOUR TEXT HERE</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77777777" w:rsidR="00926BDA" w:rsidRDefault="00926BDA" w:rsidP="00926BDA">
      <w:permStart w:id="1901729855" w:edGrp="everyone"/>
      <w:r>
        <w:t>TYPE YOUR TEXT HERE</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77777777" w:rsidR="00926BDA" w:rsidRDefault="00926BDA" w:rsidP="00926BDA">
      <w:permStart w:id="1034637762" w:edGrp="everyone"/>
      <w:r>
        <w:t>TYPE YOUR TEXT HERE</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lastRenderedPageBreak/>
        <w:t>What are the key advantages of option 1b and how do these benefits address the issues in section 3?</w:t>
      </w:r>
    </w:p>
    <w:p w14:paraId="5103F3A5" w14:textId="77777777" w:rsidR="00926BDA" w:rsidRDefault="00926BDA" w:rsidP="00926BDA">
      <w:r>
        <w:t>&lt;ESMA_QUESTION_CASR_6&gt;</w:t>
      </w:r>
    </w:p>
    <w:p w14:paraId="1FA6E054" w14:textId="77777777" w:rsidR="00926BDA" w:rsidRDefault="00926BDA" w:rsidP="00926BDA">
      <w:permStart w:id="276758894" w:edGrp="everyone"/>
      <w:r>
        <w:t>TYPE YOUR TEXT HERE</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77777777" w:rsidR="00926BDA" w:rsidRDefault="00926BDA" w:rsidP="00926BDA">
      <w:permStart w:id="1327239170" w:edGrp="everyone"/>
      <w:r>
        <w:t>TYPE YOUR TEXT HERE</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77777777" w:rsidR="00926BDA" w:rsidRDefault="00926BDA" w:rsidP="00926BDA">
      <w:permStart w:id="1249454344" w:edGrp="everyone"/>
      <w:r>
        <w:t>TYPE YOUR TEXT HERE</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77777777" w:rsidR="00926BDA" w:rsidRDefault="00926BDA" w:rsidP="00926BDA">
      <w:permStart w:id="199837036" w:edGrp="everyone"/>
      <w:r>
        <w:t>TYPE YOUR TEXT HERE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4BEB89B" w14:textId="77777777" w:rsidR="00926BDA" w:rsidRDefault="00926BDA" w:rsidP="00926BDA">
      <w:permStart w:id="2123508368" w:edGrp="everyone"/>
      <w:r>
        <w:t>TYPE YOUR TEXT HERE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77777777" w:rsidR="00926BDA" w:rsidRDefault="00926BDA" w:rsidP="00926BDA">
      <w:permStart w:id="16780711" w:edGrp="everyone"/>
      <w:r>
        <w:lastRenderedPageBreak/>
        <w:t>TYPE YOUR TEXT HERE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77777777" w:rsidR="00926BDA" w:rsidRDefault="00926BDA" w:rsidP="00926BDA">
      <w:permStart w:id="695482675" w:edGrp="everyone"/>
      <w:r>
        <w:t>TYPE YOUR TEXT HERE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77777777" w:rsidR="00926BDA" w:rsidRDefault="00926BDA" w:rsidP="00926BDA">
      <w:permStart w:id="1784418006" w:edGrp="everyone"/>
      <w:r>
        <w:t>TYPE YOUR TEXT HERE</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7777777" w:rsidR="00926BDA" w:rsidRDefault="00926BDA" w:rsidP="00926BDA">
      <w:permStart w:id="1438851636" w:edGrp="everyone"/>
      <w:r>
        <w:t>TYPE YOUR TEXT HERE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 xml:space="preserve">In this regard, and based on the current order book requirements for trading venues and the availability of information, what are the advantages and </w:t>
      </w:r>
      <w:r>
        <w:lastRenderedPageBreak/>
        <w:t>disadvantages of transferring the reporting of on-venue transactions under MiFIR and EMIR to trading venues?</w:t>
      </w:r>
    </w:p>
    <w:p w14:paraId="7705C731" w14:textId="77777777" w:rsidR="00926BDA" w:rsidRDefault="00926BDA" w:rsidP="00926BDA">
      <w:r>
        <w:t>&lt;ESMA_QUESTION_CASR_18&gt;</w:t>
      </w:r>
    </w:p>
    <w:p w14:paraId="33B78B8E" w14:textId="77777777" w:rsidR="00926BDA" w:rsidRDefault="00926BDA" w:rsidP="00926BDA">
      <w:permStart w:id="1962436404" w:edGrp="everyone"/>
      <w:r>
        <w:t>TYPE YOUR TEXT HERE</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77777777" w:rsidR="00926BDA" w:rsidRDefault="00926BDA" w:rsidP="00926BDA">
      <w:permStart w:id="105197077" w:edGrp="everyone"/>
      <w:r>
        <w:t>TYPE YOUR TEXT HERE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77777777" w:rsidR="00926BDA" w:rsidRDefault="00926BDA" w:rsidP="00926BDA">
      <w:permStart w:id="817709938" w:edGrp="everyone"/>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77777777" w:rsidR="00926BDA" w:rsidRDefault="00926BDA" w:rsidP="00926BDA">
      <w:permStart w:id="1652326327" w:edGrp="everyone"/>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lastRenderedPageBreak/>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77777777" w:rsidR="00926BDA" w:rsidRDefault="00926BDA" w:rsidP="00926BDA">
      <w:permStart w:id="806124853" w:edGrp="everyone"/>
      <w:r>
        <w:t>TYPE YOUR TEXT HERE</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6CA60527" w14:textId="21F88823" w:rsidR="004E6E0F" w:rsidRDefault="00790F80" w:rsidP="00790F80">
      <w:pPr>
        <w:spacing w:after="160" w:line="278" w:lineRule="auto"/>
        <w:contextualSpacing/>
        <w:rPr>
          <w:rFonts w:ascii="SEB SansSerif" w:hAnsi="SEB SansSerif"/>
        </w:rPr>
      </w:pPr>
      <w:permStart w:id="1360161894" w:edGrp="everyone"/>
      <w:r>
        <w:rPr>
          <w:rFonts w:ascii="SEB SansSerif" w:hAnsi="SEB SansSerif"/>
        </w:rPr>
        <w:t xml:space="preserve"> </w:t>
      </w:r>
      <w:r w:rsidR="004E6E0F">
        <w:rPr>
          <w:rFonts w:ascii="SEB SansSerif" w:hAnsi="SEB SansSerif"/>
        </w:rPr>
        <w:t>We have 5</w:t>
      </w:r>
      <w:r w:rsidR="001874C2">
        <w:rPr>
          <w:rFonts w:ascii="SEB SansSerif" w:hAnsi="SEB SansSerif"/>
        </w:rPr>
        <w:t xml:space="preserve"> practical reporting problems to highlight, where proportionality could </w:t>
      </w:r>
      <w:r w:rsidR="00C70424">
        <w:rPr>
          <w:rFonts w:ascii="SEB SansSerif" w:hAnsi="SEB SansSerif"/>
        </w:rPr>
        <w:t>be addressed on further guidance is needed.</w:t>
      </w:r>
    </w:p>
    <w:p w14:paraId="4009422E" w14:textId="77777777" w:rsidR="00C70424" w:rsidRDefault="00C70424" w:rsidP="00790F80">
      <w:pPr>
        <w:spacing w:after="160" w:line="278" w:lineRule="auto"/>
        <w:contextualSpacing/>
        <w:rPr>
          <w:rFonts w:ascii="SEB SansSerif" w:hAnsi="SEB SansSerif"/>
        </w:rPr>
      </w:pPr>
    </w:p>
    <w:p w14:paraId="713662F8" w14:textId="2CAFBB02" w:rsidR="004732DC" w:rsidRPr="00790F80" w:rsidRDefault="00790F80" w:rsidP="00790F80">
      <w:pPr>
        <w:spacing w:after="160" w:line="278" w:lineRule="auto"/>
        <w:contextualSpacing/>
        <w:rPr>
          <w:rFonts w:ascii="SEB SansSerif" w:hAnsi="SEB SansSerif"/>
        </w:rPr>
      </w:pPr>
      <w:r>
        <w:rPr>
          <w:rFonts w:ascii="SEB SansSerif" w:hAnsi="SEB SansSerif"/>
        </w:rPr>
        <w:t xml:space="preserve">1.  </w:t>
      </w:r>
      <w:r w:rsidR="004732DC" w:rsidRPr="00790F80">
        <w:rPr>
          <w:rFonts w:ascii="SEB SansSerif" w:hAnsi="SEB SansSerif"/>
        </w:rPr>
        <w:t>Reporting of Initial and Secondary Public Offerings</w:t>
      </w:r>
    </w:p>
    <w:p w14:paraId="4E7FA9D9" w14:textId="77777777" w:rsidR="004732DC" w:rsidRPr="00D254D4" w:rsidRDefault="004732DC" w:rsidP="004732DC">
      <w:pPr>
        <w:rPr>
          <w:rFonts w:ascii="SEB SansSerif" w:hAnsi="SEB SansSerif"/>
        </w:rPr>
      </w:pPr>
      <w:r w:rsidRPr="00D254D4">
        <w:rPr>
          <w:rFonts w:ascii="SEB SansSerif" w:hAnsi="SEB SansSerif"/>
        </w:rPr>
        <w:t>Pursuant to Regulation (EU) No 2017/590, Article 2(5)(</w:t>
      </w:r>
      <w:proofErr w:type="spellStart"/>
      <w:r w:rsidRPr="00D254D4">
        <w:rPr>
          <w:rFonts w:ascii="SEB SansSerif" w:hAnsi="SEB SansSerif"/>
        </w:rPr>
        <w:t>i</w:t>
      </w:r>
      <w:proofErr w:type="spellEnd"/>
      <w:r w:rsidRPr="00D254D4">
        <w:rPr>
          <w:rFonts w:ascii="SEB SansSerif" w:hAnsi="SEB SansSerif"/>
        </w:rPr>
        <w:t>), the creation, expiration, or redemption of a financial instrument resulting from pre-determined contractual terms or mandatory events beyond the investor’s control—where no investment decision occurs at the time of such creation, expiration, or redemption—is not considered a transaction for the purposes of Article 26 of Regulation (EU) No 600/2014.</w:t>
      </w:r>
    </w:p>
    <w:p w14:paraId="12A3B716" w14:textId="77777777" w:rsidR="004732DC" w:rsidRPr="00D254D4" w:rsidRDefault="004732DC" w:rsidP="004732DC">
      <w:pPr>
        <w:rPr>
          <w:rFonts w:ascii="SEB SansSerif" w:hAnsi="SEB SansSerif"/>
        </w:rPr>
      </w:pPr>
      <w:r w:rsidRPr="00D254D4">
        <w:rPr>
          <w:rFonts w:ascii="SEB SansSerif" w:hAnsi="SEB SansSerif"/>
        </w:rPr>
        <w:t>Based on our market observations, we identify the following categories of IPOs/SPOs:</w:t>
      </w:r>
    </w:p>
    <w:p w14:paraId="2DB384E2" w14:textId="6BE8D719" w:rsidR="004732DC" w:rsidRPr="00D254D4" w:rsidRDefault="004732DC" w:rsidP="004732DC">
      <w:pPr>
        <w:rPr>
          <w:rFonts w:ascii="SEB SansSerif" w:hAnsi="SEB SansSerif"/>
        </w:rPr>
      </w:pPr>
      <w:r w:rsidRPr="00D254D4">
        <w:rPr>
          <w:rFonts w:ascii="SEB SansSerif" w:hAnsi="SEB SansSerif"/>
        </w:rPr>
        <w:t>(a) Offerings with Permanent ISINs. These typically involve instruments such as bonds</w:t>
      </w:r>
      <w:r w:rsidR="005403A0">
        <w:rPr>
          <w:rFonts w:ascii="SEB SansSerif" w:hAnsi="SEB SansSerif"/>
        </w:rPr>
        <w:t xml:space="preserve">, </w:t>
      </w:r>
      <w:r w:rsidRPr="00D254D4">
        <w:rPr>
          <w:rFonts w:ascii="SEB SansSerif" w:hAnsi="SEB SansSerif"/>
        </w:rPr>
        <w:t>where the IPO is conducted using the same ISIN that will be used for subsequent trading.</w:t>
      </w:r>
    </w:p>
    <w:p w14:paraId="5AFDAD4A" w14:textId="735FD330" w:rsidR="004732DC" w:rsidRPr="00D254D4" w:rsidRDefault="004732DC" w:rsidP="004732DC">
      <w:pPr>
        <w:rPr>
          <w:rFonts w:ascii="SEB SansSerif" w:hAnsi="SEB SansSerif"/>
        </w:rPr>
      </w:pPr>
      <w:r w:rsidRPr="00D254D4">
        <w:rPr>
          <w:rFonts w:ascii="SEB SansSerif" w:hAnsi="SEB SansSerif"/>
        </w:rPr>
        <w:t>(b) Offerings with Temporary ISINs</w:t>
      </w:r>
      <w:r w:rsidR="000B0EFE">
        <w:rPr>
          <w:rFonts w:ascii="SEB SansSerif" w:hAnsi="SEB SansSerif"/>
        </w:rPr>
        <w:t>.</w:t>
      </w:r>
      <w:r w:rsidRPr="00D254D4">
        <w:rPr>
          <w:rFonts w:ascii="SEB SansSerif" w:hAnsi="SEB SansSerif"/>
        </w:rPr>
        <w:t xml:space="preserve"> Common in secondary offerings, these involve instruments already trading on a venue. The IPO is executed under a temporary ISIN, which is later converted to a permanent ISIN via a PARI PASSU event. This conversion is a mandatory corporate action and, per the aforementioned regulation, does not constitute a reportable transaction. </w:t>
      </w:r>
    </w:p>
    <w:p w14:paraId="50EDCBE5" w14:textId="77777777" w:rsidR="004732DC" w:rsidRPr="00D254D4" w:rsidRDefault="004732DC" w:rsidP="004732DC">
      <w:pPr>
        <w:rPr>
          <w:rFonts w:ascii="SEB SansSerif" w:hAnsi="SEB SansSerif"/>
        </w:rPr>
      </w:pPr>
      <w:r w:rsidRPr="00D254D4">
        <w:rPr>
          <w:rFonts w:ascii="SEB SansSerif" w:hAnsi="SEB SansSerif"/>
        </w:rPr>
        <w:t>According to MiFID II Guidelines, specifically Section 5.6.2.7 of the ESMA Guidelines on transaction reporting, order record keeping, and clock synchronization, IPOs, SPOs, and debt placements are to be reported. However, there are some difficulties we would like to bring to your attention.</w:t>
      </w:r>
    </w:p>
    <w:p w14:paraId="4DB3EC21" w14:textId="77777777" w:rsidR="004732DC" w:rsidRPr="00D254D4" w:rsidRDefault="004732DC" w:rsidP="004732DC">
      <w:pPr>
        <w:rPr>
          <w:rFonts w:ascii="SEB SansSerif" w:hAnsi="SEB SansSerif"/>
        </w:rPr>
      </w:pPr>
      <w:r w:rsidRPr="00D254D4">
        <w:rPr>
          <w:rFonts w:ascii="SEB SansSerif" w:hAnsi="SEB SansSerif"/>
        </w:rPr>
        <w:t>Instruments not registered in the FIRDS system cannot be reported.</w:t>
      </w:r>
    </w:p>
    <w:p w14:paraId="0A7682F6" w14:textId="77777777" w:rsidR="004732DC" w:rsidRPr="00D254D4" w:rsidRDefault="004732DC" w:rsidP="004732DC">
      <w:pPr>
        <w:rPr>
          <w:rFonts w:ascii="SEB SansSerif" w:hAnsi="SEB SansSerif"/>
        </w:rPr>
      </w:pPr>
      <w:r w:rsidRPr="00D254D4">
        <w:rPr>
          <w:rFonts w:ascii="SEB SansSerif" w:hAnsi="SEB SansSerif"/>
        </w:rPr>
        <w:t xml:space="preserve">For offerings with permanent ISINs, the instrument is usually registered in FIRDS on the first trading day. However, according to Regulation (EU) No 2017/590, Table 2, field 28, the trading date and time should reflect when the transaction was actually executed. This is typically the allocation day, when both parties agree on key details such as quantity, price, and currency. Since the allocation day always comes before the first trading day, trying to report the trade after allocation day leads to Error CON-411, because the instrument is not yet listed in FIRDS. If the report is submitted after the instrument is registered, it triggers </w:t>
      </w:r>
      <w:r w:rsidRPr="00D254D4">
        <w:rPr>
          <w:rFonts w:ascii="SEB SansSerif" w:hAnsi="SEB SansSerif"/>
        </w:rPr>
        <w:lastRenderedPageBreak/>
        <w:t xml:space="preserve">Error CON-412, which also prevents successful reporting. As a result, it becomes impossible to report the transaction with the correct details. </w:t>
      </w:r>
    </w:p>
    <w:p w14:paraId="7F8ACA17" w14:textId="52CD2DA8" w:rsidR="004732DC" w:rsidRPr="00D254D4" w:rsidRDefault="004732DC" w:rsidP="004732DC">
      <w:pPr>
        <w:rPr>
          <w:rFonts w:ascii="SEB SansSerif" w:hAnsi="SEB SansSerif"/>
        </w:rPr>
      </w:pPr>
      <w:r w:rsidRPr="00D254D4">
        <w:rPr>
          <w:rFonts w:ascii="SEB SansSerif" w:hAnsi="SEB SansSerif"/>
        </w:rPr>
        <w:t xml:space="preserve">ESMA documents do not include information about offerings that use temporary ISINs. These ISINs are never registered in FIRDS, making it impossible to report such transactions. The PARI PASSU conversion to permanent ISIN is a mandatory event and thus not a reportable transaction. Consequently, only trades involving permanent ISINs already listed on a trading venue can be </w:t>
      </w:r>
      <w:r w:rsidR="001F319A">
        <w:rPr>
          <w:rFonts w:ascii="SEB SansSerif" w:hAnsi="SEB SansSerif"/>
        </w:rPr>
        <w:t xml:space="preserve">practically </w:t>
      </w:r>
      <w:r w:rsidRPr="00D254D4">
        <w:rPr>
          <w:rFonts w:ascii="SEB SansSerif" w:hAnsi="SEB SansSerif"/>
        </w:rPr>
        <w:t>reported.</w:t>
      </w:r>
    </w:p>
    <w:p w14:paraId="0A77D370" w14:textId="3EA4C097" w:rsidR="004732DC" w:rsidRPr="00D254D4" w:rsidRDefault="004732DC" w:rsidP="004732DC">
      <w:pPr>
        <w:rPr>
          <w:rFonts w:ascii="SEB SansSerif" w:hAnsi="SEB SansSerif"/>
        </w:rPr>
      </w:pPr>
      <w:r w:rsidRPr="00D254D4">
        <w:rPr>
          <w:rFonts w:ascii="SEB SansSerif" w:hAnsi="SEB SansSerif"/>
        </w:rPr>
        <w:t xml:space="preserve">It </w:t>
      </w:r>
      <w:r w:rsidR="00621B5F">
        <w:rPr>
          <w:rFonts w:ascii="SEB SansSerif" w:hAnsi="SEB SansSerif"/>
        </w:rPr>
        <w:t>has been</w:t>
      </w:r>
      <w:r w:rsidRPr="00D254D4">
        <w:rPr>
          <w:rFonts w:ascii="SEB SansSerif" w:hAnsi="SEB SansSerif"/>
        </w:rPr>
        <w:t xml:space="preserve"> our understanding that all IPO and SPO transactions should be reportable, regardless of whether a permanent or temporary ISIN is used. However, under the conditions currently outlined in the applicable regulations, this is not feasible in practice.</w:t>
      </w:r>
    </w:p>
    <w:p w14:paraId="31F72590" w14:textId="6D9DDC41" w:rsidR="004732DC" w:rsidRPr="00D254D4" w:rsidRDefault="004732DC" w:rsidP="004732DC">
      <w:pPr>
        <w:rPr>
          <w:rFonts w:ascii="SEB SansSerif" w:hAnsi="SEB SansSerif"/>
        </w:rPr>
      </w:pPr>
      <w:r w:rsidRPr="00D254D4">
        <w:rPr>
          <w:rFonts w:ascii="SEB SansSerif" w:hAnsi="SEB SansSerif"/>
        </w:rPr>
        <w:t xml:space="preserve">As a result, </w:t>
      </w:r>
      <w:r w:rsidR="003977D3">
        <w:rPr>
          <w:rFonts w:ascii="SEB SansSerif" w:hAnsi="SEB SansSerif"/>
        </w:rPr>
        <w:t>there are obstacles to submit certain</w:t>
      </w:r>
      <w:r w:rsidRPr="00D254D4">
        <w:rPr>
          <w:rFonts w:ascii="SEB SansSerif" w:hAnsi="SEB SansSerif"/>
        </w:rPr>
        <w:t xml:space="preserve"> transactions in</w:t>
      </w:r>
      <w:r w:rsidR="003977D3">
        <w:rPr>
          <w:rFonts w:ascii="SEB SansSerif" w:hAnsi="SEB SansSerif"/>
        </w:rPr>
        <w:t xml:space="preserve"> exact</w:t>
      </w:r>
      <w:r w:rsidRPr="00D254D4">
        <w:rPr>
          <w:rFonts w:ascii="SEB SansSerif" w:hAnsi="SEB SansSerif"/>
        </w:rPr>
        <w:t xml:space="preserve"> accordance with the reporting requirements.</w:t>
      </w:r>
    </w:p>
    <w:p w14:paraId="7168CFCA" w14:textId="77777777" w:rsidR="004732DC" w:rsidRDefault="004732DC" w:rsidP="004732DC">
      <w:pPr>
        <w:rPr>
          <w:rFonts w:ascii="SEB SansSerif" w:hAnsi="SEB SansSerif"/>
        </w:rPr>
      </w:pPr>
      <w:r w:rsidRPr="00D254D4">
        <w:rPr>
          <w:rFonts w:ascii="SEB SansSerif" w:hAnsi="SEB SansSerif"/>
        </w:rPr>
        <w:t>We respectfully request that this issue would be reviewed and that further clarification or adjustments be considered to ensure consistent and achievable reporting standards for all types of offerings.</w:t>
      </w:r>
    </w:p>
    <w:p w14:paraId="39091678" w14:textId="77777777" w:rsidR="004E6E0F" w:rsidRPr="00D254D4" w:rsidRDefault="004E6E0F" w:rsidP="004732DC">
      <w:pPr>
        <w:rPr>
          <w:rFonts w:ascii="SEB SansSerif" w:hAnsi="SEB SansSerif"/>
        </w:rPr>
      </w:pPr>
    </w:p>
    <w:p w14:paraId="5CF8675A" w14:textId="3A0C5415" w:rsidR="004732DC" w:rsidRPr="004732DC" w:rsidRDefault="004732DC" w:rsidP="00C70424">
      <w:pPr>
        <w:pStyle w:val="ListParagraph"/>
        <w:numPr>
          <w:ilvl w:val="0"/>
          <w:numId w:val="39"/>
        </w:numPr>
      </w:pPr>
      <w:r w:rsidRPr="004732DC">
        <w:t>Validation of Danish, Icelandic, Swedish and Norwegian Personal Identification Codes</w:t>
      </w:r>
    </w:p>
    <w:p w14:paraId="40A1C1FC" w14:textId="1538AC58" w:rsidR="004732DC" w:rsidRPr="00D254D4" w:rsidRDefault="004732DC" w:rsidP="004732DC">
      <w:pPr>
        <w:rPr>
          <w:rFonts w:ascii="SEB SansSerif" w:hAnsi="SEB SansSerif"/>
        </w:rPr>
      </w:pPr>
      <w:r w:rsidRPr="00D254D4">
        <w:rPr>
          <w:rFonts w:ascii="SEB SansSerif" w:hAnsi="SEB SansSerif"/>
        </w:rPr>
        <w:t>We also wish to raise concerns regarding the validation of Danish, Icelandic, Swedish and Norwegian personal identification codes. These citizens possess ID codes containing hyphens. However, under ESMA validation schema</w:t>
      </w:r>
      <w:r w:rsidR="004647C2">
        <w:rPr>
          <w:rFonts w:ascii="SEB SansSerif" w:hAnsi="SEB SansSerif"/>
        </w:rPr>
        <w:t xml:space="preserve"> </w:t>
      </w:r>
      <w:r w:rsidRPr="00D254D4">
        <w:rPr>
          <w:rFonts w:ascii="SEB SansSerif" w:hAnsi="SEB SansSerif"/>
        </w:rPr>
        <w:t xml:space="preserve">(auth.016.001.01_ESMAUG_Reporting_1.1.0.xsd), only Finland (FI) and Latvia (LV) are granted exceptions allowing hyphenated formats. On the </w:t>
      </w:r>
      <w:r>
        <w:rPr>
          <w:rFonts w:ascii="SEB SansSerif" w:hAnsi="SEB SansSerif"/>
        </w:rPr>
        <w:t>other</w:t>
      </w:r>
      <w:r w:rsidRPr="00D254D4">
        <w:rPr>
          <w:rFonts w:ascii="SEB SansSerif" w:hAnsi="SEB SansSerif"/>
        </w:rPr>
        <w:t xml:space="preserve"> hand general customer data validations which are implemented based on Lithuanian regulations, also coming from the same </w:t>
      </w:r>
      <w:r w:rsidRPr="00D254D4">
        <w:rPr>
          <w:rFonts w:ascii="SEB SansSerif" w:hAnsi="SEB SansSerif"/>
          <w:lang w:val="en-US"/>
        </w:rPr>
        <w:t xml:space="preserve">Commission Delegated Regulation (EU) 2017/590 expect the </w:t>
      </w:r>
      <w:r w:rsidRPr="00D254D4">
        <w:rPr>
          <w:rFonts w:ascii="SEB SansSerif" w:hAnsi="SEB SansSerif"/>
        </w:rPr>
        <w:t xml:space="preserve">Danish, Icelandic, Swedish and Norwegian </w:t>
      </w:r>
      <w:r w:rsidRPr="00D254D4">
        <w:rPr>
          <w:rFonts w:ascii="SEB SansSerif" w:hAnsi="SEB SansSerif"/>
          <w:lang w:val="en-US"/>
        </w:rPr>
        <w:t xml:space="preserve">ID-codes to contain hyphen. </w:t>
      </w:r>
    </w:p>
    <w:p w14:paraId="189BB5AB" w14:textId="77777777" w:rsidR="004732DC" w:rsidRDefault="004732DC" w:rsidP="004732DC">
      <w:pPr>
        <w:rPr>
          <w:rFonts w:ascii="SEB SansSerif" w:hAnsi="SEB SansSerif"/>
        </w:rPr>
      </w:pPr>
      <w:r w:rsidRPr="00D254D4">
        <w:rPr>
          <w:rFonts w:ascii="SEB SansSerif" w:hAnsi="SEB SansSerif"/>
        </w:rPr>
        <w:t>This omission creates a validation barrier for Danish, Icelandic, Swedish and Norwegian identifiers, which should be reconsidered to ensure consistent and inclusive reporting across all EEA jurisdictions.</w:t>
      </w:r>
    </w:p>
    <w:p w14:paraId="21DA5142" w14:textId="77777777" w:rsidR="00CA1B79" w:rsidRPr="00D254D4" w:rsidRDefault="00CA1B79" w:rsidP="004732DC">
      <w:pPr>
        <w:rPr>
          <w:rFonts w:ascii="SEB SansSerif" w:hAnsi="SEB SansSerif"/>
        </w:rPr>
      </w:pPr>
    </w:p>
    <w:p w14:paraId="289521C9" w14:textId="5A19AD13" w:rsidR="004732DC" w:rsidRPr="004732DC" w:rsidRDefault="004732DC" w:rsidP="00CA1B79">
      <w:pPr>
        <w:pStyle w:val="ListParagraph"/>
        <w:numPr>
          <w:ilvl w:val="0"/>
          <w:numId w:val="39"/>
        </w:numPr>
      </w:pPr>
      <w:r w:rsidRPr="004732DC">
        <w:t>Repor</w:t>
      </w:r>
      <w:r w:rsidR="00D13E1B">
        <w:t>t</w:t>
      </w:r>
      <w:r w:rsidRPr="004732DC">
        <w:t>ing of custody customers OTC transactions</w:t>
      </w:r>
    </w:p>
    <w:p w14:paraId="7C3DEC7D" w14:textId="7A7AD83F" w:rsidR="004732DC" w:rsidRPr="00D254D4" w:rsidRDefault="004732DC" w:rsidP="004732DC">
      <w:pPr>
        <w:rPr>
          <w:rFonts w:ascii="SEB SansSerif" w:hAnsi="SEB SansSerif"/>
        </w:rPr>
      </w:pPr>
      <w:r w:rsidRPr="00D254D4">
        <w:rPr>
          <w:rFonts w:ascii="SEB SansSerif" w:hAnsi="SEB SansSerif"/>
        </w:rPr>
        <w:t>According to MiFID II Guidelines, specifically Section 5.6.2.2 of the ESMA Guidelines on transaction reporting, delivery/payment instructions within transfers, the clearing and/or settlement counterparties (including CSDs) are not subject to reporting requirements as per Commission Delegated Regulation (EU) 2017/590 Article 2(5)(b), only the investment firm executing the transaction must report.</w:t>
      </w:r>
    </w:p>
    <w:p w14:paraId="6EA67AC2" w14:textId="77777777" w:rsidR="004732DC" w:rsidRPr="00D254D4" w:rsidRDefault="004732DC" w:rsidP="004732DC">
      <w:pPr>
        <w:rPr>
          <w:rFonts w:ascii="SEB SansSerif" w:hAnsi="SEB SansSerif"/>
        </w:rPr>
      </w:pPr>
      <w:r w:rsidRPr="00D254D4">
        <w:rPr>
          <w:rFonts w:ascii="SEB SansSerif" w:hAnsi="SEB SansSerif"/>
        </w:rPr>
        <w:t>However, Article 3 of the same Regulation specifies that an investment firm is deemed to have executed a transaction when it performs the transfer of financial instruments to or from accounts, or when it executes orders on behalf of clients.</w:t>
      </w:r>
    </w:p>
    <w:p w14:paraId="03C04E5B" w14:textId="77777777" w:rsidR="004732DC" w:rsidRPr="00D254D4" w:rsidRDefault="004732DC" w:rsidP="004732DC">
      <w:pPr>
        <w:rPr>
          <w:rFonts w:ascii="SEB SansSerif" w:hAnsi="SEB SansSerif"/>
        </w:rPr>
      </w:pPr>
      <w:r w:rsidRPr="00D254D4">
        <w:rPr>
          <w:rFonts w:ascii="SEB SansSerif" w:hAnsi="SEB SansSerif"/>
        </w:rPr>
        <w:t xml:space="preserve">This creates uncertainty in the case of OTC transactions carried out for custody customers. Custody services generally involve safekeeping the customer’s securities and carrying out settlement instructions on their behalf. Yet, if the custody agreement does not explicitly allocate MiFID II transaction reporting responsibility between the investment firm and the customer, such transactions may appear indistinguishable from those of regular clients — </w:t>
      </w:r>
      <w:r w:rsidRPr="00D254D4">
        <w:rPr>
          <w:rFonts w:ascii="SEB SansSerif" w:hAnsi="SEB SansSerif"/>
        </w:rPr>
        <w:lastRenderedPageBreak/>
        <w:t>where the customer has found the counterparty and agreed all transaction details before instructing the investment firm to carry out the securities transfer.</w:t>
      </w:r>
    </w:p>
    <w:p w14:paraId="038A9F80" w14:textId="77777777" w:rsidR="004732DC" w:rsidRPr="00D254D4" w:rsidRDefault="004732DC" w:rsidP="004732DC">
      <w:pPr>
        <w:rPr>
          <w:rFonts w:ascii="SEB SansSerif" w:hAnsi="SEB SansSerif"/>
        </w:rPr>
      </w:pPr>
      <w:r w:rsidRPr="00D254D4">
        <w:rPr>
          <w:rFonts w:ascii="SEB SansSerif" w:hAnsi="SEB SansSerif"/>
        </w:rPr>
        <w:t xml:space="preserve">Therefore, further clarification is needed to determine in which circumstances an investment firm may exclude custody customer transactions from MiFID II reporting under Article 2(5)(b), given that settlement activity also involves performing the transfer of securities to and from accounts, which according to Article 3 falls under the meaning of execution. </w:t>
      </w:r>
    </w:p>
    <w:p w14:paraId="7815ABF1" w14:textId="77777777" w:rsidR="004732DC" w:rsidRPr="00D254D4" w:rsidRDefault="004732DC" w:rsidP="004732DC">
      <w:pPr>
        <w:rPr>
          <w:rFonts w:ascii="SEB SansSerif" w:hAnsi="SEB SansSerif"/>
        </w:rPr>
      </w:pPr>
    </w:p>
    <w:p w14:paraId="72723076" w14:textId="45ADE9F8" w:rsidR="004732DC" w:rsidRPr="004732DC" w:rsidRDefault="004732DC" w:rsidP="00464FF5">
      <w:pPr>
        <w:pStyle w:val="ListParagraph"/>
        <w:numPr>
          <w:ilvl w:val="0"/>
          <w:numId w:val="39"/>
        </w:numPr>
      </w:pPr>
      <w:bookmarkStart w:id="1" w:name="_Hlk207100313"/>
      <w:r w:rsidRPr="004732DC">
        <w:t xml:space="preserve">Use of a lower priority level national identifier </w:t>
      </w:r>
    </w:p>
    <w:bookmarkEnd w:id="1"/>
    <w:p w14:paraId="21BA1F12" w14:textId="1342565A" w:rsidR="004732DC" w:rsidRPr="00D254D4" w:rsidRDefault="004732DC" w:rsidP="004732DC">
      <w:pPr>
        <w:rPr>
          <w:rFonts w:ascii="SEB SansSerif" w:hAnsi="SEB SansSerif"/>
        </w:rPr>
      </w:pPr>
      <w:r w:rsidRPr="00D254D4">
        <w:rPr>
          <w:rFonts w:ascii="SEB SansSerif" w:hAnsi="SEB SansSerif"/>
        </w:rPr>
        <w:t>According to Article 6(1) of Commission Delegated Regulation (EU) 2017/590, investment firms are required to identify natural persons using a national client identifier listed in Annex II, based on the person's nationality. Article 6(2) further states the highest priority identifier must be used regardless of whether that identifier is already known to the investment firm.</w:t>
      </w:r>
    </w:p>
    <w:p w14:paraId="7C46C748" w14:textId="77777777" w:rsidR="004732DC" w:rsidRDefault="004732DC" w:rsidP="004732DC">
      <w:pPr>
        <w:rPr>
          <w:rFonts w:ascii="SEB SansSerif" w:hAnsi="SEB SansSerif"/>
        </w:rPr>
      </w:pPr>
      <w:r w:rsidRPr="00D254D4">
        <w:rPr>
          <w:rFonts w:ascii="SEB SansSerif" w:hAnsi="SEB SansSerif"/>
        </w:rPr>
        <w:t xml:space="preserve">In practice, where the client is a national of a third country or holds multiple nationalities, the identifiers listed in Annex II are often not required for other internal processes of the investment firm. This creates an administrative burden, as firms must collect such identifiers solely for transaction reporting purposes. </w:t>
      </w:r>
    </w:p>
    <w:p w14:paraId="42581BE1" w14:textId="54C6F62E" w:rsidR="004732DC" w:rsidRPr="00D254D4" w:rsidRDefault="004732DC" w:rsidP="004732DC">
      <w:pPr>
        <w:rPr>
          <w:rFonts w:ascii="SEB SansSerif" w:hAnsi="SEB SansSerif"/>
        </w:rPr>
      </w:pPr>
      <w:r w:rsidRPr="00562D31">
        <w:rPr>
          <w:rFonts w:ascii="SEB SansSerif" w:hAnsi="SEB SansSerif"/>
        </w:rPr>
        <w:t>Additionally, in some cases, the use of a so-called lower-level identifier for client identification is questionable. For example, for Lithuanian citizens, the primary identifier is the personal code, the secondary is the national passport number, and the third is the CONCAT. To our knowledge, Lithuanian citizens must have a personal code, so the question is: when can the passport number be used (the personal code should be indicated in the passport), and when can CONCAT be used for a Lithuanian citizen?  The same question applies to Swedish citizens – a personal identity code is assigned after birth, and it is unlikely that a newborn would be involved in investment activities before receiving a personal identity code. Therefore, the possibility of using CONCAT for Swedish citizens should practically not occur</w:t>
      </w:r>
      <w:r>
        <w:rPr>
          <w:rFonts w:ascii="SEB SansSerif" w:hAnsi="SEB SansSerif"/>
        </w:rPr>
        <w:t>.</w:t>
      </w:r>
      <w:r w:rsidRPr="00562D31">
        <w:rPr>
          <w:rFonts w:ascii="SEB SansSerif" w:hAnsi="SEB SansSerif"/>
        </w:rPr>
        <w:t> </w:t>
      </w:r>
    </w:p>
    <w:p w14:paraId="493250FE" w14:textId="5D2E09F6" w:rsidR="004732DC" w:rsidRPr="00D254D4" w:rsidRDefault="004732DC" w:rsidP="004732DC">
      <w:pPr>
        <w:rPr>
          <w:rFonts w:ascii="SEB SansSerif" w:hAnsi="SEB SansSerif"/>
        </w:rPr>
      </w:pPr>
      <w:r w:rsidRPr="00D254D4">
        <w:rPr>
          <w:rFonts w:ascii="SEB SansSerif" w:hAnsi="SEB SansSerif"/>
        </w:rPr>
        <w:t xml:space="preserve">Preventing a customer from executing investment transactions solely because the highest priority national identifier has not been </w:t>
      </w:r>
      <w:r w:rsidR="00312EC1">
        <w:rPr>
          <w:rFonts w:ascii="SEB SansSerif" w:hAnsi="SEB SansSerif"/>
        </w:rPr>
        <w:t xml:space="preserve">obtained and </w:t>
      </w:r>
      <w:r w:rsidRPr="00D254D4">
        <w:rPr>
          <w:rFonts w:ascii="SEB SansSerif" w:hAnsi="SEB SansSerif"/>
        </w:rPr>
        <w:t xml:space="preserve">entered into the system appears unreasonable, particularly when a lower-priority identifier </w:t>
      </w:r>
      <w:r w:rsidR="00312EC1">
        <w:rPr>
          <w:rFonts w:ascii="SEB SansSerif" w:hAnsi="SEB SansSerif"/>
        </w:rPr>
        <w:t>could</w:t>
      </w:r>
      <w:r w:rsidRPr="00D254D4">
        <w:rPr>
          <w:rFonts w:ascii="SEB SansSerif" w:hAnsi="SEB SansSerif"/>
        </w:rPr>
        <w:t xml:space="preserve"> already </w:t>
      </w:r>
      <w:r w:rsidR="00312EC1">
        <w:rPr>
          <w:rFonts w:ascii="SEB SansSerif" w:hAnsi="SEB SansSerif"/>
        </w:rPr>
        <w:t xml:space="preserve">be </w:t>
      </w:r>
      <w:r w:rsidRPr="00D254D4">
        <w:rPr>
          <w:rFonts w:ascii="SEB SansSerif" w:hAnsi="SEB SansSerif"/>
        </w:rPr>
        <w:t>available. In light of this, we see the benefit to allow greater flexibility in the use of lower priority identifiers</w:t>
      </w:r>
      <w:r>
        <w:rPr>
          <w:rFonts w:ascii="SEB SansSerif" w:hAnsi="SEB SansSerif"/>
        </w:rPr>
        <w:t>.</w:t>
      </w:r>
    </w:p>
    <w:p w14:paraId="2A59FA57" w14:textId="77777777" w:rsidR="004732DC" w:rsidRPr="00D254D4" w:rsidRDefault="004732DC" w:rsidP="004732DC">
      <w:pPr>
        <w:rPr>
          <w:rFonts w:ascii="SEB SansSerif" w:hAnsi="SEB SansSerif"/>
        </w:rPr>
      </w:pPr>
    </w:p>
    <w:p w14:paraId="58E59BD1" w14:textId="05DFB915" w:rsidR="004732DC" w:rsidRPr="004732DC" w:rsidRDefault="004732DC" w:rsidP="00244A77">
      <w:pPr>
        <w:pStyle w:val="ListParagraph"/>
        <w:numPr>
          <w:ilvl w:val="0"/>
          <w:numId w:val="39"/>
        </w:numPr>
      </w:pPr>
      <w:r w:rsidRPr="004732DC">
        <w:t>Repo</w:t>
      </w:r>
      <w:r w:rsidR="00244A77">
        <w:t>r</w:t>
      </w:r>
      <w:r w:rsidRPr="004732DC">
        <w:t>ting of the transactions related to inheritance</w:t>
      </w:r>
    </w:p>
    <w:p w14:paraId="7B979450" w14:textId="77777777" w:rsidR="004732DC" w:rsidRPr="00D254D4" w:rsidRDefault="004732DC" w:rsidP="004732DC">
      <w:pPr>
        <w:rPr>
          <w:rFonts w:ascii="SEB SansSerif" w:hAnsi="SEB SansSerif"/>
        </w:rPr>
      </w:pPr>
      <w:r w:rsidRPr="00D254D4">
        <w:rPr>
          <w:rFonts w:ascii="SEB SansSerif" w:hAnsi="SEB SansSerif"/>
        </w:rPr>
        <w:t xml:space="preserve">We also wish to raise concerns regarding the reporting of transactions related to inheritance. According to Section 5.10.2 of the ESMA Guidelines on transaction reporting under MiFID II, the inheriting party must be reported as the seller. In cases where the inheriting party is not a client of the investment firm, the responsibility to obtain the necessary national client identifier and citizenship information lies with the investment firm. This presents a challenge, as certificates of inheritance do not typically include the nationality or the specific identifier required for transaction reporting under Annex II of Commission Delegated Regulation (EU) 2017/590. Although inheriting party is required to add information about ID code or document number to a certificate of inheritance, such identifiers may not correspond to the nationality or priority levels outlined in Annex II, thereby complicating compliance with reporting obligations. </w:t>
      </w:r>
    </w:p>
    <w:p w14:paraId="0121B6C7" w14:textId="77777777" w:rsidR="004732DC" w:rsidRPr="00D254D4" w:rsidRDefault="004732DC" w:rsidP="004732DC">
      <w:pPr>
        <w:rPr>
          <w:rFonts w:ascii="SEB SansSerif" w:hAnsi="SEB SansSerif"/>
        </w:rPr>
      </w:pPr>
      <w:r w:rsidRPr="00D254D4">
        <w:rPr>
          <w:rFonts w:ascii="SEB SansSerif" w:hAnsi="SEB SansSerif"/>
        </w:rPr>
        <w:lastRenderedPageBreak/>
        <w:t>Additionally, transactions related to inheritance can only be reliably identified when securities are transferred from the account of a deceased person, who is a client of the investment firm, to the inheriting party. If the inheriting party is a client of the investment firm but the deceased person was a client of another firm, it becomes impossible to determine whether the free of payment transfer relates to inheritance, a gift, or another type of transaction, as the only mandatory field for OTC transaction orders is the counterparty’s securities account holder LEI. This creates a reporting inconsistency, since the deceased person’s transaction is reported against the inheriting party, while the other firm reports the inheriting party’s transaction against the deceased person’s securities account holder LEI, in accordance with Section 5.20.2 of the ESMA Guidelines on transaction reporting under MiFID II.”</w:t>
      </w:r>
    </w:p>
    <w:p w14:paraId="496D4D3C" w14:textId="783F107F" w:rsidR="00926BDA" w:rsidRPr="00790F80" w:rsidRDefault="004732DC" w:rsidP="00926BDA">
      <w:pPr>
        <w:rPr>
          <w:rFonts w:ascii="SEB SansSerif" w:hAnsi="SEB SansSerif"/>
        </w:rPr>
      </w:pPr>
      <w:r w:rsidRPr="00D254D4">
        <w:rPr>
          <w:rFonts w:ascii="SEB SansSerif" w:hAnsi="SEB SansSerif"/>
        </w:rPr>
        <w:t xml:space="preserve">One possible solution would be to allow investment firms to report transactions related to inheritance in the same manner as regular transfers between clients of two separate investment firms, in accordance with Section 5.20.2 of the ESMA Guidelines on the transaction reporting Under MiFID II.  If this approach is not feasible, it </w:t>
      </w:r>
      <w:r>
        <w:rPr>
          <w:rFonts w:ascii="SEB SansSerif" w:hAnsi="SEB SansSerif"/>
        </w:rPr>
        <w:t xml:space="preserve">may be considered, </w:t>
      </w:r>
      <w:r w:rsidRPr="00D254D4">
        <w:rPr>
          <w:rFonts w:ascii="SEB SansSerif" w:hAnsi="SEB SansSerif"/>
        </w:rPr>
        <w:t xml:space="preserve">in cases where the inheriting party is a client of another investment firm, firms </w:t>
      </w:r>
      <w:r>
        <w:rPr>
          <w:rFonts w:ascii="SEB SansSerif" w:hAnsi="SEB SansSerif"/>
        </w:rPr>
        <w:t xml:space="preserve">to </w:t>
      </w:r>
      <w:r w:rsidRPr="00D254D4">
        <w:rPr>
          <w:rFonts w:ascii="SEB SansSerif" w:hAnsi="SEB SansSerif"/>
        </w:rPr>
        <w:t>be allowed to use the same ID code or document number specified in the certificate of inheritance or a CONCAT code, when reporting the inheriting party’s personal details. Requiring firms to obtain and manage additional personal data from third parties solely for transaction reporting purposes places an unnecessary administrative burden on firms and may hinder timely compliance with reporting obligations.</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lastRenderedPageBreak/>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52A7" w14:textId="77777777" w:rsidR="00FC6B15" w:rsidRDefault="00FC6B15" w:rsidP="007E7997">
      <w:r>
        <w:separator/>
      </w:r>
    </w:p>
  </w:endnote>
  <w:endnote w:type="continuationSeparator" w:id="0">
    <w:p w14:paraId="037F0260" w14:textId="77777777" w:rsidR="00FC6B15" w:rsidRDefault="00FC6B15" w:rsidP="007E7997">
      <w:r>
        <w:continuationSeparator/>
      </w:r>
    </w:p>
  </w:endnote>
  <w:endnote w:type="continuationNotice" w:id="1">
    <w:p w14:paraId="78EC6F6F" w14:textId="77777777" w:rsidR="00FC6B15" w:rsidRDefault="00FC6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B SansSerif">
    <w:panose1 w:val="00000000000000000000"/>
    <w:charset w:val="BA"/>
    <w:family w:val="auto"/>
    <w:pitch w:val="variable"/>
    <w:sig w:usb0="A00002EF" w:usb1="0000205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0FD2" w14:textId="77777777" w:rsidR="00FC6B15" w:rsidRDefault="00FC6B15" w:rsidP="007E7997">
      <w:r>
        <w:separator/>
      </w:r>
    </w:p>
  </w:footnote>
  <w:footnote w:type="continuationSeparator" w:id="0">
    <w:p w14:paraId="34EFF981" w14:textId="77777777" w:rsidR="00FC6B15" w:rsidRDefault="00FC6B15" w:rsidP="007E7997">
      <w:r>
        <w:continuationSeparator/>
      </w:r>
    </w:p>
  </w:footnote>
  <w:footnote w:type="continuationNotice" w:id="1">
    <w:p w14:paraId="3BA4A7D4" w14:textId="77777777" w:rsidR="00FC6B15" w:rsidRDefault="00FC6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D4E57"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9633E"/>
    <w:multiLevelType w:val="hybridMultilevel"/>
    <w:tmpl w:val="0FACB3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935A1"/>
    <w:multiLevelType w:val="hybridMultilevel"/>
    <w:tmpl w:val="CB9246D2"/>
    <w:lvl w:ilvl="0" w:tplc="0425000F">
      <w:start w:val="2"/>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pStyle w:val="Paragraph"/>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DF5BCA"/>
    <w:multiLevelType w:val="multilevel"/>
    <w:tmpl w:val="CB564D2C"/>
    <w:lvl w:ilvl="0">
      <w:start w:val="6"/>
      <w:numFmt w:val="decimal"/>
      <w:lvlText w:val="%1."/>
      <w:lvlJc w:val="left"/>
      <w:pPr>
        <w:tabs>
          <w:tab w:val="num" w:pos="720"/>
        </w:tabs>
        <w:ind w:left="720" w:hanging="720"/>
      </w:pPr>
      <w:rPr>
        <w:rFonts w:hint="default"/>
      </w:rPr>
    </w:lvl>
    <w:lvl w:ilvl="1">
      <w:start w:val="2"/>
      <w:numFmt w:val="decimal"/>
      <w:pStyle w:val="ListParagraph"/>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6"/>
  </w:num>
  <w:num w:numId="4" w16cid:durableId="1880320868">
    <w:abstractNumId w:val="4"/>
  </w:num>
  <w:num w:numId="5" w16cid:durableId="290864581">
    <w:abstractNumId w:val="15"/>
  </w:num>
  <w:num w:numId="6" w16cid:durableId="952590553">
    <w:abstractNumId w:val="28"/>
  </w:num>
  <w:num w:numId="7" w16cid:durableId="1159686949">
    <w:abstractNumId w:val="14"/>
  </w:num>
  <w:num w:numId="8" w16cid:durableId="765269892">
    <w:abstractNumId w:val="6"/>
  </w:num>
  <w:num w:numId="9" w16cid:durableId="1301960395">
    <w:abstractNumId w:val="10"/>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0"/>
  </w:num>
  <w:num w:numId="15" w16cid:durableId="986476960">
    <w:abstractNumId w:val="23"/>
  </w:num>
  <w:num w:numId="16" w16cid:durableId="398749299">
    <w:abstractNumId w:val="27"/>
  </w:num>
  <w:num w:numId="17" w16cid:durableId="1407611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4"/>
  </w:num>
  <w:num w:numId="19" w16cid:durableId="558588771">
    <w:abstractNumId w:val="28"/>
  </w:num>
  <w:num w:numId="20" w16cid:durableId="1306933315">
    <w:abstractNumId w:val="12"/>
  </w:num>
  <w:num w:numId="21" w16cid:durableId="1623876054">
    <w:abstractNumId w:val="25"/>
  </w:num>
  <w:num w:numId="22" w16cid:durableId="783383837">
    <w:abstractNumId w:val="16"/>
  </w:num>
  <w:num w:numId="23" w16cid:durableId="2112964618">
    <w:abstractNumId w:val="22"/>
  </w:num>
  <w:num w:numId="24" w16cid:durableId="1958565453">
    <w:abstractNumId w:val="0"/>
  </w:num>
  <w:num w:numId="25" w16cid:durableId="1372725395">
    <w:abstractNumId w:val="20"/>
  </w:num>
  <w:num w:numId="26" w16cid:durableId="1686445133">
    <w:abstractNumId w:val="18"/>
  </w:num>
  <w:num w:numId="27" w16cid:durableId="1247768697">
    <w:abstractNumId w:val="11"/>
  </w:num>
  <w:num w:numId="28" w16cid:durableId="954170948">
    <w:abstractNumId w:val="2"/>
  </w:num>
  <w:num w:numId="29" w16cid:durableId="837424337">
    <w:abstractNumId w:val="19"/>
  </w:num>
  <w:num w:numId="30" w16cid:durableId="299657983">
    <w:abstractNumId w:val="5"/>
  </w:num>
  <w:num w:numId="31" w16cid:durableId="699822250">
    <w:abstractNumId w:val="17"/>
  </w:num>
  <w:num w:numId="32" w16cid:durableId="730466929">
    <w:abstractNumId w:val="13"/>
    <w:lvlOverride w:ilvl="0">
      <w:startOverride w:val="1"/>
    </w:lvlOverride>
  </w:num>
  <w:num w:numId="33" w16cid:durableId="552498262">
    <w:abstractNumId w:val="21"/>
  </w:num>
  <w:num w:numId="34" w16cid:durableId="1829132647">
    <w:abstractNumId w:val="13"/>
    <w:lvlOverride w:ilvl="0">
      <w:startOverride w:val="1"/>
    </w:lvlOverride>
  </w:num>
  <w:num w:numId="35" w16cid:durableId="1915964461">
    <w:abstractNumId w:val="13"/>
    <w:lvlOverride w:ilvl="0">
      <w:startOverride w:val="1"/>
    </w:lvlOverride>
  </w:num>
  <w:num w:numId="36" w16cid:durableId="1385182617">
    <w:abstractNumId w:val="13"/>
    <w:lvlOverride w:ilvl="0">
      <w:startOverride w:val="1"/>
    </w:lvlOverride>
  </w:num>
  <w:num w:numId="37" w16cid:durableId="293483326">
    <w:abstractNumId w:val="1"/>
  </w:num>
  <w:num w:numId="38" w16cid:durableId="2084066402">
    <w:abstractNumId w:val="29"/>
  </w:num>
  <w:num w:numId="39" w16cid:durableId="22052880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0EF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874C2"/>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19A"/>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A77"/>
    <w:rsid w:val="00244B86"/>
    <w:rsid w:val="00244C97"/>
    <w:rsid w:val="0024512F"/>
    <w:rsid w:val="00245406"/>
    <w:rsid w:val="002455D7"/>
    <w:rsid w:val="00245D2E"/>
    <w:rsid w:val="00246E1D"/>
    <w:rsid w:val="002472F6"/>
    <w:rsid w:val="0025020D"/>
    <w:rsid w:val="00254991"/>
    <w:rsid w:val="00254CC2"/>
    <w:rsid w:val="00256A6E"/>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2EC1"/>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977D3"/>
    <w:rsid w:val="003A34E7"/>
    <w:rsid w:val="003A3CB1"/>
    <w:rsid w:val="003A3D55"/>
    <w:rsid w:val="003A5CC4"/>
    <w:rsid w:val="003A73A4"/>
    <w:rsid w:val="003B102E"/>
    <w:rsid w:val="003B26BA"/>
    <w:rsid w:val="003B4E3D"/>
    <w:rsid w:val="003B7E44"/>
    <w:rsid w:val="003C167E"/>
    <w:rsid w:val="003C481D"/>
    <w:rsid w:val="003C4EB5"/>
    <w:rsid w:val="003C7A30"/>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47C2"/>
    <w:rsid w:val="00464FF5"/>
    <w:rsid w:val="00465EAA"/>
    <w:rsid w:val="004708CA"/>
    <w:rsid w:val="004709E7"/>
    <w:rsid w:val="00470ADE"/>
    <w:rsid w:val="004712C7"/>
    <w:rsid w:val="004732DC"/>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E6E0F"/>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3A0"/>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1B5F"/>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0F80"/>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76DB7"/>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2A01"/>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1E93"/>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0E62"/>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424"/>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B79"/>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3E1B"/>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49C"/>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C6B15"/>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ilvl w:val="0"/>
        <w:numId w:val="0"/>
      </w:numPr>
      <w:ind w:left="792" w:hanging="432"/>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790F80"/>
    <w:pPr>
      <w:numPr>
        <w:ilvl w:val="1"/>
        <w:numId w:val="38"/>
      </w:numPr>
      <w:tabs>
        <w:tab w:val="left" w:pos="0"/>
        <w:tab w:val="left" w:pos="142"/>
        <w:tab w:val="left" w:pos="284"/>
        <w:tab w:val="left" w:pos="567"/>
      </w:tabs>
      <w:autoSpaceDE w:val="0"/>
      <w:autoSpaceDN w:val="0"/>
      <w:adjustRightInd w:val="0"/>
      <w:spacing w:after="160" w:line="278" w:lineRule="auto"/>
      <w:contextualSpacing/>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790F80"/>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Props1.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docMetadata/LabelInfo.xml><?xml version="1.0" encoding="utf-8"?>
<clbl:labelList xmlns:clbl="http://schemas.microsoft.com/office/2020/mipLabelMetadata">
  <clbl:label id="{199a02a4-1fd8-448c-9b02-939e6825dd65}" enabled="1" method="Privileged" siteId="{e06b362b-4101-487e-ac7c-ade9d4cc404e}" removed="0"/>
</clbl:labelList>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13</Pages>
  <Words>3409</Words>
  <Characters>19774</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Triin Muuk-Adrat</cp:lastModifiedBy>
  <cp:revision>3</cp:revision>
  <cp:lastPrinted>2017-07-24T14:47:00Z</cp:lastPrinted>
  <dcterms:created xsi:type="dcterms:W3CDTF">2025-09-10T13:27:00Z</dcterms:created>
  <dcterms:modified xsi:type="dcterms:W3CDTF">2025-09-11T10:29:00Z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