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DD56" w14:textId="77777777" w:rsidR="00433105" w:rsidRDefault="00433105" w:rsidP="00816DE0"/>
    <w:p w14:paraId="7E43BFA2" w14:textId="77777777" w:rsidR="00504844" w:rsidRPr="00695ECA" w:rsidRDefault="00504844" w:rsidP="00504844">
      <w:pPr>
        <w:rPr>
          <w:rFonts w:cstheme="minorHAnsi"/>
          <w:lang w:val="en-US"/>
        </w:rPr>
      </w:pPr>
      <w:r w:rsidRPr="00695ECA">
        <w:rPr>
          <w:rFonts w:cstheme="minorHAnsi"/>
          <w:b/>
          <w:bCs/>
          <w:lang w:val="en-US"/>
        </w:rPr>
        <w:t>Position Paper: The Norwegian Securities Dealers Association on CMU/SIU and Capital Market Development</w:t>
      </w:r>
      <w:r>
        <w:rPr>
          <w:rFonts w:cstheme="minorHAnsi"/>
          <w:b/>
          <w:bCs/>
          <w:lang w:val="en-US"/>
        </w:rPr>
        <w:t xml:space="preserve"> in the EU</w:t>
      </w:r>
    </w:p>
    <w:p w14:paraId="081B9B26" w14:textId="77777777" w:rsidR="00504844" w:rsidRPr="00695ECA" w:rsidRDefault="00504844" w:rsidP="00504844">
      <w:pPr>
        <w:rPr>
          <w:rFonts w:cstheme="minorHAnsi"/>
          <w:lang w:val="en-US"/>
        </w:rPr>
      </w:pPr>
      <w:r w:rsidRPr="00695ECA">
        <w:rPr>
          <w:rFonts w:cstheme="minorHAnsi"/>
          <w:lang w:val="en-US"/>
        </w:rPr>
        <w:t>The Norwegian Securities Dealers Association acknowledges the challenges posed by the fragmentation of EU financial markets and supports the ambition to enhance capital flows, particularly in financing ongoing transitions and SMEs. However, we caution against inconsistencies in the proposed approach under the CMU/SIU framework.</w:t>
      </w:r>
    </w:p>
    <w:p w14:paraId="261BA67F" w14:textId="77777777" w:rsidR="00504844" w:rsidRPr="00695ECA" w:rsidRDefault="00504844" w:rsidP="00504844">
      <w:pPr>
        <w:rPr>
          <w:rFonts w:cstheme="minorHAnsi"/>
          <w:b/>
          <w:bCs/>
          <w:lang w:val="en-US"/>
        </w:rPr>
      </w:pPr>
      <w:r w:rsidRPr="00695ECA">
        <w:rPr>
          <w:rFonts w:cstheme="minorHAnsi"/>
          <w:b/>
          <w:bCs/>
          <w:lang w:val="en-US"/>
        </w:rPr>
        <w:t>Key Messages on CMU/SIU:</w:t>
      </w:r>
    </w:p>
    <w:p w14:paraId="0DCF17A1" w14:textId="77777777" w:rsidR="00504844" w:rsidRPr="00695ECA" w:rsidRDefault="00504844" w:rsidP="00504844">
      <w:pPr>
        <w:numPr>
          <w:ilvl w:val="0"/>
          <w:numId w:val="1"/>
        </w:numPr>
        <w:rPr>
          <w:rFonts w:cstheme="minorHAnsi"/>
          <w:lang w:val="en-US"/>
        </w:rPr>
      </w:pPr>
      <w:r w:rsidRPr="00695ECA">
        <w:rPr>
          <w:rFonts w:cstheme="minorHAnsi"/>
          <w:b/>
          <w:bCs/>
          <w:lang w:val="en-US"/>
        </w:rPr>
        <w:t>Investment Decisions Are Risk-Reward Driven</w:t>
      </w:r>
    </w:p>
    <w:p w14:paraId="5CCA2586" w14:textId="77777777" w:rsidR="00504844" w:rsidRDefault="00504844" w:rsidP="00504844">
      <w:pPr>
        <w:numPr>
          <w:ilvl w:val="1"/>
          <w:numId w:val="1"/>
        </w:numPr>
        <w:rPr>
          <w:rFonts w:cstheme="minorHAnsi"/>
          <w:lang w:val="en-US"/>
        </w:rPr>
      </w:pPr>
      <w:r w:rsidRPr="00695ECA">
        <w:rPr>
          <w:rFonts w:cstheme="minorHAnsi"/>
          <w:lang w:val="en-US"/>
        </w:rPr>
        <w:t xml:space="preserve">Capital allocation is determined by risk-return considerations. The success of financing </w:t>
      </w:r>
      <w:r>
        <w:rPr>
          <w:rFonts w:cstheme="minorHAnsi"/>
          <w:lang w:val="en-US"/>
        </w:rPr>
        <w:t xml:space="preserve">the </w:t>
      </w:r>
      <w:r w:rsidRPr="00695ECA">
        <w:rPr>
          <w:rFonts w:cstheme="minorHAnsi"/>
          <w:lang w:val="en-US"/>
        </w:rPr>
        <w:t xml:space="preserve">green and digital transitions depends on the viability </w:t>
      </w:r>
      <w:r>
        <w:rPr>
          <w:rFonts w:cstheme="minorHAnsi"/>
          <w:lang w:val="en-US"/>
        </w:rPr>
        <w:t xml:space="preserve">and profitability </w:t>
      </w:r>
      <w:r w:rsidRPr="00695ECA">
        <w:rPr>
          <w:rFonts w:cstheme="minorHAnsi"/>
          <w:lang w:val="en-US"/>
        </w:rPr>
        <w:t xml:space="preserve">of individual projects rather than political aspirations. It is erroneous to assume that retail savings across the EU will </w:t>
      </w:r>
      <w:r>
        <w:rPr>
          <w:rFonts w:cstheme="minorHAnsi"/>
          <w:lang w:val="en-US"/>
        </w:rPr>
        <w:t xml:space="preserve">-or should- </w:t>
      </w:r>
      <w:r w:rsidRPr="00695ECA">
        <w:rPr>
          <w:rFonts w:cstheme="minorHAnsi"/>
          <w:lang w:val="en-US"/>
        </w:rPr>
        <w:t>automatically be redirected into these sectors merely through CMU initiatives.</w:t>
      </w:r>
    </w:p>
    <w:p w14:paraId="520E5BB2" w14:textId="77777777" w:rsidR="00504844" w:rsidRPr="00246F91" w:rsidRDefault="00504844" w:rsidP="00504844">
      <w:pPr>
        <w:pStyle w:val="Body"/>
        <w:numPr>
          <w:ilvl w:val="1"/>
          <w:numId w:val="1"/>
        </w:numPr>
      </w:pPr>
      <w:r>
        <w:t>The goals of the CMU/SIU should therefore be to increase the productive capacity of Europe and thereby 1) further improve the markets’ access to profitable projects, and 2) to provide opportunities for higher and lower risk-taking on households’ savings</w:t>
      </w:r>
    </w:p>
    <w:p w14:paraId="0BE0A996" w14:textId="77777777" w:rsidR="00504844" w:rsidRPr="00695ECA" w:rsidRDefault="00504844" w:rsidP="00504844">
      <w:pPr>
        <w:numPr>
          <w:ilvl w:val="0"/>
          <w:numId w:val="1"/>
        </w:numPr>
        <w:rPr>
          <w:rFonts w:cstheme="minorHAnsi"/>
          <w:lang w:val="en-US"/>
        </w:rPr>
      </w:pPr>
      <w:r w:rsidRPr="00695ECA">
        <w:rPr>
          <w:rFonts w:cstheme="minorHAnsi"/>
          <w:b/>
          <w:bCs/>
          <w:lang w:val="en-US"/>
        </w:rPr>
        <w:t>Financial Markets Operate Without 'Long-Termism'</w:t>
      </w:r>
    </w:p>
    <w:p w14:paraId="44D6A4E0" w14:textId="77777777" w:rsidR="00504844" w:rsidRPr="00695ECA" w:rsidRDefault="00504844" w:rsidP="00504844">
      <w:pPr>
        <w:numPr>
          <w:ilvl w:val="1"/>
          <w:numId w:val="1"/>
        </w:numPr>
        <w:rPr>
          <w:rFonts w:cstheme="minorHAnsi"/>
          <w:lang w:val="en-US"/>
        </w:rPr>
      </w:pPr>
      <w:r w:rsidRPr="00536EA8">
        <w:rPr>
          <w:lang w:val="en-US"/>
        </w:rPr>
        <w:t xml:space="preserve">Most asset owners have a long-term perspective on their holdings. </w:t>
      </w:r>
      <w:r>
        <w:rPr>
          <w:lang w:val="en-US"/>
        </w:rPr>
        <w:t xml:space="preserve">Asset managers </w:t>
      </w:r>
      <w:r w:rsidRPr="00695ECA">
        <w:rPr>
          <w:rFonts w:cstheme="minorHAnsi"/>
          <w:lang w:val="en-US"/>
        </w:rPr>
        <w:t xml:space="preserve">continuously assess and adjust their positions based on expected future </w:t>
      </w:r>
      <w:r>
        <w:rPr>
          <w:rFonts w:cstheme="minorHAnsi"/>
          <w:lang w:val="en-US"/>
        </w:rPr>
        <w:t>profitability and risk parameters</w:t>
      </w:r>
      <w:r w:rsidRPr="00695ECA">
        <w:rPr>
          <w:rFonts w:cstheme="minorHAnsi"/>
          <w:lang w:val="en-US"/>
        </w:rPr>
        <w:t>. The notion of instilling artificial 'long-termism' contradicts the fundamental dynamics of financial markets</w:t>
      </w:r>
      <w:r>
        <w:rPr>
          <w:rFonts w:cstheme="minorHAnsi"/>
          <w:lang w:val="en-US"/>
        </w:rPr>
        <w:t xml:space="preserve"> and price discovery</w:t>
      </w:r>
      <w:r w:rsidRPr="00695ECA">
        <w:rPr>
          <w:rFonts w:cstheme="minorHAnsi"/>
          <w:lang w:val="en-US"/>
        </w:rPr>
        <w:t>, where flexibility and responsiveness to changing conditions are key.</w:t>
      </w:r>
    </w:p>
    <w:p w14:paraId="798006DB" w14:textId="77777777" w:rsidR="00504844" w:rsidRPr="00695ECA" w:rsidRDefault="00504844" w:rsidP="00504844">
      <w:pPr>
        <w:numPr>
          <w:ilvl w:val="0"/>
          <w:numId w:val="1"/>
        </w:numPr>
        <w:rPr>
          <w:rFonts w:cstheme="minorHAnsi"/>
          <w:lang w:val="en-US"/>
        </w:rPr>
      </w:pPr>
      <w:r w:rsidRPr="00695ECA">
        <w:rPr>
          <w:rFonts w:cstheme="minorHAnsi"/>
          <w:b/>
          <w:bCs/>
          <w:lang w:val="en-US"/>
        </w:rPr>
        <w:t>Investment Returns Reflect the Real Economy</w:t>
      </w:r>
    </w:p>
    <w:p w14:paraId="3F93E576" w14:textId="77777777" w:rsidR="00504844" w:rsidRPr="00695ECA" w:rsidRDefault="00504844" w:rsidP="00504844">
      <w:pPr>
        <w:numPr>
          <w:ilvl w:val="1"/>
          <w:numId w:val="1"/>
        </w:numPr>
        <w:rPr>
          <w:rFonts w:cstheme="minorHAnsi"/>
          <w:lang w:val="en-US"/>
        </w:rPr>
      </w:pPr>
      <w:r w:rsidRPr="00695ECA">
        <w:rPr>
          <w:rFonts w:cstheme="minorHAnsi"/>
          <w:lang w:val="en-US"/>
        </w:rPr>
        <w:t>Stock market returns are ultimately driven by the performance of listed companies, which operate in competitive environments. A supportive regulatory and tax framework is crucial for these firms to expand and adapt. The EU should prioritize addressing regulatory and tax competitiveness through comprehensive international benchmarking.</w:t>
      </w:r>
    </w:p>
    <w:p w14:paraId="27D6BAE8" w14:textId="77777777" w:rsidR="00504844" w:rsidRPr="00695ECA" w:rsidRDefault="00504844" w:rsidP="00504844">
      <w:pPr>
        <w:numPr>
          <w:ilvl w:val="0"/>
          <w:numId w:val="1"/>
        </w:numPr>
        <w:rPr>
          <w:rFonts w:cstheme="minorHAnsi"/>
          <w:lang w:val="en-US"/>
        </w:rPr>
      </w:pPr>
      <w:r w:rsidRPr="00695ECA">
        <w:rPr>
          <w:rFonts w:cstheme="minorHAnsi"/>
          <w:b/>
          <w:bCs/>
          <w:lang w:val="en-US"/>
        </w:rPr>
        <w:t>EU Financial Markets Are Nationally Distinct Ecosystems</w:t>
      </w:r>
    </w:p>
    <w:p w14:paraId="73CD245B" w14:textId="77777777" w:rsidR="00504844" w:rsidRPr="00695ECA" w:rsidRDefault="00504844" w:rsidP="00504844">
      <w:pPr>
        <w:numPr>
          <w:ilvl w:val="1"/>
          <w:numId w:val="1"/>
        </w:numPr>
        <w:rPr>
          <w:rFonts w:cstheme="minorHAnsi"/>
          <w:lang w:val="en-US"/>
        </w:rPr>
      </w:pPr>
      <w:r w:rsidRPr="00695ECA">
        <w:rPr>
          <w:rFonts w:cstheme="minorHAnsi"/>
          <w:lang w:val="en-US"/>
        </w:rPr>
        <w:t>European financial markets are highly diverse, shaped by national conditions. In the Nordics, financial ecosystems have developed organically over decades, demonstrating the importance of local adaptation rather than top-down centralization.</w:t>
      </w:r>
    </w:p>
    <w:p w14:paraId="1FF89B3D" w14:textId="77777777" w:rsidR="00504844" w:rsidRPr="00695ECA" w:rsidRDefault="00504844" w:rsidP="00504844">
      <w:pPr>
        <w:numPr>
          <w:ilvl w:val="0"/>
          <w:numId w:val="1"/>
        </w:numPr>
        <w:rPr>
          <w:rFonts w:cstheme="minorHAnsi"/>
        </w:rPr>
      </w:pPr>
      <w:r w:rsidRPr="00695ECA">
        <w:rPr>
          <w:rFonts w:cstheme="minorHAnsi"/>
          <w:b/>
          <w:bCs/>
        </w:rPr>
        <w:t xml:space="preserve">SME </w:t>
      </w:r>
      <w:proofErr w:type="spellStart"/>
      <w:r w:rsidRPr="00695ECA">
        <w:rPr>
          <w:rFonts w:cstheme="minorHAnsi"/>
          <w:b/>
          <w:bCs/>
        </w:rPr>
        <w:t>Financing</w:t>
      </w:r>
      <w:proofErr w:type="spellEnd"/>
      <w:r w:rsidRPr="00695ECA">
        <w:rPr>
          <w:rFonts w:cstheme="minorHAnsi"/>
          <w:b/>
          <w:bCs/>
        </w:rPr>
        <w:t xml:space="preserve"> Is </w:t>
      </w:r>
      <w:proofErr w:type="spellStart"/>
      <w:r w:rsidRPr="00695ECA">
        <w:rPr>
          <w:rFonts w:cstheme="minorHAnsi"/>
          <w:b/>
          <w:bCs/>
        </w:rPr>
        <w:t>Predominantly</w:t>
      </w:r>
      <w:proofErr w:type="spellEnd"/>
      <w:r w:rsidRPr="00695ECA">
        <w:rPr>
          <w:rFonts w:cstheme="minorHAnsi"/>
          <w:b/>
          <w:bCs/>
        </w:rPr>
        <w:t xml:space="preserve"> </w:t>
      </w:r>
      <w:proofErr w:type="spellStart"/>
      <w:r w:rsidRPr="00695ECA">
        <w:rPr>
          <w:rFonts w:cstheme="minorHAnsi"/>
          <w:b/>
          <w:bCs/>
        </w:rPr>
        <w:t>Local</w:t>
      </w:r>
      <w:proofErr w:type="spellEnd"/>
    </w:p>
    <w:p w14:paraId="33945A72" w14:textId="77777777" w:rsidR="000A5A76" w:rsidRDefault="00504844" w:rsidP="00504844">
      <w:pPr>
        <w:numPr>
          <w:ilvl w:val="1"/>
          <w:numId w:val="1"/>
        </w:numPr>
        <w:rPr>
          <w:rFonts w:cstheme="minorHAnsi"/>
          <w:lang w:val="en-US"/>
        </w:rPr>
      </w:pPr>
      <w:r w:rsidRPr="00695ECA">
        <w:rPr>
          <w:rFonts w:cstheme="minorHAnsi"/>
          <w:lang w:val="en-US"/>
        </w:rPr>
        <w:t>Home bias in SME investment arises from structural factors, including</w:t>
      </w:r>
      <w:r>
        <w:rPr>
          <w:rFonts w:cstheme="minorHAnsi"/>
          <w:lang w:val="en-US"/>
        </w:rPr>
        <w:t xml:space="preserve"> detailed local knowledge, </w:t>
      </w:r>
      <w:r w:rsidRPr="00695ECA">
        <w:rPr>
          <w:rFonts w:cstheme="minorHAnsi"/>
          <w:lang w:val="en-US"/>
        </w:rPr>
        <w:t xml:space="preserve">familiarity, trust, and regulatory considerations. Strengthening national </w:t>
      </w:r>
    </w:p>
    <w:p w14:paraId="505F20C2" w14:textId="77777777" w:rsidR="00DB1423" w:rsidRDefault="00DB1423" w:rsidP="00DB1423">
      <w:pPr>
        <w:ind w:left="1440"/>
        <w:rPr>
          <w:rFonts w:cstheme="minorHAnsi"/>
          <w:lang w:val="en-US"/>
        </w:rPr>
      </w:pPr>
    </w:p>
    <w:p w14:paraId="1F684775" w14:textId="5C776791" w:rsidR="00504844" w:rsidRPr="00DB1423" w:rsidRDefault="00504844" w:rsidP="00DB1423">
      <w:pPr>
        <w:numPr>
          <w:ilvl w:val="1"/>
          <w:numId w:val="1"/>
        </w:numPr>
        <w:rPr>
          <w:rFonts w:cstheme="minorHAnsi"/>
          <w:lang w:val="en-US"/>
        </w:rPr>
      </w:pPr>
      <w:r w:rsidRPr="00DB1423">
        <w:rPr>
          <w:rFonts w:cstheme="minorHAnsi"/>
          <w:lang w:val="en-US"/>
        </w:rPr>
        <w:t>and regional financial ecosystems should take precedence over centralized EU initiatives.</w:t>
      </w:r>
    </w:p>
    <w:p w14:paraId="7E8A143D" w14:textId="77777777" w:rsidR="00504844" w:rsidRPr="00695ECA" w:rsidRDefault="00504844" w:rsidP="00504844">
      <w:pPr>
        <w:numPr>
          <w:ilvl w:val="0"/>
          <w:numId w:val="1"/>
        </w:numPr>
        <w:rPr>
          <w:rFonts w:cstheme="minorHAnsi"/>
        </w:rPr>
      </w:pPr>
      <w:proofErr w:type="spellStart"/>
      <w:r w:rsidRPr="00695ECA">
        <w:rPr>
          <w:rFonts w:cstheme="minorHAnsi"/>
          <w:b/>
          <w:bCs/>
        </w:rPr>
        <w:t>Encouraging</w:t>
      </w:r>
      <w:proofErr w:type="spellEnd"/>
      <w:r w:rsidRPr="00695ECA">
        <w:rPr>
          <w:rFonts w:cstheme="minorHAnsi"/>
          <w:b/>
          <w:bCs/>
        </w:rPr>
        <w:t xml:space="preserve"> Best </w:t>
      </w:r>
      <w:proofErr w:type="spellStart"/>
      <w:r w:rsidRPr="00695ECA">
        <w:rPr>
          <w:rFonts w:cstheme="minorHAnsi"/>
          <w:b/>
          <w:bCs/>
        </w:rPr>
        <w:t>Practice</w:t>
      </w:r>
      <w:proofErr w:type="spellEnd"/>
      <w:r w:rsidRPr="00695ECA">
        <w:rPr>
          <w:rFonts w:cstheme="minorHAnsi"/>
          <w:b/>
          <w:bCs/>
        </w:rPr>
        <w:t xml:space="preserve"> </w:t>
      </w:r>
      <w:proofErr w:type="spellStart"/>
      <w:r w:rsidRPr="00695ECA">
        <w:rPr>
          <w:rFonts w:cstheme="minorHAnsi"/>
          <w:b/>
          <w:bCs/>
        </w:rPr>
        <w:t>Comparisons</w:t>
      </w:r>
      <w:proofErr w:type="spellEnd"/>
    </w:p>
    <w:p w14:paraId="123765F8" w14:textId="77777777" w:rsidR="00504844" w:rsidRPr="007649A5" w:rsidRDefault="00504844" w:rsidP="00504844">
      <w:pPr>
        <w:numPr>
          <w:ilvl w:val="1"/>
          <w:numId w:val="1"/>
        </w:numPr>
        <w:rPr>
          <w:rFonts w:cstheme="minorHAnsi"/>
          <w:lang w:val="en-US"/>
        </w:rPr>
      </w:pPr>
      <w:r w:rsidRPr="00695ECA">
        <w:rPr>
          <w:rFonts w:cstheme="minorHAnsi"/>
          <w:lang w:val="en-US"/>
        </w:rPr>
        <w:t>The EU should promote benchmarking of successful local financial ecosystems to foster sustainable capital market development.</w:t>
      </w:r>
    </w:p>
    <w:p w14:paraId="724F8DAB" w14:textId="77777777" w:rsidR="00504844" w:rsidRPr="00260D3A" w:rsidRDefault="00504844" w:rsidP="00504844">
      <w:pPr>
        <w:numPr>
          <w:ilvl w:val="0"/>
          <w:numId w:val="1"/>
        </w:numPr>
        <w:rPr>
          <w:rFonts w:cstheme="minorHAnsi"/>
          <w:b/>
          <w:bCs/>
          <w:lang w:val="en-US"/>
        </w:rPr>
      </w:pPr>
      <w:r w:rsidRPr="00260D3A">
        <w:rPr>
          <w:rFonts w:cstheme="minorHAnsi"/>
          <w:b/>
          <w:bCs/>
          <w:lang w:val="en-US"/>
        </w:rPr>
        <w:t>Taxation and pensions systems are national</w:t>
      </w:r>
    </w:p>
    <w:p w14:paraId="70FACA43" w14:textId="48AD1FDA" w:rsidR="00504844" w:rsidRDefault="00504844" w:rsidP="00504844">
      <w:pPr>
        <w:numPr>
          <w:ilvl w:val="1"/>
          <w:numId w:val="1"/>
        </w:numPr>
        <w:rPr>
          <w:rFonts w:cstheme="minorHAnsi"/>
          <w:lang w:val="en-US"/>
        </w:rPr>
      </w:pPr>
      <w:r w:rsidRPr="00695ECA">
        <w:rPr>
          <w:rFonts w:cstheme="minorHAnsi"/>
          <w:lang w:val="en-US"/>
        </w:rPr>
        <w:t>Nordic financial market success has been influenced by national policies on taxation and pensions—areas that remain under national jurisdiction in the EU. Comparative analysis of best</w:t>
      </w:r>
      <w:r w:rsidR="00A0453F">
        <w:rPr>
          <w:rFonts w:cstheme="minorHAnsi"/>
          <w:lang w:val="en-US"/>
        </w:rPr>
        <w:t>-</w:t>
      </w:r>
      <w:r w:rsidRPr="00695ECA">
        <w:rPr>
          <w:rFonts w:cstheme="minorHAnsi"/>
          <w:lang w:val="en-US"/>
        </w:rPr>
        <w:t>practices in these areas should be encouraged.</w:t>
      </w:r>
    </w:p>
    <w:p w14:paraId="602E50F8" w14:textId="77777777" w:rsidR="00504844" w:rsidRPr="0064769E" w:rsidRDefault="00504844" w:rsidP="00504844">
      <w:pPr>
        <w:numPr>
          <w:ilvl w:val="0"/>
          <w:numId w:val="1"/>
        </w:numPr>
      </w:pPr>
      <w:r w:rsidRPr="0064769E">
        <w:rPr>
          <w:b/>
          <w:bCs/>
        </w:rPr>
        <w:t xml:space="preserve">Regulatory </w:t>
      </w:r>
      <w:proofErr w:type="spellStart"/>
      <w:r w:rsidRPr="0064769E">
        <w:rPr>
          <w:b/>
          <w:bCs/>
        </w:rPr>
        <w:t>Simplification</w:t>
      </w:r>
      <w:proofErr w:type="spellEnd"/>
      <w:r w:rsidRPr="0064769E">
        <w:rPr>
          <w:b/>
          <w:bCs/>
        </w:rPr>
        <w:t xml:space="preserve"> and </w:t>
      </w:r>
      <w:proofErr w:type="spellStart"/>
      <w:r w:rsidRPr="0064769E">
        <w:rPr>
          <w:b/>
          <w:bCs/>
        </w:rPr>
        <w:t>Stability</w:t>
      </w:r>
      <w:proofErr w:type="spellEnd"/>
    </w:p>
    <w:p w14:paraId="6BE511D5" w14:textId="77777777" w:rsidR="00504844" w:rsidRPr="0064769E" w:rsidRDefault="00504844" w:rsidP="00504844">
      <w:pPr>
        <w:numPr>
          <w:ilvl w:val="1"/>
          <w:numId w:val="1"/>
        </w:numPr>
        <w:rPr>
          <w:lang w:val="en-US"/>
        </w:rPr>
      </w:pPr>
      <w:r w:rsidRPr="0064769E">
        <w:rPr>
          <w:lang w:val="en-US"/>
        </w:rPr>
        <w:t>Frequent and complex regulatory changes increase compliance costs and discourage cross-border investments, particularly for SMEs and mid-sized market participants.</w:t>
      </w:r>
    </w:p>
    <w:p w14:paraId="4DEA0D1E" w14:textId="77777777" w:rsidR="00504844" w:rsidRDefault="00504844" w:rsidP="00504844">
      <w:pPr>
        <w:numPr>
          <w:ilvl w:val="1"/>
          <w:numId w:val="1"/>
        </w:numPr>
        <w:rPr>
          <w:lang w:val="en-US"/>
        </w:rPr>
      </w:pPr>
      <w:r w:rsidRPr="0064769E">
        <w:rPr>
          <w:lang w:val="en-US"/>
        </w:rPr>
        <w:t>While harmonization is beneficial, regulatory requirements must remain proportionate to the size and complexity of financial actors to avoid overburdening smaller market players.</w:t>
      </w:r>
    </w:p>
    <w:p w14:paraId="270611BD" w14:textId="77777777" w:rsidR="00504844" w:rsidRPr="0064769E" w:rsidRDefault="00504844" w:rsidP="00504844">
      <w:pPr>
        <w:numPr>
          <w:ilvl w:val="1"/>
          <w:numId w:val="1"/>
        </w:numPr>
        <w:rPr>
          <w:lang w:val="en-US"/>
        </w:rPr>
      </w:pPr>
      <w:r>
        <w:rPr>
          <w:lang w:val="en-US"/>
        </w:rPr>
        <w:t>The increased burden of the regulation of financial markets in the EU since 2008 must be reviewed, coordinated and simplified. Principle based legislation should be considered.</w:t>
      </w:r>
    </w:p>
    <w:p w14:paraId="2EE35155" w14:textId="77777777" w:rsidR="00504844" w:rsidRPr="0064769E" w:rsidRDefault="00504844" w:rsidP="00504844">
      <w:pPr>
        <w:numPr>
          <w:ilvl w:val="0"/>
          <w:numId w:val="1"/>
        </w:numPr>
        <w:rPr>
          <w:lang w:val="en-US"/>
        </w:rPr>
      </w:pPr>
      <w:r w:rsidRPr="0064769E">
        <w:rPr>
          <w:b/>
          <w:bCs/>
          <w:lang w:val="en-US"/>
        </w:rPr>
        <w:t>Addressing the Cost of Public Listings for SMEs</w:t>
      </w:r>
    </w:p>
    <w:p w14:paraId="61B40344" w14:textId="77777777" w:rsidR="00504844" w:rsidRPr="0064769E" w:rsidRDefault="00504844" w:rsidP="00504844">
      <w:pPr>
        <w:numPr>
          <w:ilvl w:val="1"/>
          <w:numId w:val="1"/>
        </w:numPr>
        <w:rPr>
          <w:lang w:val="en-US"/>
        </w:rPr>
      </w:pPr>
      <w:r w:rsidRPr="0064769E">
        <w:rPr>
          <w:lang w:val="en-US"/>
        </w:rPr>
        <w:t>The cost and administrative burden of listing on public markets remain disproportionately high for SMEs, discouraging them from accessing capital through stock exchanges.</w:t>
      </w:r>
    </w:p>
    <w:p w14:paraId="51EE3C4A" w14:textId="77777777" w:rsidR="00504844" w:rsidRDefault="00504844" w:rsidP="00504844">
      <w:pPr>
        <w:numPr>
          <w:ilvl w:val="1"/>
          <w:numId w:val="1"/>
        </w:numPr>
        <w:rPr>
          <w:lang w:val="en-US"/>
        </w:rPr>
      </w:pPr>
      <w:r w:rsidRPr="0064769E">
        <w:rPr>
          <w:lang w:val="en-US"/>
        </w:rPr>
        <w:t>Introducing scaled regulatory requirements based on company size and risk profile could facilitate SME access to public funding while maintaining investor protection.</w:t>
      </w:r>
    </w:p>
    <w:p w14:paraId="3B8BD500" w14:textId="77777777" w:rsidR="00504844" w:rsidRPr="0064769E" w:rsidRDefault="00504844" w:rsidP="00504844">
      <w:pPr>
        <w:numPr>
          <w:ilvl w:val="0"/>
          <w:numId w:val="1"/>
        </w:numPr>
        <w:rPr>
          <w:lang w:val="en-US"/>
        </w:rPr>
      </w:pPr>
      <w:r w:rsidRPr="0064769E">
        <w:rPr>
          <w:b/>
          <w:bCs/>
          <w:lang w:val="en-US"/>
        </w:rPr>
        <w:t>Cross-Border Payment and Settlement Efficiency</w:t>
      </w:r>
    </w:p>
    <w:p w14:paraId="7E772CF9" w14:textId="77777777" w:rsidR="00504844" w:rsidRPr="0064769E" w:rsidRDefault="00504844" w:rsidP="00504844">
      <w:pPr>
        <w:numPr>
          <w:ilvl w:val="0"/>
          <w:numId w:val="4"/>
        </w:numPr>
        <w:rPr>
          <w:lang w:val="en-US"/>
        </w:rPr>
      </w:pPr>
      <w:r w:rsidRPr="0064769E">
        <w:rPr>
          <w:lang w:val="en-US"/>
        </w:rPr>
        <w:t>Differences in settlement cycles, payment processing, and clearing systems across EU markets increase friction in cross-border investments.</w:t>
      </w:r>
    </w:p>
    <w:p w14:paraId="3D0553B4" w14:textId="77777777" w:rsidR="00504844" w:rsidRPr="00FC1AAC" w:rsidRDefault="00504844" w:rsidP="00504844">
      <w:pPr>
        <w:numPr>
          <w:ilvl w:val="0"/>
          <w:numId w:val="4"/>
        </w:numPr>
        <w:rPr>
          <w:lang w:val="en-US"/>
        </w:rPr>
      </w:pPr>
      <w:r w:rsidRPr="0064769E">
        <w:rPr>
          <w:lang w:val="en-US"/>
        </w:rPr>
        <w:t>Further integration and enhancement of EU-wide financial infrastructure could reduce operational inefficiencies and transaction costs.</w:t>
      </w:r>
    </w:p>
    <w:p w14:paraId="1068F4FD" w14:textId="77777777" w:rsidR="00504844" w:rsidRDefault="00504844" w:rsidP="00504844">
      <w:pPr>
        <w:ind w:left="1440"/>
        <w:rPr>
          <w:rFonts w:cstheme="minorHAnsi"/>
          <w:lang w:val="en-US"/>
        </w:rPr>
      </w:pPr>
    </w:p>
    <w:p w14:paraId="258B4429" w14:textId="77777777" w:rsidR="00504844" w:rsidRPr="00695ECA" w:rsidRDefault="00504844" w:rsidP="00504844">
      <w:pPr>
        <w:ind w:left="1440"/>
        <w:rPr>
          <w:rFonts w:cstheme="minorHAnsi"/>
          <w:lang w:val="en-US"/>
        </w:rPr>
      </w:pPr>
    </w:p>
    <w:p w14:paraId="1FB9B4DA" w14:textId="77777777" w:rsidR="00504844" w:rsidRDefault="00504844">
      <w:pPr>
        <w:spacing w:after="200" w:line="276" w:lineRule="auto"/>
        <w:rPr>
          <w:rFonts w:cstheme="minorHAnsi"/>
          <w:b/>
          <w:bCs/>
          <w:lang w:val="en-US"/>
        </w:rPr>
      </w:pPr>
      <w:r>
        <w:rPr>
          <w:rFonts w:cstheme="minorHAnsi"/>
          <w:b/>
          <w:bCs/>
          <w:lang w:val="en-US"/>
        </w:rPr>
        <w:br w:type="page"/>
      </w:r>
    </w:p>
    <w:p w14:paraId="6AC29FD9" w14:textId="54CB8BA9" w:rsidR="00504844" w:rsidRPr="00695ECA" w:rsidRDefault="00504844" w:rsidP="00504844">
      <w:pPr>
        <w:rPr>
          <w:rFonts w:cstheme="minorHAnsi"/>
          <w:b/>
          <w:bCs/>
          <w:lang w:val="en-US"/>
        </w:rPr>
      </w:pPr>
      <w:r w:rsidRPr="00695ECA">
        <w:rPr>
          <w:rFonts w:cstheme="minorHAnsi"/>
          <w:b/>
          <w:bCs/>
          <w:lang w:val="en-US"/>
        </w:rPr>
        <w:lastRenderedPageBreak/>
        <w:t>Recommendations to Enhance Cross-Border Investment Flows:</w:t>
      </w:r>
    </w:p>
    <w:p w14:paraId="477B488F" w14:textId="77777777" w:rsidR="00504844" w:rsidRPr="00695ECA" w:rsidRDefault="00504844" w:rsidP="00504844">
      <w:pPr>
        <w:rPr>
          <w:rFonts w:cstheme="minorHAnsi"/>
          <w:lang w:val="en-US"/>
        </w:rPr>
      </w:pPr>
      <w:r w:rsidRPr="00695ECA">
        <w:rPr>
          <w:rFonts w:cstheme="minorHAnsi"/>
          <w:lang w:val="en-US"/>
        </w:rPr>
        <w:t>To facilitate improved cross-border investments within the EU, the following measures could be considered:</w:t>
      </w:r>
    </w:p>
    <w:p w14:paraId="5F9B7209" w14:textId="77777777" w:rsidR="00504844" w:rsidRPr="00695ECA" w:rsidRDefault="00504844" w:rsidP="00504844">
      <w:pPr>
        <w:numPr>
          <w:ilvl w:val="0"/>
          <w:numId w:val="2"/>
        </w:numPr>
        <w:rPr>
          <w:rFonts w:cstheme="minorHAnsi"/>
          <w:lang w:val="en-US"/>
        </w:rPr>
      </w:pPr>
      <w:r w:rsidRPr="00695ECA">
        <w:rPr>
          <w:rFonts w:cstheme="minorHAnsi"/>
          <w:b/>
          <w:bCs/>
          <w:lang w:val="en-US"/>
        </w:rPr>
        <w:t>Standardized language</w:t>
      </w:r>
      <w:r w:rsidRPr="00695ECA">
        <w:rPr>
          <w:rFonts w:cstheme="minorHAnsi"/>
          <w:lang w:val="en-US"/>
        </w:rPr>
        <w:t>: Mandatory financial reporting in English.</w:t>
      </w:r>
    </w:p>
    <w:p w14:paraId="6972A62C" w14:textId="77777777" w:rsidR="00504844" w:rsidRPr="00695ECA" w:rsidRDefault="00504844" w:rsidP="00504844">
      <w:pPr>
        <w:numPr>
          <w:ilvl w:val="0"/>
          <w:numId w:val="2"/>
        </w:numPr>
        <w:rPr>
          <w:rFonts w:cstheme="minorHAnsi"/>
          <w:lang w:val="en-US"/>
        </w:rPr>
      </w:pPr>
      <w:r w:rsidRPr="00695ECA">
        <w:rPr>
          <w:rFonts w:cstheme="minorHAnsi"/>
          <w:b/>
          <w:bCs/>
          <w:lang w:val="en-US"/>
        </w:rPr>
        <w:t>Harmonized accounting standards</w:t>
      </w:r>
      <w:r w:rsidRPr="00695ECA">
        <w:rPr>
          <w:rFonts w:cstheme="minorHAnsi"/>
          <w:lang w:val="en-US"/>
        </w:rPr>
        <w:t>: Consistent methodology across markets.</w:t>
      </w:r>
    </w:p>
    <w:p w14:paraId="6E5DDD31" w14:textId="77777777" w:rsidR="00504844" w:rsidRPr="00695ECA" w:rsidRDefault="00504844" w:rsidP="00504844">
      <w:pPr>
        <w:numPr>
          <w:ilvl w:val="0"/>
          <w:numId w:val="2"/>
        </w:numPr>
        <w:rPr>
          <w:rFonts w:cstheme="minorHAnsi"/>
          <w:lang w:val="en-US"/>
        </w:rPr>
      </w:pPr>
      <w:r w:rsidRPr="00695ECA">
        <w:rPr>
          <w:rFonts w:cstheme="minorHAnsi"/>
          <w:b/>
          <w:bCs/>
          <w:lang w:val="en-US"/>
        </w:rPr>
        <w:t>Uniform financial reporting practices</w:t>
      </w:r>
      <w:r w:rsidRPr="00695ECA">
        <w:rPr>
          <w:rFonts w:cstheme="minorHAnsi"/>
          <w:lang w:val="en-US"/>
        </w:rPr>
        <w:t>: Enhanced comparability of financial data.</w:t>
      </w:r>
    </w:p>
    <w:p w14:paraId="21FBA0A1" w14:textId="77777777" w:rsidR="00504844" w:rsidRPr="00695ECA" w:rsidRDefault="00504844" w:rsidP="00504844">
      <w:pPr>
        <w:numPr>
          <w:ilvl w:val="0"/>
          <w:numId w:val="2"/>
        </w:numPr>
        <w:rPr>
          <w:rFonts w:cstheme="minorHAnsi"/>
          <w:lang w:val="en-US"/>
        </w:rPr>
      </w:pPr>
      <w:r w:rsidRPr="00695ECA">
        <w:rPr>
          <w:rFonts w:cstheme="minorHAnsi"/>
          <w:b/>
          <w:bCs/>
          <w:lang w:val="en-US"/>
        </w:rPr>
        <w:t>Centralized access to information</w:t>
      </w:r>
      <w:r w:rsidRPr="00695ECA">
        <w:rPr>
          <w:rFonts w:cstheme="minorHAnsi"/>
          <w:lang w:val="en-US"/>
        </w:rPr>
        <w:t>: A single EU-wide website for financial disclosures.</w:t>
      </w:r>
    </w:p>
    <w:p w14:paraId="4D4E15D5" w14:textId="77777777" w:rsidR="00504844" w:rsidRPr="00695ECA" w:rsidRDefault="00504844" w:rsidP="00504844">
      <w:pPr>
        <w:numPr>
          <w:ilvl w:val="0"/>
          <w:numId w:val="2"/>
        </w:numPr>
        <w:rPr>
          <w:rFonts w:cstheme="minorHAnsi"/>
          <w:lang w:val="en-US"/>
        </w:rPr>
      </w:pPr>
      <w:r w:rsidRPr="00695ECA">
        <w:rPr>
          <w:rFonts w:cstheme="minorHAnsi"/>
          <w:b/>
          <w:bCs/>
          <w:lang w:val="en-US"/>
        </w:rPr>
        <w:t>Standardized IPO documentation and prospectus requirements</w:t>
      </w:r>
      <w:r w:rsidRPr="00695ECA">
        <w:rPr>
          <w:rFonts w:cstheme="minorHAnsi"/>
          <w:lang w:val="en-US"/>
        </w:rPr>
        <w:t>: Approval by national supervisory authorities with harmonized frameworks.</w:t>
      </w:r>
    </w:p>
    <w:p w14:paraId="47A861F2" w14:textId="77777777" w:rsidR="00504844" w:rsidRDefault="00504844" w:rsidP="00504844">
      <w:pPr>
        <w:numPr>
          <w:ilvl w:val="0"/>
          <w:numId w:val="2"/>
        </w:numPr>
        <w:rPr>
          <w:rFonts w:cstheme="minorHAnsi"/>
          <w:lang w:val="en-US"/>
        </w:rPr>
      </w:pPr>
      <w:r w:rsidRPr="00695ECA">
        <w:rPr>
          <w:rFonts w:cstheme="minorHAnsi"/>
          <w:b/>
          <w:bCs/>
          <w:lang w:val="en-US"/>
        </w:rPr>
        <w:t>Centralized prospectus repository</w:t>
      </w:r>
      <w:r w:rsidRPr="00695ECA">
        <w:rPr>
          <w:rFonts w:cstheme="minorHAnsi"/>
          <w:lang w:val="en-US"/>
        </w:rPr>
        <w:t>: A supra-national database for investors.</w:t>
      </w:r>
    </w:p>
    <w:p w14:paraId="21C26B64" w14:textId="036AA5B1" w:rsidR="00504844" w:rsidRDefault="00FB07D1" w:rsidP="00504844">
      <w:pPr>
        <w:rPr>
          <w:rFonts w:cstheme="minorHAnsi"/>
          <w:lang w:val="en-US"/>
        </w:rPr>
      </w:pPr>
      <w:r>
        <w:rPr>
          <w:rFonts w:cstheme="minorHAnsi"/>
          <w:lang w:val="en-US"/>
        </w:rPr>
        <w:t>The EU initia</w:t>
      </w:r>
      <w:r w:rsidR="006F2229">
        <w:rPr>
          <w:rFonts w:cstheme="minorHAnsi"/>
          <w:lang w:val="en-US"/>
        </w:rPr>
        <w:t xml:space="preserve">tives on ESAP, Prospectus Directive and Listing Act are sensible moves in the right direction. </w:t>
      </w:r>
      <w:r w:rsidR="00EB74A9">
        <w:rPr>
          <w:rFonts w:cstheme="minorHAnsi"/>
          <w:lang w:val="en-US"/>
        </w:rPr>
        <w:t>The proposed Consolidated Tape initiative</w:t>
      </w:r>
      <w:r w:rsidR="00AF3F0F">
        <w:rPr>
          <w:rFonts w:cstheme="minorHAnsi"/>
          <w:lang w:val="en-US"/>
        </w:rPr>
        <w:t xml:space="preserve"> </w:t>
      </w:r>
      <w:r w:rsidR="00053657">
        <w:rPr>
          <w:rFonts w:cstheme="minorHAnsi"/>
          <w:lang w:val="en-US"/>
        </w:rPr>
        <w:t>should be reconsidered with an aim to be dis</w:t>
      </w:r>
      <w:r w:rsidR="00503C0A">
        <w:rPr>
          <w:rFonts w:cstheme="minorHAnsi"/>
          <w:lang w:val="en-US"/>
        </w:rPr>
        <w:t xml:space="preserve">continued. </w:t>
      </w:r>
    </w:p>
    <w:p w14:paraId="3A9E9313" w14:textId="77777777" w:rsidR="00504844" w:rsidRPr="00695ECA" w:rsidRDefault="00504844" w:rsidP="00504844">
      <w:pPr>
        <w:rPr>
          <w:rFonts w:cstheme="minorHAnsi"/>
          <w:lang w:val="en-US"/>
        </w:rPr>
      </w:pPr>
    </w:p>
    <w:p w14:paraId="707D1F22" w14:textId="77777777" w:rsidR="00504844" w:rsidRPr="00695ECA" w:rsidRDefault="00504844" w:rsidP="00504844">
      <w:pPr>
        <w:rPr>
          <w:rFonts w:cstheme="minorHAnsi"/>
          <w:b/>
          <w:bCs/>
          <w:lang w:val="en-US"/>
        </w:rPr>
      </w:pPr>
      <w:r w:rsidRPr="00695ECA">
        <w:rPr>
          <w:rFonts w:cstheme="minorHAnsi"/>
          <w:b/>
          <w:bCs/>
          <w:lang w:val="en-US"/>
        </w:rPr>
        <w:t>Characteristics of Small-Cap Investing:</w:t>
      </w:r>
    </w:p>
    <w:p w14:paraId="0B205663" w14:textId="77777777" w:rsidR="00504844" w:rsidRPr="00695ECA" w:rsidRDefault="00504844" w:rsidP="00504844">
      <w:pPr>
        <w:numPr>
          <w:ilvl w:val="0"/>
          <w:numId w:val="3"/>
        </w:numPr>
        <w:rPr>
          <w:rFonts w:cstheme="minorHAnsi"/>
        </w:rPr>
      </w:pPr>
      <w:proofErr w:type="spellStart"/>
      <w:r w:rsidRPr="00695ECA">
        <w:rPr>
          <w:rFonts w:cstheme="minorHAnsi"/>
          <w:b/>
          <w:bCs/>
        </w:rPr>
        <w:t>Low</w:t>
      </w:r>
      <w:proofErr w:type="spellEnd"/>
      <w:r w:rsidRPr="00695ECA">
        <w:rPr>
          <w:rFonts w:cstheme="minorHAnsi"/>
          <w:b/>
          <w:bCs/>
        </w:rPr>
        <w:t xml:space="preserve"> </w:t>
      </w:r>
      <w:proofErr w:type="spellStart"/>
      <w:r w:rsidRPr="00695ECA">
        <w:rPr>
          <w:rFonts w:cstheme="minorHAnsi"/>
          <w:b/>
          <w:bCs/>
        </w:rPr>
        <w:t>Liquidity</w:t>
      </w:r>
      <w:proofErr w:type="spellEnd"/>
    </w:p>
    <w:p w14:paraId="729ED154" w14:textId="77777777" w:rsidR="00504844" w:rsidRPr="00695ECA" w:rsidRDefault="00504844" w:rsidP="00504844">
      <w:pPr>
        <w:numPr>
          <w:ilvl w:val="1"/>
          <w:numId w:val="3"/>
        </w:numPr>
        <w:rPr>
          <w:rFonts w:cstheme="minorHAnsi"/>
          <w:lang w:val="en-US"/>
        </w:rPr>
      </w:pPr>
      <w:r w:rsidRPr="00695ECA">
        <w:rPr>
          <w:rFonts w:cstheme="minorHAnsi"/>
          <w:lang w:val="en-US"/>
        </w:rPr>
        <w:t>SME stocks are inherently illiquid, limiting investment by large asset managers due to ownership constraints.</w:t>
      </w:r>
    </w:p>
    <w:p w14:paraId="51D17AA7" w14:textId="77777777" w:rsidR="00504844" w:rsidRPr="00695ECA" w:rsidRDefault="00504844" w:rsidP="00504844">
      <w:pPr>
        <w:numPr>
          <w:ilvl w:val="1"/>
          <w:numId w:val="3"/>
        </w:numPr>
        <w:rPr>
          <w:rFonts w:cstheme="minorHAnsi"/>
          <w:lang w:val="en-US"/>
        </w:rPr>
      </w:pPr>
      <w:r w:rsidRPr="00695ECA">
        <w:rPr>
          <w:rFonts w:cstheme="minorHAnsi"/>
          <w:lang w:val="en-US"/>
        </w:rPr>
        <w:t>Many SMEs have concentrated ownership structures, with significant founder or local shareholder control, further reducing free float.</w:t>
      </w:r>
    </w:p>
    <w:p w14:paraId="6C5B2B50" w14:textId="77777777" w:rsidR="00504844" w:rsidRPr="00695ECA" w:rsidRDefault="00504844" w:rsidP="00504844">
      <w:pPr>
        <w:numPr>
          <w:ilvl w:val="0"/>
          <w:numId w:val="3"/>
        </w:numPr>
        <w:rPr>
          <w:rFonts w:cstheme="minorHAnsi"/>
        </w:rPr>
      </w:pPr>
      <w:r w:rsidRPr="00695ECA">
        <w:rPr>
          <w:rFonts w:cstheme="minorHAnsi"/>
          <w:b/>
          <w:bCs/>
        </w:rPr>
        <w:t xml:space="preserve">Limited </w:t>
      </w:r>
      <w:proofErr w:type="spellStart"/>
      <w:r w:rsidRPr="00695ECA">
        <w:rPr>
          <w:rFonts w:cstheme="minorHAnsi"/>
          <w:b/>
          <w:bCs/>
        </w:rPr>
        <w:t>Analyst</w:t>
      </w:r>
      <w:proofErr w:type="spellEnd"/>
      <w:r w:rsidRPr="00695ECA">
        <w:rPr>
          <w:rFonts w:cstheme="minorHAnsi"/>
          <w:b/>
          <w:bCs/>
        </w:rPr>
        <w:t xml:space="preserve"> </w:t>
      </w:r>
      <w:proofErr w:type="spellStart"/>
      <w:r w:rsidRPr="00695ECA">
        <w:rPr>
          <w:rFonts w:cstheme="minorHAnsi"/>
          <w:b/>
          <w:bCs/>
        </w:rPr>
        <w:t>Coverage</w:t>
      </w:r>
      <w:proofErr w:type="spellEnd"/>
    </w:p>
    <w:p w14:paraId="00998351" w14:textId="77777777" w:rsidR="00504844" w:rsidRPr="00695ECA" w:rsidRDefault="00504844" w:rsidP="00504844">
      <w:pPr>
        <w:numPr>
          <w:ilvl w:val="1"/>
          <w:numId w:val="3"/>
        </w:numPr>
        <w:rPr>
          <w:rFonts w:cstheme="minorHAnsi"/>
          <w:lang w:val="en-US"/>
        </w:rPr>
      </w:pPr>
      <w:r w:rsidRPr="00695ECA">
        <w:rPr>
          <w:rFonts w:cstheme="minorHAnsi"/>
          <w:lang w:val="en-US"/>
        </w:rPr>
        <w:t>Small and illiquid securities are not commercially viable for investment banks to cover.</w:t>
      </w:r>
    </w:p>
    <w:p w14:paraId="1C4F7998" w14:textId="77777777" w:rsidR="00504844" w:rsidRPr="00695ECA" w:rsidRDefault="00504844" w:rsidP="00504844">
      <w:pPr>
        <w:numPr>
          <w:ilvl w:val="1"/>
          <w:numId w:val="3"/>
        </w:numPr>
        <w:rPr>
          <w:rFonts w:cstheme="minorHAnsi"/>
          <w:lang w:val="en-US"/>
        </w:rPr>
      </w:pPr>
      <w:r w:rsidRPr="00695ECA">
        <w:rPr>
          <w:rFonts w:cstheme="minorHAnsi"/>
          <w:lang w:val="en-US"/>
        </w:rPr>
        <w:t>There is minimal, if any, research coverage for listed companies with a market capitalization below EUR 200 million.</w:t>
      </w:r>
    </w:p>
    <w:p w14:paraId="2FF8746B" w14:textId="77777777" w:rsidR="00504844" w:rsidRPr="00695ECA" w:rsidRDefault="00504844" w:rsidP="00504844">
      <w:pPr>
        <w:numPr>
          <w:ilvl w:val="0"/>
          <w:numId w:val="3"/>
        </w:numPr>
        <w:rPr>
          <w:rFonts w:cstheme="minorHAnsi"/>
        </w:rPr>
      </w:pPr>
      <w:proofErr w:type="spellStart"/>
      <w:r w:rsidRPr="00695ECA">
        <w:rPr>
          <w:rFonts w:cstheme="minorHAnsi"/>
          <w:b/>
          <w:bCs/>
        </w:rPr>
        <w:t>Lack</w:t>
      </w:r>
      <w:proofErr w:type="spellEnd"/>
      <w:r w:rsidRPr="00695ECA">
        <w:rPr>
          <w:rFonts w:cstheme="minorHAnsi"/>
          <w:b/>
          <w:bCs/>
        </w:rPr>
        <w:t xml:space="preserve"> </w:t>
      </w:r>
      <w:proofErr w:type="spellStart"/>
      <w:r w:rsidRPr="00695ECA">
        <w:rPr>
          <w:rFonts w:cstheme="minorHAnsi"/>
          <w:b/>
          <w:bCs/>
        </w:rPr>
        <w:t>of</w:t>
      </w:r>
      <w:proofErr w:type="spellEnd"/>
      <w:r w:rsidRPr="00695ECA">
        <w:rPr>
          <w:rFonts w:cstheme="minorHAnsi"/>
          <w:b/>
          <w:bCs/>
        </w:rPr>
        <w:t xml:space="preserve"> Media </w:t>
      </w:r>
      <w:proofErr w:type="spellStart"/>
      <w:r w:rsidRPr="00695ECA">
        <w:rPr>
          <w:rFonts w:cstheme="minorHAnsi"/>
          <w:b/>
          <w:bCs/>
        </w:rPr>
        <w:t>Exposure</w:t>
      </w:r>
      <w:proofErr w:type="spellEnd"/>
    </w:p>
    <w:p w14:paraId="6996F4B0" w14:textId="77777777" w:rsidR="00504844" w:rsidRPr="00695ECA" w:rsidRDefault="00504844" w:rsidP="00504844">
      <w:pPr>
        <w:numPr>
          <w:ilvl w:val="1"/>
          <w:numId w:val="3"/>
        </w:numPr>
        <w:rPr>
          <w:rFonts w:cstheme="minorHAnsi"/>
          <w:lang w:val="en-US"/>
        </w:rPr>
      </w:pPr>
      <w:r w:rsidRPr="00695ECA">
        <w:rPr>
          <w:rFonts w:cstheme="minorHAnsi"/>
          <w:lang w:val="en-US"/>
        </w:rPr>
        <w:t>Smaller companies attract little mainstream media attention, with news flows primarily localized.</w:t>
      </w:r>
    </w:p>
    <w:p w14:paraId="5F35F4E4" w14:textId="77777777" w:rsidR="00504844" w:rsidRPr="00695ECA" w:rsidRDefault="00504844" w:rsidP="00504844">
      <w:pPr>
        <w:numPr>
          <w:ilvl w:val="1"/>
          <w:numId w:val="3"/>
        </w:numPr>
        <w:rPr>
          <w:rFonts w:cstheme="minorHAnsi"/>
          <w:lang w:val="en-US"/>
        </w:rPr>
      </w:pPr>
      <w:r w:rsidRPr="00695ECA">
        <w:rPr>
          <w:rFonts w:cstheme="minorHAnsi"/>
          <w:lang w:val="en-US"/>
        </w:rPr>
        <w:t>I</w:t>
      </w:r>
      <w:r>
        <w:rPr>
          <w:rFonts w:cstheme="minorHAnsi"/>
          <w:lang w:val="en-US"/>
        </w:rPr>
        <w:t>nternational i</w:t>
      </w:r>
      <w:r w:rsidRPr="00695ECA">
        <w:rPr>
          <w:rFonts w:cstheme="minorHAnsi"/>
          <w:lang w:val="en-US"/>
        </w:rPr>
        <w:t>nvestors often perceive an information disadvantage relative to local market participants.</w:t>
      </w:r>
    </w:p>
    <w:p w14:paraId="3400B508" w14:textId="77777777" w:rsidR="00504844" w:rsidRPr="00695ECA" w:rsidRDefault="00504844" w:rsidP="00504844">
      <w:pPr>
        <w:numPr>
          <w:ilvl w:val="0"/>
          <w:numId w:val="3"/>
        </w:numPr>
        <w:rPr>
          <w:rFonts w:cstheme="minorHAnsi"/>
        </w:rPr>
      </w:pPr>
      <w:r w:rsidRPr="00695ECA">
        <w:rPr>
          <w:rFonts w:cstheme="minorHAnsi"/>
          <w:b/>
          <w:bCs/>
        </w:rPr>
        <w:t xml:space="preserve">Divergent </w:t>
      </w:r>
      <w:proofErr w:type="spellStart"/>
      <w:r w:rsidRPr="00695ECA">
        <w:rPr>
          <w:rFonts w:cstheme="minorHAnsi"/>
          <w:b/>
          <w:bCs/>
        </w:rPr>
        <w:t>Taxation</w:t>
      </w:r>
      <w:proofErr w:type="spellEnd"/>
      <w:r w:rsidRPr="00695ECA">
        <w:rPr>
          <w:rFonts w:cstheme="minorHAnsi"/>
          <w:b/>
          <w:bCs/>
        </w:rPr>
        <w:t xml:space="preserve"> </w:t>
      </w:r>
      <w:proofErr w:type="spellStart"/>
      <w:r w:rsidRPr="00695ECA">
        <w:rPr>
          <w:rFonts w:cstheme="minorHAnsi"/>
          <w:b/>
          <w:bCs/>
        </w:rPr>
        <w:t>Policies</w:t>
      </w:r>
      <w:proofErr w:type="spellEnd"/>
    </w:p>
    <w:p w14:paraId="1A2DC475" w14:textId="77777777" w:rsidR="00504844" w:rsidRPr="00695ECA" w:rsidRDefault="00504844" w:rsidP="00504844">
      <w:pPr>
        <w:numPr>
          <w:ilvl w:val="1"/>
          <w:numId w:val="3"/>
        </w:numPr>
        <w:rPr>
          <w:rFonts w:cstheme="minorHAnsi"/>
          <w:lang w:val="en-US"/>
        </w:rPr>
      </w:pPr>
      <w:r w:rsidRPr="00695ECA">
        <w:rPr>
          <w:rFonts w:cstheme="minorHAnsi"/>
          <w:lang w:val="en-US"/>
        </w:rPr>
        <w:t>Capital gains taxation varies across jurisdictions, and double taxation remains a significant barrier to cross-border investments.</w:t>
      </w:r>
    </w:p>
    <w:p w14:paraId="68D67A18" w14:textId="77777777" w:rsidR="00504844" w:rsidRPr="00695ECA" w:rsidRDefault="00504844" w:rsidP="00504844">
      <w:pPr>
        <w:numPr>
          <w:ilvl w:val="0"/>
          <w:numId w:val="3"/>
        </w:numPr>
        <w:rPr>
          <w:rFonts w:cstheme="minorHAnsi"/>
        </w:rPr>
      </w:pPr>
      <w:proofErr w:type="spellStart"/>
      <w:r w:rsidRPr="00695ECA">
        <w:rPr>
          <w:rFonts w:cstheme="minorHAnsi"/>
          <w:b/>
          <w:bCs/>
        </w:rPr>
        <w:t>Predominantly</w:t>
      </w:r>
      <w:proofErr w:type="spellEnd"/>
      <w:r w:rsidRPr="00695ECA">
        <w:rPr>
          <w:rFonts w:cstheme="minorHAnsi"/>
          <w:b/>
          <w:bCs/>
        </w:rPr>
        <w:t xml:space="preserve"> </w:t>
      </w:r>
      <w:proofErr w:type="spellStart"/>
      <w:r w:rsidRPr="00695ECA">
        <w:rPr>
          <w:rFonts w:cstheme="minorHAnsi"/>
          <w:b/>
          <w:bCs/>
        </w:rPr>
        <w:t>Local</w:t>
      </w:r>
      <w:proofErr w:type="spellEnd"/>
      <w:r w:rsidRPr="00695ECA">
        <w:rPr>
          <w:rFonts w:cstheme="minorHAnsi"/>
          <w:b/>
          <w:bCs/>
        </w:rPr>
        <w:t xml:space="preserve"> </w:t>
      </w:r>
      <w:proofErr w:type="spellStart"/>
      <w:r w:rsidRPr="00695ECA">
        <w:rPr>
          <w:rFonts w:cstheme="minorHAnsi"/>
          <w:b/>
          <w:bCs/>
        </w:rPr>
        <w:t>Funding</w:t>
      </w:r>
      <w:proofErr w:type="spellEnd"/>
    </w:p>
    <w:p w14:paraId="0716D066" w14:textId="77777777" w:rsidR="00504844" w:rsidRPr="00695ECA" w:rsidRDefault="00504844" w:rsidP="00504844">
      <w:pPr>
        <w:numPr>
          <w:ilvl w:val="1"/>
          <w:numId w:val="3"/>
        </w:numPr>
        <w:rPr>
          <w:rFonts w:cstheme="minorHAnsi"/>
          <w:lang w:val="en-US"/>
        </w:rPr>
      </w:pPr>
      <w:r w:rsidRPr="00695ECA">
        <w:rPr>
          <w:rFonts w:cstheme="minorHAnsi"/>
          <w:lang w:val="en-US"/>
        </w:rPr>
        <w:t>SME financing is largely regional due to the above-mentioned factors.</w:t>
      </w:r>
    </w:p>
    <w:p w14:paraId="11459F31" w14:textId="77777777" w:rsidR="00504844" w:rsidRPr="00695ECA" w:rsidRDefault="00504844" w:rsidP="00504844">
      <w:pPr>
        <w:numPr>
          <w:ilvl w:val="1"/>
          <w:numId w:val="3"/>
        </w:numPr>
        <w:rPr>
          <w:rFonts w:cstheme="minorHAnsi"/>
          <w:lang w:val="en-US"/>
        </w:rPr>
      </w:pPr>
      <w:r w:rsidRPr="00695ECA">
        <w:rPr>
          <w:rFonts w:cstheme="minorHAnsi"/>
          <w:lang w:val="en-US"/>
        </w:rPr>
        <w:lastRenderedPageBreak/>
        <w:t>Home bias remains prevalent across Europe, making national and local SME investment markets the norm rather than the exception.</w:t>
      </w:r>
    </w:p>
    <w:p w14:paraId="36F8CEE0" w14:textId="77777777" w:rsidR="00504844" w:rsidRPr="00695ECA" w:rsidRDefault="00504844" w:rsidP="00504844">
      <w:pPr>
        <w:numPr>
          <w:ilvl w:val="1"/>
          <w:numId w:val="3"/>
        </w:numPr>
        <w:rPr>
          <w:rFonts w:cstheme="minorHAnsi"/>
          <w:lang w:val="en-US"/>
        </w:rPr>
      </w:pPr>
      <w:r w:rsidRPr="00695ECA">
        <w:rPr>
          <w:rFonts w:cstheme="minorHAnsi"/>
          <w:lang w:val="en-US"/>
        </w:rPr>
        <w:t>Even in the Nordics, where there is a relatively uniform financial infrastructure (language, reporting, taxation, trading platforms), SME funding remains largely domestic.</w:t>
      </w:r>
    </w:p>
    <w:p w14:paraId="02254A6F" w14:textId="77777777" w:rsidR="00504844" w:rsidRPr="00695ECA" w:rsidRDefault="00504844" w:rsidP="00504844">
      <w:pPr>
        <w:numPr>
          <w:ilvl w:val="1"/>
          <w:numId w:val="3"/>
        </w:numPr>
        <w:rPr>
          <w:rFonts w:cstheme="minorHAnsi"/>
          <w:lang w:val="en-US"/>
        </w:rPr>
      </w:pPr>
      <w:r w:rsidRPr="00695ECA">
        <w:rPr>
          <w:rFonts w:cstheme="minorHAnsi"/>
          <w:lang w:val="en-US"/>
        </w:rPr>
        <w:t>Norway’s high level of international participation in capital markets is primarily attributable to its energy sector assets rather than general cross-border SME investment.</w:t>
      </w:r>
    </w:p>
    <w:p w14:paraId="65DA19B1" w14:textId="77777777" w:rsidR="00504844" w:rsidRDefault="00504844" w:rsidP="00504844">
      <w:pPr>
        <w:rPr>
          <w:rFonts w:cstheme="minorHAnsi"/>
          <w:b/>
          <w:bCs/>
          <w:lang w:val="en-US"/>
        </w:rPr>
      </w:pPr>
    </w:p>
    <w:p w14:paraId="7B188027" w14:textId="77777777" w:rsidR="00504844" w:rsidRPr="00695ECA" w:rsidRDefault="00504844" w:rsidP="00504844">
      <w:pPr>
        <w:rPr>
          <w:rFonts w:cstheme="minorHAnsi"/>
          <w:b/>
          <w:bCs/>
          <w:lang w:val="en-US"/>
        </w:rPr>
      </w:pPr>
      <w:r w:rsidRPr="00695ECA">
        <w:rPr>
          <w:rFonts w:cstheme="minorHAnsi"/>
          <w:b/>
          <w:bCs/>
          <w:lang w:val="en-US"/>
        </w:rPr>
        <w:t>Conclusion:</w:t>
      </w:r>
    </w:p>
    <w:p w14:paraId="17785439" w14:textId="7D7F9202" w:rsidR="00504844" w:rsidRPr="00504844" w:rsidRDefault="00504844" w:rsidP="00504844">
      <w:pPr>
        <w:rPr>
          <w:lang w:val="en-US"/>
        </w:rPr>
      </w:pPr>
      <w:r w:rsidRPr="00695ECA">
        <w:rPr>
          <w:rFonts w:cstheme="minorHAnsi"/>
          <w:lang w:val="en-US"/>
        </w:rPr>
        <w:t>The Norwegian Securities Dealers Association emphasizes that EU capital market development must acknowledge national financial ecosystems' unique characteristics. While harmonization efforts are valuable in reducing barriers, fostering a thriving SME financing environment requires a bottom-up approach that prioritizes local ecosystem development over top-down centralization. Policymakers should focus on international best practice comparisons, regulatory competitiveness, and measures that facilitate—rather than mandate—cross-b</w:t>
      </w:r>
      <w:r w:rsidR="003D203F">
        <w:rPr>
          <w:rFonts w:cstheme="minorHAnsi"/>
          <w:lang w:val="en-US"/>
        </w:rPr>
        <w:t>order investment flows.</w:t>
      </w:r>
    </w:p>
    <w:p w14:paraId="5423E6D6" w14:textId="77777777" w:rsidR="00433105" w:rsidRPr="00504844" w:rsidRDefault="00433105" w:rsidP="00816DE0">
      <w:pPr>
        <w:rPr>
          <w:rFonts w:ascii="Arial" w:hAnsi="Arial" w:cs="Arial"/>
          <w:b/>
          <w:sz w:val="28"/>
          <w:szCs w:val="28"/>
          <w:lang w:val="en-US"/>
        </w:rPr>
      </w:pPr>
    </w:p>
    <w:p w14:paraId="005B7B3C" w14:textId="77777777" w:rsidR="00433105" w:rsidRPr="00504844" w:rsidRDefault="00433105" w:rsidP="00816DE0">
      <w:pPr>
        <w:rPr>
          <w:rFonts w:ascii="Arial" w:hAnsi="Arial" w:cs="Arial"/>
          <w:b/>
          <w:sz w:val="28"/>
          <w:szCs w:val="28"/>
          <w:lang w:val="en-US"/>
        </w:rPr>
      </w:pPr>
    </w:p>
    <w:p w14:paraId="509357F4" w14:textId="77777777" w:rsidR="00E3794F" w:rsidRPr="00504844" w:rsidRDefault="00E3794F" w:rsidP="00816DE0">
      <w:pPr>
        <w:rPr>
          <w:rFonts w:ascii="Arial" w:hAnsi="Arial" w:cs="Arial"/>
          <w:b/>
          <w:sz w:val="28"/>
          <w:szCs w:val="28"/>
          <w:lang w:val="en-US"/>
        </w:rPr>
      </w:pPr>
    </w:p>
    <w:p w14:paraId="3FA21D75" w14:textId="77777777" w:rsidR="00E3794F" w:rsidRPr="00504844" w:rsidRDefault="00E3794F" w:rsidP="00816DE0">
      <w:pPr>
        <w:rPr>
          <w:rFonts w:ascii="Arial" w:hAnsi="Arial" w:cs="Arial"/>
          <w:b/>
          <w:sz w:val="28"/>
          <w:szCs w:val="28"/>
          <w:lang w:val="en-US"/>
        </w:rPr>
      </w:pPr>
    </w:p>
    <w:p w14:paraId="4950F65B" w14:textId="77777777" w:rsidR="00E3794F" w:rsidRPr="00504844" w:rsidRDefault="00E3794F" w:rsidP="00816DE0">
      <w:pPr>
        <w:rPr>
          <w:rFonts w:ascii="Arial" w:hAnsi="Arial" w:cs="Arial"/>
          <w:b/>
          <w:sz w:val="28"/>
          <w:szCs w:val="28"/>
          <w:lang w:val="en-US"/>
        </w:rPr>
      </w:pPr>
    </w:p>
    <w:p w14:paraId="4207EDA1" w14:textId="77777777" w:rsidR="00E3794F" w:rsidRPr="00504844" w:rsidRDefault="00E3794F" w:rsidP="00816DE0">
      <w:pPr>
        <w:rPr>
          <w:rFonts w:ascii="Arial" w:hAnsi="Arial" w:cs="Arial"/>
          <w:b/>
          <w:sz w:val="28"/>
          <w:szCs w:val="28"/>
          <w:lang w:val="en-US"/>
        </w:rPr>
      </w:pPr>
    </w:p>
    <w:p w14:paraId="45341AE5" w14:textId="77777777" w:rsidR="00E3794F" w:rsidRPr="00504844" w:rsidRDefault="00E3794F" w:rsidP="00816DE0">
      <w:pPr>
        <w:rPr>
          <w:rFonts w:ascii="Arial" w:hAnsi="Arial" w:cs="Arial"/>
          <w:b/>
          <w:sz w:val="28"/>
          <w:szCs w:val="28"/>
          <w:lang w:val="en-US"/>
        </w:rPr>
      </w:pPr>
    </w:p>
    <w:p w14:paraId="7AF8A21F" w14:textId="77777777" w:rsidR="00E3794F" w:rsidRPr="00504844" w:rsidRDefault="00E3794F" w:rsidP="00816DE0">
      <w:pPr>
        <w:rPr>
          <w:rFonts w:ascii="Arial" w:hAnsi="Arial" w:cs="Arial"/>
          <w:b/>
          <w:sz w:val="28"/>
          <w:szCs w:val="28"/>
          <w:lang w:val="en-US"/>
        </w:rPr>
      </w:pPr>
    </w:p>
    <w:p w14:paraId="2F7084C9" w14:textId="77777777" w:rsidR="00E3794F" w:rsidRPr="00504844" w:rsidRDefault="00E3794F" w:rsidP="00816DE0">
      <w:pPr>
        <w:rPr>
          <w:rFonts w:ascii="Arial" w:hAnsi="Arial" w:cs="Arial"/>
          <w:b/>
          <w:sz w:val="28"/>
          <w:szCs w:val="28"/>
          <w:lang w:val="en-US"/>
        </w:rPr>
      </w:pPr>
    </w:p>
    <w:p w14:paraId="0AA2E0E0" w14:textId="77777777" w:rsidR="00E3794F" w:rsidRPr="00504844" w:rsidRDefault="00E3794F" w:rsidP="00816DE0">
      <w:pPr>
        <w:rPr>
          <w:rFonts w:ascii="Arial" w:hAnsi="Arial" w:cs="Arial"/>
          <w:b/>
          <w:sz w:val="28"/>
          <w:szCs w:val="28"/>
          <w:lang w:val="en-US"/>
        </w:rPr>
      </w:pPr>
    </w:p>
    <w:p w14:paraId="25999A4A" w14:textId="77777777" w:rsidR="00E3794F" w:rsidRPr="00504844" w:rsidRDefault="00E3794F" w:rsidP="00816DE0">
      <w:pPr>
        <w:rPr>
          <w:rFonts w:ascii="Arial" w:hAnsi="Arial" w:cs="Arial"/>
          <w:b/>
          <w:sz w:val="28"/>
          <w:szCs w:val="28"/>
          <w:lang w:val="en-US"/>
        </w:rPr>
      </w:pPr>
    </w:p>
    <w:p w14:paraId="10C0C31B" w14:textId="77777777" w:rsidR="00E3794F" w:rsidRPr="00504844" w:rsidRDefault="00E3794F" w:rsidP="00816DE0">
      <w:pPr>
        <w:rPr>
          <w:rFonts w:ascii="Arial" w:hAnsi="Arial" w:cs="Arial"/>
          <w:b/>
          <w:sz w:val="28"/>
          <w:szCs w:val="28"/>
          <w:lang w:val="en-US"/>
        </w:rPr>
      </w:pPr>
    </w:p>
    <w:p w14:paraId="4E099B74" w14:textId="77777777" w:rsidR="00E3794F" w:rsidRPr="00504844" w:rsidRDefault="00E3794F" w:rsidP="00816DE0">
      <w:pPr>
        <w:rPr>
          <w:rFonts w:ascii="Arial" w:hAnsi="Arial" w:cs="Arial"/>
          <w:b/>
          <w:sz w:val="28"/>
          <w:szCs w:val="28"/>
          <w:lang w:val="en-US"/>
        </w:rPr>
      </w:pPr>
    </w:p>
    <w:p w14:paraId="619D9744" w14:textId="77777777" w:rsidR="00E3794F" w:rsidRPr="00504844" w:rsidRDefault="00E3794F" w:rsidP="00816DE0">
      <w:pPr>
        <w:rPr>
          <w:rFonts w:ascii="Arial" w:hAnsi="Arial" w:cs="Arial"/>
          <w:b/>
          <w:sz w:val="28"/>
          <w:szCs w:val="28"/>
          <w:lang w:val="en-US"/>
        </w:rPr>
      </w:pPr>
    </w:p>
    <w:p w14:paraId="59952DC5" w14:textId="77777777" w:rsidR="00E3794F" w:rsidRPr="00504844" w:rsidRDefault="00E3794F" w:rsidP="00816DE0">
      <w:pPr>
        <w:rPr>
          <w:rFonts w:ascii="Arial" w:hAnsi="Arial" w:cs="Arial"/>
          <w:b/>
          <w:sz w:val="28"/>
          <w:szCs w:val="28"/>
          <w:lang w:val="en-US"/>
        </w:rPr>
      </w:pPr>
    </w:p>
    <w:p w14:paraId="51C2DF1F" w14:textId="77777777" w:rsidR="00E3794F" w:rsidRPr="00504844" w:rsidRDefault="00E3794F" w:rsidP="00433105">
      <w:pPr>
        <w:rPr>
          <w:rFonts w:ascii="Arial" w:hAnsi="Arial" w:cs="Arial"/>
          <w:b/>
          <w:sz w:val="28"/>
          <w:szCs w:val="28"/>
          <w:lang w:val="en-US"/>
        </w:rPr>
      </w:pPr>
    </w:p>
    <w:sectPr w:rsidR="00E3794F" w:rsidRPr="00504844" w:rsidSect="00E3794F">
      <w:headerReference w:type="even" r:id="rId11"/>
      <w:headerReference w:type="default" r:id="rId12"/>
      <w:footerReference w:type="even" r:id="rId13"/>
      <w:footerReference w:type="default" r:id="rId14"/>
      <w:headerReference w:type="first" r:id="rId15"/>
      <w:footerReference w:type="first" r:id="rId16"/>
      <w:pgSz w:w="11906" w:h="16838"/>
      <w:pgMar w:top="1117" w:right="1700" w:bottom="1417" w:left="1134"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053B" w14:textId="77777777" w:rsidR="00A63D81" w:rsidRDefault="00A63D81" w:rsidP="00A647E6">
      <w:pPr>
        <w:spacing w:after="0" w:line="240" w:lineRule="auto"/>
      </w:pPr>
      <w:r>
        <w:separator/>
      </w:r>
    </w:p>
  </w:endnote>
  <w:endnote w:type="continuationSeparator" w:id="0">
    <w:p w14:paraId="7A289277" w14:textId="77777777" w:rsidR="00A63D81" w:rsidRDefault="00A63D81" w:rsidP="00A64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AA8A" w14:textId="77777777" w:rsidR="005C515C" w:rsidRDefault="005C515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843" w:type="dxa"/>
      <w:tblInd w:w="7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433105" w14:paraId="122F0B44" w14:textId="77777777" w:rsidTr="00E3794F">
      <w:trPr>
        <w:trHeight w:val="73"/>
      </w:trPr>
      <w:tc>
        <w:tcPr>
          <w:tcW w:w="1843" w:type="dxa"/>
        </w:tcPr>
        <w:p w14:paraId="5629870E" w14:textId="77777777" w:rsidR="00433105" w:rsidRPr="009C4F5E" w:rsidRDefault="00433105" w:rsidP="00433105">
          <w:pPr>
            <w:pStyle w:val="Topptekst"/>
            <w:tabs>
              <w:tab w:val="clear" w:pos="4536"/>
              <w:tab w:val="clear" w:pos="9072"/>
              <w:tab w:val="left" w:pos="4820"/>
              <w:tab w:val="left" w:pos="5543"/>
              <w:tab w:val="center" w:pos="7513"/>
              <w:tab w:val="left" w:pos="8482"/>
            </w:tabs>
            <w:ind w:right="-851"/>
            <w:rPr>
              <w:color w:val="7F7F7F" w:themeColor="text1" w:themeTint="80"/>
            </w:rPr>
          </w:pPr>
          <w:r>
            <w:rPr>
              <w:noProof/>
              <w:lang w:eastAsia="nb-NO"/>
            </w:rPr>
            <w:drawing>
              <wp:anchor distT="0" distB="0" distL="114300" distR="114300" simplePos="0" relativeHeight="251662336" behindDoc="0" locked="0" layoutInCell="1" allowOverlap="1" wp14:anchorId="68014CCD" wp14:editId="14EC3582">
                <wp:simplePos x="0" y="0"/>
                <wp:positionH relativeFrom="column">
                  <wp:posOffset>911225</wp:posOffset>
                </wp:positionH>
                <wp:positionV relativeFrom="paragraph">
                  <wp:posOffset>-139838</wp:posOffset>
                </wp:positionV>
                <wp:extent cx="623887" cy="651013"/>
                <wp:effectExtent l="0" t="0" r="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_logo_farge_RGB.png"/>
                        <pic:cNvPicPr/>
                      </pic:nvPicPr>
                      <pic:blipFill rotWithShape="1">
                        <a:blip r:embed="rId1" cstate="print">
                          <a:extLst>
                            <a:ext uri="{28A0092B-C50C-407E-A947-70E740481C1C}">
                              <a14:useLocalDpi xmlns:a14="http://schemas.microsoft.com/office/drawing/2010/main" val="0"/>
                            </a:ext>
                          </a:extLst>
                        </a:blip>
                        <a:srcRect r="83117"/>
                        <a:stretch/>
                      </pic:blipFill>
                      <pic:spPr bwMode="auto">
                        <a:xfrm>
                          <a:off x="0" y="0"/>
                          <a:ext cx="623887" cy="651013"/>
                        </a:xfrm>
                        <a:prstGeom prst="rect">
                          <a:avLst/>
                        </a:prstGeom>
                        <a:ln>
                          <a:noFill/>
                        </a:ln>
                        <a:extLst>
                          <a:ext uri="{53640926-AAD7-44D8-BBD7-CCE9431645EC}">
                            <a14:shadowObscured xmlns:a14="http://schemas.microsoft.com/office/drawing/2010/main"/>
                          </a:ext>
                        </a:extLst>
                      </pic:spPr>
                    </pic:pic>
                  </a:graphicData>
                </a:graphic>
              </wp:anchor>
            </w:drawing>
          </w:r>
        </w:p>
      </w:tc>
    </w:tr>
    <w:tr w:rsidR="00433105" w14:paraId="0FFA857F" w14:textId="77777777" w:rsidTr="00E3794F">
      <w:trPr>
        <w:trHeight w:val="73"/>
      </w:trPr>
      <w:tc>
        <w:tcPr>
          <w:tcW w:w="1843" w:type="dxa"/>
        </w:tcPr>
        <w:p w14:paraId="31CFE7C0" w14:textId="77777777" w:rsidR="00433105" w:rsidRPr="009C4F5E" w:rsidRDefault="00433105" w:rsidP="00433105">
          <w:pPr>
            <w:pStyle w:val="Topptekst"/>
            <w:tabs>
              <w:tab w:val="clear" w:pos="4536"/>
              <w:tab w:val="clear" w:pos="9072"/>
              <w:tab w:val="left" w:pos="4820"/>
              <w:tab w:val="left" w:pos="5543"/>
              <w:tab w:val="center" w:pos="7513"/>
              <w:tab w:val="left" w:pos="8482"/>
            </w:tabs>
            <w:ind w:right="-851"/>
            <w:rPr>
              <w:color w:val="7F7F7F" w:themeColor="text1" w:themeTint="80"/>
            </w:rPr>
          </w:pPr>
          <w:r>
            <w:rPr>
              <w:color w:val="00A1BD"/>
            </w:rPr>
            <w:t>www.vpff.no</w:t>
          </w:r>
        </w:p>
      </w:tc>
    </w:tr>
  </w:tbl>
  <w:p w14:paraId="18E01D53" w14:textId="77777777" w:rsidR="00433105" w:rsidRDefault="00433105" w:rsidP="002F33F0">
    <w:pPr>
      <w:pStyle w:val="Bunntekst"/>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2C1F" w14:textId="77777777" w:rsidR="005C515C" w:rsidRDefault="005C51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B4D1E" w14:textId="77777777" w:rsidR="00A63D81" w:rsidRDefault="00A63D81" w:rsidP="00A647E6">
      <w:pPr>
        <w:spacing w:after="0" w:line="240" w:lineRule="auto"/>
      </w:pPr>
      <w:r>
        <w:separator/>
      </w:r>
    </w:p>
  </w:footnote>
  <w:footnote w:type="continuationSeparator" w:id="0">
    <w:p w14:paraId="70F0216C" w14:textId="77777777" w:rsidR="00A63D81" w:rsidRDefault="00A63D81" w:rsidP="00A64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5BDA" w14:textId="77777777" w:rsidR="005C515C" w:rsidRDefault="005C51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6E7C" w14:textId="77777777" w:rsidR="00433105" w:rsidRDefault="00433105" w:rsidP="009C4F5E">
    <w:pPr>
      <w:pStyle w:val="Topptekst"/>
      <w:tabs>
        <w:tab w:val="clear" w:pos="4536"/>
        <w:tab w:val="clear" w:pos="9072"/>
        <w:tab w:val="left" w:pos="4820"/>
        <w:tab w:val="left" w:pos="5543"/>
        <w:tab w:val="center" w:pos="7513"/>
        <w:tab w:val="left" w:pos="8482"/>
      </w:tabs>
      <w:ind w:left="-426" w:right="-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4220" w:type="dxa"/>
      <w:tblInd w:w="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7"/>
      <w:gridCol w:w="1843"/>
    </w:tblGrid>
    <w:tr w:rsidR="00433105" w14:paraId="748D6128" w14:textId="77777777" w:rsidTr="009C4F5E">
      <w:trPr>
        <w:trHeight w:val="73"/>
      </w:trPr>
      <w:tc>
        <w:tcPr>
          <w:tcW w:w="2377" w:type="dxa"/>
        </w:tcPr>
        <w:p w14:paraId="50879AC3" w14:textId="77777777" w:rsidR="00433105" w:rsidRPr="009C4F5E" w:rsidRDefault="002B3091" w:rsidP="009C4F5E">
          <w:pPr>
            <w:pStyle w:val="Topptekst"/>
            <w:tabs>
              <w:tab w:val="clear" w:pos="4536"/>
              <w:tab w:val="clear" w:pos="9072"/>
              <w:tab w:val="left" w:pos="4820"/>
              <w:tab w:val="left" w:pos="5543"/>
              <w:tab w:val="center" w:pos="7513"/>
              <w:tab w:val="left" w:pos="8482"/>
            </w:tabs>
            <w:ind w:right="-851"/>
            <w:rPr>
              <w:color w:val="7F7F7F" w:themeColor="text1" w:themeTint="80"/>
            </w:rPr>
          </w:pPr>
          <w:r w:rsidRPr="00E163DB">
            <w:rPr>
              <w:noProof/>
              <w:color w:val="A6A6A6" w:themeColor="background1" w:themeShade="A6"/>
              <w:lang w:eastAsia="nb-NO"/>
            </w:rPr>
            <w:drawing>
              <wp:anchor distT="0" distB="0" distL="114300" distR="114300" simplePos="0" relativeHeight="251663360" behindDoc="0" locked="0" layoutInCell="1" allowOverlap="1" wp14:anchorId="44CD7852" wp14:editId="198DAF31">
                <wp:simplePos x="0" y="0"/>
                <wp:positionH relativeFrom="column">
                  <wp:posOffset>-3486150</wp:posOffset>
                </wp:positionH>
                <wp:positionV relativeFrom="paragraph">
                  <wp:posOffset>3175</wp:posOffset>
                </wp:positionV>
                <wp:extent cx="2810312" cy="391743"/>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F_eng_logo_farg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0312" cy="391743"/>
                        </a:xfrm>
                        <a:prstGeom prst="rect">
                          <a:avLst/>
                        </a:prstGeom>
                      </pic:spPr>
                    </pic:pic>
                  </a:graphicData>
                </a:graphic>
              </wp:anchor>
            </w:drawing>
          </w:r>
          <w:r w:rsidR="00395A72">
            <w:rPr>
              <w:color w:val="A6A6A6" w:themeColor="background1" w:themeShade="A6"/>
            </w:rPr>
            <w:t>Hansteens gate 2</w:t>
          </w:r>
        </w:p>
      </w:tc>
      <w:tc>
        <w:tcPr>
          <w:tcW w:w="1843" w:type="dxa"/>
        </w:tcPr>
        <w:p w14:paraId="7D48FFE1" w14:textId="77777777" w:rsidR="00433105" w:rsidRPr="009C4F5E" w:rsidRDefault="00433105" w:rsidP="009C4F5E">
          <w:pPr>
            <w:pStyle w:val="Topptekst"/>
            <w:tabs>
              <w:tab w:val="clear" w:pos="4536"/>
              <w:tab w:val="clear" w:pos="9072"/>
              <w:tab w:val="left" w:pos="4820"/>
              <w:tab w:val="left" w:pos="5543"/>
              <w:tab w:val="center" w:pos="7513"/>
              <w:tab w:val="left" w:pos="8482"/>
            </w:tabs>
            <w:ind w:right="-851"/>
            <w:rPr>
              <w:color w:val="7F7F7F" w:themeColor="text1" w:themeTint="80"/>
            </w:rPr>
          </w:pPr>
          <w:r w:rsidRPr="009C4F5E">
            <w:rPr>
              <w:color w:val="00A1BD"/>
            </w:rPr>
            <w:t>E:</w:t>
          </w:r>
          <w:r w:rsidRPr="009C4F5E">
            <w:rPr>
              <w:color w:val="7F7F7F" w:themeColor="text1" w:themeTint="80"/>
            </w:rPr>
            <w:t xml:space="preserve"> </w:t>
          </w:r>
          <w:r w:rsidRPr="00E163DB">
            <w:rPr>
              <w:color w:val="A6A6A6" w:themeColor="background1" w:themeShade="A6"/>
            </w:rPr>
            <w:t>post@vpff.no</w:t>
          </w:r>
        </w:p>
      </w:tc>
    </w:tr>
    <w:tr w:rsidR="00433105" w14:paraId="3AECFEDD" w14:textId="77777777" w:rsidTr="009C4F5E">
      <w:trPr>
        <w:trHeight w:val="73"/>
      </w:trPr>
      <w:tc>
        <w:tcPr>
          <w:tcW w:w="2377" w:type="dxa"/>
        </w:tcPr>
        <w:p w14:paraId="6ED536A3" w14:textId="77777777" w:rsidR="00433105" w:rsidRPr="00E163DB" w:rsidRDefault="00395A72" w:rsidP="009C4F5E">
          <w:pPr>
            <w:pStyle w:val="Topptekst"/>
            <w:tabs>
              <w:tab w:val="clear" w:pos="4536"/>
              <w:tab w:val="clear" w:pos="9072"/>
              <w:tab w:val="left" w:pos="4820"/>
              <w:tab w:val="left" w:pos="5543"/>
              <w:tab w:val="center" w:pos="7513"/>
              <w:tab w:val="left" w:pos="8482"/>
            </w:tabs>
            <w:ind w:right="-851"/>
            <w:rPr>
              <w:color w:val="A6A6A6" w:themeColor="background1" w:themeShade="A6"/>
            </w:rPr>
          </w:pPr>
          <w:r>
            <w:rPr>
              <w:color w:val="A6A6A6" w:themeColor="background1" w:themeShade="A6"/>
            </w:rPr>
            <w:t>N-0253</w:t>
          </w:r>
          <w:r w:rsidRPr="00E163DB">
            <w:rPr>
              <w:color w:val="A6A6A6" w:themeColor="background1" w:themeShade="A6"/>
            </w:rPr>
            <w:t xml:space="preserve"> Oslo</w:t>
          </w:r>
        </w:p>
      </w:tc>
      <w:tc>
        <w:tcPr>
          <w:tcW w:w="1843" w:type="dxa"/>
        </w:tcPr>
        <w:p w14:paraId="049DF5D7" w14:textId="77777777" w:rsidR="00433105" w:rsidRPr="009C4F5E" w:rsidRDefault="00433105" w:rsidP="009C4F5E">
          <w:pPr>
            <w:pStyle w:val="Topptekst"/>
            <w:tabs>
              <w:tab w:val="clear" w:pos="4536"/>
              <w:tab w:val="clear" w:pos="9072"/>
              <w:tab w:val="left" w:pos="4820"/>
              <w:tab w:val="left" w:pos="5543"/>
              <w:tab w:val="center" w:pos="7513"/>
              <w:tab w:val="left" w:pos="8482"/>
            </w:tabs>
            <w:ind w:right="-851"/>
            <w:rPr>
              <w:color w:val="7F7F7F" w:themeColor="text1" w:themeTint="80"/>
            </w:rPr>
          </w:pPr>
          <w:r w:rsidRPr="009C4F5E">
            <w:rPr>
              <w:color w:val="00A1BD"/>
            </w:rPr>
            <w:t xml:space="preserve">T: </w:t>
          </w:r>
          <w:r w:rsidR="005C515C">
            <w:rPr>
              <w:color w:val="A6A6A6" w:themeColor="background1" w:themeShade="A6"/>
            </w:rPr>
            <w:t>+47 23 11 17 40</w:t>
          </w:r>
        </w:p>
      </w:tc>
    </w:tr>
    <w:tr w:rsidR="00395A72" w:rsidRPr="009C4F5E" w14:paraId="0BCC3C30" w14:textId="77777777" w:rsidTr="009C4F5E">
      <w:trPr>
        <w:gridAfter w:val="1"/>
        <w:wAfter w:w="1843" w:type="dxa"/>
      </w:trPr>
      <w:tc>
        <w:tcPr>
          <w:tcW w:w="2377" w:type="dxa"/>
        </w:tcPr>
        <w:p w14:paraId="30FA423F" w14:textId="77777777" w:rsidR="00395A72" w:rsidRPr="00E163DB" w:rsidRDefault="00395A72" w:rsidP="009C4F5E">
          <w:pPr>
            <w:pStyle w:val="Topptekst"/>
            <w:tabs>
              <w:tab w:val="clear" w:pos="4536"/>
              <w:tab w:val="clear" w:pos="9072"/>
              <w:tab w:val="left" w:pos="4820"/>
              <w:tab w:val="left" w:pos="5543"/>
              <w:tab w:val="center" w:pos="7513"/>
              <w:tab w:val="left" w:pos="8482"/>
            </w:tabs>
            <w:ind w:right="-851"/>
            <w:rPr>
              <w:color w:val="A6A6A6" w:themeColor="background1" w:themeShade="A6"/>
            </w:rPr>
          </w:pPr>
        </w:p>
      </w:tc>
    </w:tr>
  </w:tbl>
  <w:p w14:paraId="352DB3FC" w14:textId="77777777" w:rsidR="00433105" w:rsidRDefault="00433105" w:rsidP="009C4F5E">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0248"/>
    <w:multiLevelType w:val="multilevel"/>
    <w:tmpl w:val="895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51E45"/>
    <w:multiLevelType w:val="multilevel"/>
    <w:tmpl w:val="E6E685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673E19"/>
    <w:multiLevelType w:val="multilevel"/>
    <w:tmpl w:val="78FCE596"/>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7B1B142E"/>
    <w:multiLevelType w:val="multilevel"/>
    <w:tmpl w:val="944471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6891598">
    <w:abstractNumId w:val="3"/>
  </w:num>
  <w:num w:numId="2" w16cid:durableId="799804433">
    <w:abstractNumId w:val="0"/>
  </w:num>
  <w:num w:numId="3" w16cid:durableId="1045518194">
    <w:abstractNumId w:val="1"/>
  </w:num>
  <w:num w:numId="4" w16cid:durableId="233973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16D77"/>
    <w:rsid w:val="00053657"/>
    <w:rsid w:val="000A195B"/>
    <w:rsid w:val="000A5A76"/>
    <w:rsid w:val="0020349A"/>
    <w:rsid w:val="00217EC5"/>
    <w:rsid w:val="00233E5C"/>
    <w:rsid w:val="002B3091"/>
    <w:rsid w:val="002B4A9D"/>
    <w:rsid w:val="002F33F0"/>
    <w:rsid w:val="0037197C"/>
    <w:rsid w:val="00395A72"/>
    <w:rsid w:val="003D203F"/>
    <w:rsid w:val="003F5D59"/>
    <w:rsid w:val="00405DE7"/>
    <w:rsid w:val="004161C5"/>
    <w:rsid w:val="004322DB"/>
    <w:rsid w:val="00433105"/>
    <w:rsid w:val="00452D1D"/>
    <w:rsid w:val="004F1FC9"/>
    <w:rsid w:val="00503C0A"/>
    <w:rsid w:val="00504844"/>
    <w:rsid w:val="00526998"/>
    <w:rsid w:val="0056337E"/>
    <w:rsid w:val="005C515C"/>
    <w:rsid w:val="005C6154"/>
    <w:rsid w:val="00642ADB"/>
    <w:rsid w:val="00670751"/>
    <w:rsid w:val="006A3B33"/>
    <w:rsid w:val="006F2229"/>
    <w:rsid w:val="007143ED"/>
    <w:rsid w:val="00816DE0"/>
    <w:rsid w:val="00837762"/>
    <w:rsid w:val="008C3E66"/>
    <w:rsid w:val="008C58DA"/>
    <w:rsid w:val="00961A3B"/>
    <w:rsid w:val="009C4F5E"/>
    <w:rsid w:val="009C589E"/>
    <w:rsid w:val="00A01CD5"/>
    <w:rsid w:val="00A0453F"/>
    <w:rsid w:val="00A63D81"/>
    <w:rsid w:val="00A647E6"/>
    <w:rsid w:val="00A95705"/>
    <w:rsid w:val="00AF3F0F"/>
    <w:rsid w:val="00BC2430"/>
    <w:rsid w:val="00BF274D"/>
    <w:rsid w:val="00C84DC1"/>
    <w:rsid w:val="00CA4F6E"/>
    <w:rsid w:val="00DB1423"/>
    <w:rsid w:val="00E163DB"/>
    <w:rsid w:val="00E16D77"/>
    <w:rsid w:val="00E3794F"/>
    <w:rsid w:val="00E67686"/>
    <w:rsid w:val="00EB74A9"/>
    <w:rsid w:val="00EC1C91"/>
    <w:rsid w:val="00F162C9"/>
    <w:rsid w:val="00FB07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91170"/>
  <w15:docId w15:val="{64815785-7CB2-46EF-8EE3-56D16EA3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844"/>
    <w:pPr>
      <w:spacing w:after="160" w:line="259"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A647E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647E6"/>
  </w:style>
  <w:style w:type="paragraph" w:styleId="Bunntekst">
    <w:name w:val="footer"/>
    <w:basedOn w:val="Normal"/>
    <w:link w:val="BunntekstTegn"/>
    <w:uiPriority w:val="99"/>
    <w:unhideWhenUsed/>
    <w:rsid w:val="00A647E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647E6"/>
  </w:style>
  <w:style w:type="paragraph" w:styleId="Bobletekst">
    <w:name w:val="Balloon Text"/>
    <w:basedOn w:val="Normal"/>
    <w:link w:val="BobletekstTegn"/>
    <w:uiPriority w:val="99"/>
    <w:semiHidden/>
    <w:unhideWhenUsed/>
    <w:rsid w:val="00A647E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647E6"/>
    <w:rPr>
      <w:rFonts w:ascii="Tahoma" w:hAnsi="Tahoma" w:cs="Tahoma"/>
      <w:sz w:val="16"/>
      <w:szCs w:val="16"/>
    </w:rPr>
  </w:style>
  <w:style w:type="character" w:styleId="Hyperkobling">
    <w:name w:val="Hyperlink"/>
    <w:basedOn w:val="Standardskriftforavsnitt"/>
    <w:uiPriority w:val="99"/>
    <w:unhideWhenUsed/>
    <w:rsid w:val="00A647E6"/>
    <w:rPr>
      <w:color w:val="0000FF" w:themeColor="hyperlink"/>
      <w:u w:val="single"/>
    </w:rPr>
  </w:style>
  <w:style w:type="table" w:styleId="Tabellrutenett">
    <w:name w:val="Table Grid"/>
    <w:basedOn w:val="Vanligtabell"/>
    <w:uiPriority w:val="59"/>
    <w:rsid w:val="005C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04844"/>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dr\OneDrive%20-%20Verdipapirforetakenes%20Forbund\AB%20Sharepoint%20Felles\Interne%20dokumenter\Dokumentmaler%20o.l\VPFF%20Brevmal%20engelsk.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f01fec-5dc5-45f7-80d9-75c23bf6e60c" xsi:nil="true"/>
    <lcf76f155ced4ddcb4097134ff3c332f xmlns="5c0b7025-e8cc-4030-9b17-214ed6f44e1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FDEA0BD14BA8E429AD96E80D4FD6C14" ma:contentTypeVersion="17" ma:contentTypeDescription="Opprett et nytt dokument." ma:contentTypeScope="" ma:versionID="9dfe73b8d303079c891f19157ef1edb6">
  <xsd:schema xmlns:xsd="http://www.w3.org/2001/XMLSchema" xmlns:xs="http://www.w3.org/2001/XMLSchema" xmlns:p="http://schemas.microsoft.com/office/2006/metadata/properties" xmlns:ns2="5c0b7025-e8cc-4030-9b17-214ed6f44e1d" xmlns:ns3="71f01fec-5dc5-45f7-80d9-75c23bf6e60c" targetNamespace="http://schemas.microsoft.com/office/2006/metadata/properties" ma:root="true" ma:fieldsID="dab0f80304db0e279ab9e954d5cbff33" ns2:_="" ns3:_="">
    <xsd:import namespace="5c0b7025-e8cc-4030-9b17-214ed6f44e1d"/>
    <xsd:import namespace="71f01fec-5dc5-45f7-80d9-75c23bf6e6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b7025-e8cc-4030-9b17-214ed6f44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3ad65ae6-7bc3-4af9-bbdb-8126d62d3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01fec-5dc5-45f7-80d9-75c23bf6e60c"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element name="TaxCatchAll" ma:index="22" nillable="true" ma:displayName="Global taksonomikolonne" ma:hidden="true" ma:list="{61ef8a05-5d46-4d67-ad43-95a4fe798a0c}" ma:internalName="TaxCatchAll" ma:showField="CatchAllData" ma:web="71f01fec-5dc5-45f7-80d9-75c23bf6e6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0CAFCA-5EE7-4AC1-B1EA-12A38FFB097D}">
  <ds:schemaRefs>
    <ds:schemaRef ds:uri="http://schemas.microsoft.com/office/2006/metadata/properties"/>
    <ds:schemaRef ds:uri="http://schemas.microsoft.com/office/infopath/2007/PartnerControls"/>
    <ds:schemaRef ds:uri="71f01fec-5dc5-45f7-80d9-75c23bf6e60c"/>
    <ds:schemaRef ds:uri="5c0b7025-e8cc-4030-9b17-214ed6f44e1d"/>
  </ds:schemaRefs>
</ds:datastoreItem>
</file>

<file path=customXml/itemProps2.xml><?xml version="1.0" encoding="utf-8"?>
<ds:datastoreItem xmlns:ds="http://schemas.openxmlformats.org/officeDocument/2006/customXml" ds:itemID="{BFA25FC4-A3F5-4D28-BA23-C8425D555146}">
  <ds:schemaRefs>
    <ds:schemaRef ds:uri="http://schemas.openxmlformats.org/officeDocument/2006/bibliography"/>
  </ds:schemaRefs>
</ds:datastoreItem>
</file>

<file path=customXml/itemProps3.xml><?xml version="1.0" encoding="utf-8"?>
<ds:datastoreItem xmlns:ds="http://schemas.openxmlformats.org/officeDocument/2006/customXml" ds:itemID="{827D0FCC-4013-4F74-8CE9-C85CEDD57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b7025-e8cc-4030-9b17-214ed6f44e1d"/>
    <ds:schemaRef ds:uri="71f01fec-5dc5-45f7-80d9-75c23bf6e6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7A4B23-A849-4F1F-B5B6-CB212A58EE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VPFF Brevmal engelsk</Template>
  <TotalTime>76</TotalTime>
  <Pages>4</Pages>
  <Words>961</Words>
  <Characters>6267</Characters>
  <Application>Microsoft Office Word</Application>
  <DocSecurity>0</DocSecurity>
  <Lines>136</Lines>
  <Paragraphs>64</Paragraphs>
  <ScaleCrop>false</ScaleCrop>
  <HeadingPairs>
    <vt:vector size="2" baseType="variant">
      <vt:variant>
        <vt:lpstr>Tittel</vt:lpstr>
      </vt:variant>
      <vt:variant>
        <vt:i4>1</vt:i4>
      </vt:variant>
    </vt:vector>
  </HeadingPairs>
  <TitlesOfParts>
    <vt:vector size="1" baseType="lpstr">
      <vt:lpstr/>
    </vt:vector>
  </TitlesOfParts>
  <Company>Simpleo AS - www.simpleo.no</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Sindre Støer</dc:creator>
  <cp:lastModifiedBy>Sindre Støer</cp:lastModifiedBy>
  <cp:revision>13</cp:revision>
  <cp:lastPrinted>2013-08-13T11:19:00Z</cp:lastPrinted>
  <dcterms:created xsi:type="dcterms:W3CDTF">2025-02-28T08:43:00Z</dcterms:created>
  <dcterms:modified xsi:type="dcterms:W3CDTF">2025-03-04T13:05:00Z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0x0101009FDEA0BD14BA8E429AD96E80D4FD6C14</vt:lpwstr>
  </property>
</Properties>
</file>