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69914"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3ED35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All interested stakeholders are invited to respond to this Consultation Paper. In particular, ESMA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B7C17A9" w:rsidR="00C85C8B" w:rsidRPr="00B16706" w:rsidRDefault="008F0788" w:rsidP="00C85C8B">
                <w:pPr>
                  <w:rPr>
                    <w:rFonts w:ascii="Arial" w:hAnsi="Arial" w:cs="Arial"/>
                    <w:color w:val="808080"/>
                    <w:sz w:val="16"/>
                    <w:szCs w:val="20"/>
                    <w:lang w:eastAsia="de-DE"/>
                  </w:rPr>
                </w:pPr>
                <w:r>
                  <w:rPr>
                    <w:rFonts w:ascii="Arial" w:hAnsi="Arial" w:cs="Arial"/>
                    <w:color w:val="808080"/>
                    <w:sz w:val="16"/>
                    <w:szCs w:val="20"/>
                    <w:lang w:eastAsia="de-DE"/>
                  </w:rPr>
                  <w:t>Moody’s</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37BD140" w:rsidR="00C85C8B" w:rsidRPr="00B16706" w:rsidRDefault="00E04A4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F0788">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tc>
          <w:tcPr>
            <w:tcW w:w="5595" w:type="dxa"/>
            <w:shd w:val="clear" w:color="auto" w:fill="auto"/>
          </w:tcPr>
          <w:p w14:paraId="082656BF" w14:textId="2414DE59" w:rsidR="00C85C8B" w:rsidRPr="00B16706" w:rsidRDefault="00E04A42" w:rsidP="00C85C8B">
            <w:pPr>
              <w:rPr>
                <w:rFonts w:ascii="Arial" w:hAnsi="Arial" w:cs="Arial"/>
                <w:sz w:val="16"/>
                <w:szCs w:val="20"/>
                <w:lang w:eastAsia="de-DE"/>
              </w:rPr>
            </w:pPr>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r w:rsidR="00F26B18">
                  <w:rPr>
                    <w:rFonts w:ascii="Arial" w:hAnsi="Arial" w:cs="Arial"/>
                    <w:sz w:val="16"/>
                    <w:szCs w:val="20"/>
                    <w:lang w:eastAsia="de-DE"/>
                  </w:rPr>
                  <w:t>International</w:t>
                </w:r>
              </w:sdtContent>
            </w:sdt>
          </w:p>
        </w:tc>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2A94FC72" w14:textId="77777777" w:rsidR="00F26B18" w:rsidRDefault="00F26B18">
      <w:pPr>
        <w:spacing w:after="120" w:line="264" w:lineRule="auto"/>
        <w:rPr>
          <w:rFonts w:asciiTheme="minorHAnsi" w:hAnsiTheme="minorHAnsi" w:cstheme="minorHAnsi"/>
          <w:b/>
          <w:sz w:val="22"/>
          <w:szCs w:val="22"/>
        </w:rPr>
      </w:pPr>
    </w:p>
    <w:p w14:paraId="721779C4" w14:textId="518CE3AD" w:rsidR="009835AD" w:rsidRPr="002E1149" w:rsidRDefault="009835AD">
      <w:pPr>
        <w:spacing w:after="120" w:line="264" w:lineRule="auto"/>
        <w:rPr>
          <w:rFonts w:ascii="Arial" w:hAnsi="Arial" w:cs="Arial"/>
          <w:b/>
          <w:sz w:val="22"/>
          <w:szCs w:val="22"/>
          <w:lang w:eastAsia="en-US"/>
        </w:rPr>
      </w:pPr>
      <w:r w:rsidRPr="002E1149">
        <w:rPr>
          <w:rFonts w:ascii="Arial" w:hAnsi="Arial" w:cs="Arial"/>
          <w:b/>
          <w:sz w:val="22"/>
          <w:szCs w:val="22"/>
          <w:lang w:eastAsia="en-US"/>
        </w:rPr>
        <w:t>Questions</w:t>
      </w:r>
    </w:p>
    <w:p w14:paraId="14C3989A" w14:textId="77777777" w:rsidR="001B1B48" w:rsidRPr="002E1149" w:rsidRDefault="001B1B48">
      <w:pPr>
        <w:spacing w:after="120" w:line="264" w:lineRule="auto"/>
        <w:rPr>
          <w:rFonts w:ascii="Arial" w:hAnsi="Arial" w:cs="Arial"/>
          <w:b/>
          <w:sz w:val="22"/>
          <w:szCs w:val="22"/>
          <w:lang w:eastAsia="en-US"/>
        </w:rPr>
      </w:pPr>
    </w:p>
    <w:bookmarkEnd w:id="0"/>
    <w:p w14:paraId="5B87C99A" w14:textId="6906B0B4" w:rsidR="001B1B48" w:rsidRPr="004578B3" w:rsidRDefault="00CB0C0C" w:rsidP="004578B3">
      <w:pPr>
        <w:pStyle w:val="Paragraph"/>
        <w:numPr>
          <w:ilvl w:val="0"/>
          <w:numId w:val="0"/>
        </w:numPr>
        <w:ind w:left="708" w:hanging="708"/>
      </w:pPr>
      <w:r w:rsidRPr="009464EF">
        <w:rPr>
          <w:b/>
          <w:bCs/>
        </w:rPr>
        <w:t>Q1</w:t>
      </w:r>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00C28106" w14:textId="77777777" w:rsidR="00582F71" w:rsidRPr="00582F71" w:rsidRDefault="00582F71" w:rsidP="00582F71">
      <w:pPr>
        <w:spacing w:after="160" w:line="259" w:lineRule="auto"/>
        <w:ind w:left="360"/>
        <w:rPr>
          <w:rFonts w:ascii="Calibri" w:eastAsia="Calibri" w:hAnsi="Calibri"/>
          <w:kern w:val="2"/>
          <w:lang w:eastAsia="en-US"/>
          <w14:ligatures w14:val="standardContextual"/>
        </w:rPr>
      </w:pPr>
      <w:permStart w:id="1765354918" w:edGrp="everyone"/>
      <w:r w:rsidRPr="00582F71">
        <w:rPr>
          <w:rFonts w:ascii="Calibri" w:eastAsia="Calibri" w:hAnsi="Calibri"/>
          <w:kern w:val="2"/>
          <w:lang w:eastAsia="en-US"/>
          <w14:ligatures w14:val="standardContextual"/>
        </w:rPr>
        <w:t xml:space="preserve">We believe the proposed information requirements would benefit from some targeted adjustments: </w:t>
      </w:r>
    </w:p>
    <w:p w14:paraId="655D38E8" w14:textId="5149B1B4" w:rsidR="00582F71" w:rsidRPr="00582F71" w:rsidRDefault="00582F71" w:rsidP="00E37C93">
      <w:pPr>
        <w:spacing w:after="160" w:line="259" w:lineRule="auto"/>
        <w:ind w:left="360"/>
        <w:rPr>
          <w:rFonts w:ascii="Calibri" w:eastAsia="Calibri" w:hAnsi="Calibri"/>
          <w:kern w:val="2"/>
          <w:lang w:eastAsia="en-US"/>
          <w14:ligatures w14:val="standardContextual"/>
        </w:rPr>
      </w:pPr>
      <w:r w:rsidRPr="00582F71">
        <w:rPr>
          <w:rFonts w:ascii="Calibri" w:eastAsia="Calibri" w:hAnsi="Calibri"/>
          <w:kern w:val="2"/>
          <w:lang w:eastAsia="en-US"/>
          <w14:ligatures w14:val="standardContextual"/>
        </w:rPr>
        <w:t>-</w:t>
      </w:r>
      <w:r w:rsidRPr="00582F71">
        <w:rPr>
          <w:rFonts w:ascii="Calibri" w:eastAsia="Calibri" w:hAnsi="Calibri"/>
          <w:kern w:val="2"/>
          <w:lang w:eastAsia="en-US"/>
          <w14:ligatures w14:val="standardContextual"/>
        </w:rPr>
        <w:tab/>
        <w:t>Part I</w:t>
      </w:r>
      <w:r w:rsidR="00435275">
        <w:rPr>
          <w:rFonts w:ascii="Calibri" w:eastAsia="Calibri" w:hAnsi="Calibri"/>
          <w:kern w:val="2"/>
          <w:lang w:eastAsia="en-US"/>
          <w14:ligatures w14:val="standardContextual"/>
        </w:rPr>
        <w:t xml:space="preserve"> on</w:t>
      </w:r>
      <w:r w:rsidRPr="00582F71">
        <w:rPr>
          <w:rFonts w:ascii="Calibri" w:eastAsia="Calibri" w:hAnsi="Calibri"/>
          <w:kern w:val="2"/>
          <w:lang w:eastAsia="en-US"/>
          <w14:ligatures w14:val="standardContextual"/>
        </w:rPr>
        <w:t xml:space="preserve"> “Procedures and methodologies of ESG ratings” foresees </w:t>
      </w:r>
      <w:r w:rsidR="00BD453A">
        <w:rPr>
          <w:rFonts w:ascii="Calibri" w:eastAsia="Calibri" w:hAnsi="Calibri"/>
          <w:kern w:val="2"/>
          <w:lang w:eastAsia="en-US"/>
          <w14:ligatures w14:val="standardContextual"/>
        </w:rPr>
        <w:t>information</w:t>
      </w:r>
      <w:r w:rsidRPr="00582F71">
        <w:rPr>
          <w:rFonts w:ascii="Calibri" w:eastAsia="Calibri" w:hAnsi="Calibri"/>
          <w:kern w:val="2"/>
          <w:lang w:eastAsia="en-US"/>
          <w14:ligatures w14:val="standardContextual"/>
        </w:rPr>
        <w:t xml:space="preserve"> on the procedures to review ESG rating products (subpoint 2) and on the procedures to review ESG rating methodologies, models and key rating assumptions (subpoint 3). However, Regulation (EU) 2024/3005</w:t>
      </w:r>
      <w:r w:rsidR="00ED43CC">
        <w:rPr>
          <w:rFonts w:ascii="Calibri" w:eastAsia="Calibri" w:hAnsi="Calibri"/>
          <w:kern w:val="2"/>
          <w:lang w:eastAsia="en-US"/>
          <w14:ligatures w14:val="standardContextual"/>
        </w:rPr>
        <w:t xml:space="preserve"> on the transparency and integrity of Environmental, Social and Governance </w:t>
      </w:r>
      <w:r w:rsidR="00C72241">
        <w:rPr>
          <w:rFonts w:ascii="Calibri" w:eastAsia="Calibri" w:hAnsi="Calibri"/>
          <w:kern w:val="2"/>
          <w:lang w:eastAsia="en-US"/>
          <w14:ligatures w14:val="standardContextual"/>
        </w:rPr>
        <w:t>rating activities (“ESGRAR”)</w:t>
      </w:r>
      <w:r w:rsidRPr="00582F71">
        <w:rPr>
          <w:rFonts w:ascii="Calibri" w:eastAsia="Calibri" w:hAnsi="Calibri"/>
          <w:kern w:val="2"/>
          <w:lang w:eastAsia="en-US"/>
          <w14:ligatures w14:val="standardContextual"/>
        </w:rPr>
        <w:t xml:space="preserve"> only requires the regular review of ESG rating methodologies. We suggest deleting the proposed </w:t>
      </w:r>
      <w:r w:rsidR="003C1CEC">
        <w:rPr>
          <w:rFonts w:ascii="Calibri" w:eastAsia="Calibri" w:hAnsi="Calibri"/>
          <w:kern w:val="2"/>
          <w:lang w:eastAsia="en-US"/>
          <w14:ligatures w14:val="standardContextual"/>
        </w:rPr>
        <w:t>information</w:t>
      </w:r>
      <w:r w:rsidRPr="00582F71">
        <w:rPr>
          <w:rFonts w:ascii="Calibri" w:eastAsia="Calibri" w:hAnsi="Calibri"/>
          <w:kern w:val="2"/>
          <w:lang w:eastAsia="en-US"/>
          <w14:ligatures w14:val="standardContextual"/>
        </w:rPr>
        <w:t xml:space="preserve"> in respect of individual </w:t>
      </w:r>
      <w:r w:rsidRPr="43B5B80E">
        <w:rPr>
          <w:rFonts w:ascii="Calibri" w:eastAsia="Calibri" w:hAnsi="Calibri"/>
          <w:lang w:eastAsia="en-US"/>
        </w:rPr>
        <w:t>rating</w:t>
      </w:r>
      <w:r w:rsidR="66483359" w:rsidRPr="43B5B80E">
        <w:rPr>
          <w:rFonts w:ascii="Calibri" w:eastAsia="Calibri" w:hAnsi="Calibri"/>
          <w:lang w:eastAsia="en-US"/>
        </w:rPr>
        <w:t xml:space="preserve"> p</w:t>
      </w:r>
      <w:r w:rsidR="000D6B3B">
        <w:rPr>
          <w:rFonts w:ascii="Calibri" w:eastAsia="Calibri" w:hAnsi="Calibri"/>
          <w:lang w:eastAsia="en-US"/>
        </w:rPr>
        <w:t>r</w:t>
      </w:r>
      <w:r w:rsidR="66483359" w:rsidRPr="43B5B80E">
        <w:rPr>
          <w:rFonts w:ascii="Calibri" w:eastAsia="Calibri" w:hAnsi="Calibri"/>
          <w:lang w:eastAsia="en-US"/>
        </w:rPr>
        <w:t>oducts</w:t>
      </w:r>
      <w:r w:rsidRPr="00582F71">
        <w:rPr>
          <w:rFonts w:ascii="Calibri" w:eastAsia="Calibri" w:hAnsi="Calibri"/>
          <w:kern w:val="2"/>
          <w:lang w:eastAsia="en-US"/>
          <w14:ligatures w14:val="standardContextual"/>
        </w:rPr>
        <w:t>, as well as models and assumptions</w:t>
      </w:r>
      <w:r w:rsidR="00875F8E">
        <w:rPr>
          <w:rFonts w:ascii="Calibri" w:eastAsia="Calibri" w:hAnsi="Calibri"/>
          <w:kern w:val="2"/>
          <w:lang w:eastAsia="en-US"/>
          <w14:ligatures w14:val="standardContextual"/>
        </w:rPr>
        <w:t>.</w:t>
      </w:r>
    </w:p>
    <w:tbl>
      <w:tblPr>
        <w:tblStyle w:val="TableGrid7"/>
        <w:tblW w:w="0" w:type="auto"/>
        <w:tblLook w:val="04A0" w:firstRow="1" w:lastRow="0" w:firstColumn="1" w:lastColumn="0" w:noHBand="0" w:noVBand="1"/>
      </w:tblPr>
      <w:tblGrid>
        <w:gridCol w:w="4528"/>
        <w:gridCol w:w="4532"/>
      </w:tblGrid>
      <w:tr w:rsidR="00582F71" w:rsidRPr="00321538" w14:paraId="408F0DB7" w14:textId="77777777">
        <w:tc>
          <w:tcPr>
            <w:tcW w:w="4675" w:type="dxa"/>
          </w:tcPr>
          <w:p w14:paraId="07426E8B" w14:textId="77777777" w:rsidR="00582F71" w:rsidRPr="00982E42" w:rsidRDefault="00582F71">
            <w:pPr>
              <w:spacing w:after="160" w:line="278" w:lineRule="auto"/>
              <w:jc w:val="center"/>
              <w:rPr>
                <w:rFonts w:ascii="Calibri" w:eastAsia="DengXian" w:hAnsi="Calibri" w:cs="Calibri"/>
                <w:b/>
                <w:lang w:eastAsia="zh-CN"/>
              </w:rPr>
            </w:pPr>
            <w:r w:rsidRPr="00982E42">
              <w:rPr>
                <w:rFonts w:ascii="Calibri" w:eastAsia="DengXian" w:hAnsi="Calibri" w:cs="Calibri"/>
                <w:b/>
                <w:lang w:eastAsia="zh-CN"/>
              </w:rPr>
              <w:t>ESMA’s Proposed RTS</w:t>
            </w:r>
          </w:p>
        </w:tc>
        <w:tc>
          <w:tcPr>
            <w:tcW w:w="4675" w:type="dxa"/>
          </w:tcPr>
          <w:p w14:paraId="1A977C7A" w14:textId="77777777" w:rsidR="00582F71" w:rsidRPr="00982E42" w:rsidRDefault="00582F71">
            <w:pPr>
              <w:spacing w:after="160" w:line="278" w:lineRule="auto"/>
              <w:jc w:val="center"/>
              <w:rPr>
                <w:rFonts w:ascii="Calibri" w:eastAsia="DengXian" w:hAnsi="Calibri" w:cs="Calibri"/>
                <w:b/>
                <w:lang w:eastAsia="zh-CN"/>
              </w:rPr>
            </w:pPr>
            <w:r w:rsidRPr="00982E42">
              <w:rPr>
                <w:rFonts w:ascii="Calibri" w:eastAsia="DengXian" w:hAnsi="Calibri" w:cs="Calibri"/>
                <w:b/>
                <w:lang w:eastAsia="zh-CN"/>
              </w:rPr>
              <w:t>New Proposed Text</w:t>
            </w:r>
          </w:p>
        </w:tc>
      </w:tr>
      <w:tr w:rsidR="00582F71" w:rsidRPr="002E1149" w14:paraId="58C0829A" w14:textId="77777777">
        <w:tc>
          <w:tcPr>
            <w:tcW w:w="4675" w:type="dxa"/>
          </w:tcPr>
          <w:p w14:paraId="60EA7CCF" w14:textId="77777777" w:rsidR="00B251B2" w:rsidRPr="00442EA4" w:rsidRDefault="00B251B2" w:rsidP="00B251B2">
            <w:pPr>
              <w:spacing w:after="160" w:line="278" w:lineRule="auto"/>
              <w:rPr>
                <w:rFonts w:ascii="Calibri" w:eastAsia="DengXian" w:hAnsi="Calibri" w:cs="Calibri"/>
                <w:lang w:eastAsia="zh-CN"/>
              </w:rPr>
            </w:pPr>
            <w:r w:rsidRPr="00442EA4">
              <w:rPr>
                <w:rFonts w:ascii="Calibri" w:eastAsia="DengXian" w:hAnsi="Calibri" w:cs="Calibri"/>
                <w:lang w:eastAsia="zh-CN"/>
              </w:rPr>
              <w:t xml:space="preserve">Part I) - Procedures and methodologies of ESG ratings </w:t>
            </w:r>
          </w:p>
          <w:p w14:paraId="3961A4A0" w14:textId="77777777" w:rsidR="007F6362" w:rsidRPr="00442EA4" w:rsidRDefault="00B251B2" w:rsidP="00B251B2">
            <w:pPr>
              <w:spacing w:after="160" w:line="278" w:lineRule="auto"/>
              <w:rPr>
                <w:rFonts w:ascii="Calibri" w:eastAsia="DengXian" w:hAnsi="Calibri" w:cs="Calibri"/>
                <w:lang w:eastAsia="zh-CN"/>
              </w:rPr>
            </w:pPr>
            <w:r w:rsidRPr="00442EA4">
              <w:rPr>
                <w:rFonts w:ascii="Calibri" w:eastAsia="DengXian" w:hAnsi="Calibri" w:cs="Calibri"/>
                <w:lang w:eastAsia="zh-CN"/>
              </w:rPr>
              <w:t xml:space="preserve">2) Procedures for the review of each ESG rating product. </w:t>
            </w:r>
          </w:p>
          <w:p w14:paraId="4B0E0490" w14:textId="1A5B3DE1" w:rsidR="00582F71" w:rsidRPr="00442EA4" w:rsidRDefault="00B251B2" w:rsidP="00B251B2">
            <w:pPr>
              <w:spacing w:after="160" w:line="278" w:lineRule="auto"/>
              <w:rPr>
                <w:rFonts w:ascii="Calibri" w:eastAsia="DengXian" w:hAnsi="Calibri" w:cs="Calibri"/>
                <w:lang w:eastAsia="zh-CN"/>
              </w:rPr>
            </w:pPr>
            <w:r w:rsidRPr="00442EA4">
              <w:rPr>
                <w:rFonts w:ascii="Calibri" w:eastAsia="DengXian" w:hAnsi="Calibri" w:cs="Calibri"/>
                <w:lang w:eastAsia="zh-CN"/>
              </w:rPr>
              <w:t>3) Procedures for the review of ESG rating methodologies, models and key rating assumptions.</w:t>
            </w:r>
          </w:p>
        </w:tc>
        <w:tc>
          <w:tcPr>
            <w:tcW w:w="4675" w:type="dxa"/>
          </w:tcPr>
          <w:p w14:paraId="1C21A06B" w14:textId="77777777" w:rsidR="007F6362" w:rsidRPr="00442EA4" w:rsidRDefault="007F6362" w:rsidP="007F6362">
            <w:pPr>
              <w:spacing w:after="160" w:line="278" w:lineRule="auto"/>
              <w:rPr>
                <w:rFonts w:ascii="Calibri" w:eastAsia="DengXian" w:hAnsi="Calibri" w:cs="Calibri"/>
                <w:lang w:eastAsia="zh-CN"/>
              </w:rPr>
            </w:pPr>
            <w:r w:rsidRPr="00442EA4">
              <w:rPr>
                <w:rFonts w:ascii="Calibri" w:eastAsia="DengXian" w:hAnsi="Calibri" w:cs="Calibri"/>
                <w:lang w:eastAsia="zh-CN"/>
              </w:rPr>
              <w:t xml:space="preserve">Part I) - Procedures and methodologies of ESG ratings </w:t>
            </w:r>
          </w:p>
          <w:p w14:paraId="5113DD2C" w14:textId="77777777" w:rsidR="007F6362" w:rsidRPr="00442EA4" w:rsidRDefault="007F6362" w:rsidP="007F6362">
            <w:pPr>
              <w:spacing w:after="160" w:line="278" w:lineRule="auto"/>
              <w:rPr>
                <w:rFonts w:ascii="Calibri" w:eastAsia="DengXian" w:hAnsi="Calibri" w:cs="Calibri"/>
                <w:lang w:eastAsia="zh-CN"/>
              </w:rPr>
            </w:pPr>
            <w:r w:rsidRPr="00442EA4">
              <w:rPr>
                <w:rFonts w:ascii="Calibri" w:eastAsia="DengXian" w:hAnsi="Calibri" w:cs="Calibri"/>
                <w:lang w:eastAsia="zh-CN"/>
              </w:rPr>
              <w:t xml:space="preserve">2) </w:t>
            </w:r>
            <w:r w:rsidRPr="00442EA4">
              <w:rPr>
                <w:rFonts w:ascii="Calibri" w:eastAsia="DengXian" w:hAnsi="Calibri" w:cs="Calibri"/>
                <w:b/>
                <w:bCs/>
                <w:i/>
                <w:iCs/>
                <w:strike/>
                <w:lang w:eastAsia="zh-CN"/>
              </w:rPr>
              <w:t>Procedures for the review of each ESG rating product.</w:t>
            </w:r>
            <w:r w:rsidRPr="00442EA4">
              <w:rPr>
                <w:rFonts w:ascii="Calibri" w:eastAsia="DengXian" w:hAnsi="Calibri" w:cs="Calibri"/>
                <w:lang w:eastAsia="zh-CN"/>
              </w:rPr>
              <w:t xml:space="preserve"> </w:t>
            </w:r>
          </w:p>
          <w:p w14:paraId="73D1F568" w14:textId="6C13EB62" w:rsidR="00582F71" w:rsidRPr="00442EA4" w:rsidRDefault="007F6362" w:rsidP="007F6362">
            <w:pPr>
              <w:spacing w:after="160" w:line="278" w:lineRule="auto"/>
              <w:rPr>
                <w:rFonts w:ascii="Calibri" w:eastAsia="DengXian" w:hAnsi="Calibri" w:cs="Calibri"/>
                <w:lang w:eastAsia="zh-CN"/>
              </w:rPr>
            </w:pPr>
            <w:r w:rsidRPr="00442EA4">
              <w:rPr>
                <w:rFonts w:ascii="Calibri" w:eastAsia="DengXian" w:hAnsi="Calibri" w:cs="Calibri"/>
                <w:lang w:eastAsia="zh-CN"/>
              </w:rPr>
              <w:t>3) Procedures for the review of ESG rating methodologies</w:t>
            </w:r>
            <w:r w:rsidR="00BD6739" w:rsidRPr="00442EA4">
              <w:rPr>
                <w:rFonts w:ascii="Calibri" w:eastAsia="DengXian" w:hAnsi="Calibri" w:cs="Calibri"/>
                <w:b/>
                <w:bCs/>
                <w:lang w:eastAsia="zh-CN"/>
              </w:rPr>
              <w:t>.</w:t>
            </w:r>
            <w:r w:rsidRPr="00442EA4">
              <w:rPr>
                <w:rFonts w:ascii="Calibri" w:eastAsia="DengXian" w:hAnsi="Calibri" w:cs="Calibri"/>
                <w:b/>
                <w:bCs/>
                <w:i/>
                <w:iCs/>
                <w:strike/>
                <w:lang w:eastAsia="zh-CN"/>
              </w:rPr>
              <w:t>, models and key rating assumptions.</w:t>
            </w:r>
          </w:p>
        </w:tc>
      </w:tr>
    </w:tbl>
    <w:p w14:paraId="3F0161EC" w14:textId="77777777" w:rsidR="00582F71" w:rsidRPr="00582F71" w:rsidRDefault="00582F71" w:rsidP="00582F71">
      <w:pPr>
        <w:spacing w:after="160" w:line="259" w:lineRule="auto"/>
        <w:ind w:left="360"/>
        <w:rPr>
          <w:rFonts w:ascii="Calibri" w:eastAsia="Calibri" w:hAnsi="Calibri"/>
          <w:kern w:val="2"/>
          <w:lang w:eastAsia="en-US"/>
          <w14:ligatures w14:val="standardContextual"/>
        </w:rPr>
      </w:pPr>
    </w:p>
    <w:p w14:paraId="72EDA4DF" w14:textId="201253DB" w:rsidR="00F35B80" w:rsidRPr="00C479A2" w:rsidRDefault="00473CF2" w:rsidP="007D771D">
      <w:pPr>
        <w:spacing w:after="160" w:line="259" w:lineRule="auto"/>
        <w:rPr>
          <w:rFonts w:ascii="Calibri" w:eastAsia="Calibri" w:hAnsi="Calibri"/>
          <w:kern w:val="2"/>
          <w:lang w:eastAsia="en-US"/>
          <w14:ligatures w14:val="standardContextual"/>
        </w:rPr>
      </w:pPr>
      <w:r>
        <w:rPr>
          <w:rFonts w:ascii="Calibri" w:eastAsia="Calibri" w:hAnsi="Calibri"/>
          <w:kern w:val="2"/>
          <w:lang w:eastAsia="en-US"/>
          <w14:ligatures w14:val="standardContextual"/>
        </w:rPr>
        <w:t xml:space="preserve">In respect of Part N, </w:t>
      </w:r>
      <w:r w:rsidR="0048329E">
        <w:rPr>
          <w:rFonts w:ascii="Calibri" w:eastAsia="Calibri" w:hAnsi="Calibri"/>
          <w:kern w:val="2"/>
          <w:lang w:eastAsia="en-US"/>
          <w14:ligatures w14:val="standardContextual"/>
        </w:rPr>
        <w:t xml:space="preserve">“Previous ESG rating activities”, </w:t>
      </w:r>
      <w:r w:rsidR="00C7224A">
        <w:rPr>
          <w:rFonts w:ascii="Calibri" w:eastAsia="Calibri" w:hAnsi="Calibri"/>
          <w:kern w:val="2"/>
          <w:lang w:eastAsia="en-US"/>
          <w14:ligatures w14:val="standardContextual"/>
        </w:rPr>
        <w:t xml:space="preserve">we suggest </w:t>
      </w:r>
      <w:r w:rsidR="002F5407">
        <w:rPr>
          <w:rFonts w:ascii="Calibri" w:eastAsia="Calibri" w:hAnsi="Calibri"/>
          <w:kern w:val="2"/>
          <w:lang w:eastAsia="en-US"/>
          <w14:ligatures w14:val="standardContextual"/>
        </w:rPr>
        <w:t>this requirement should only apply from the date of application of</w:t>
      </w:r>
      <w:r w:rsidR="00D64F80">
        <w:rPr>
          <w:rFonts w:ascii="Calibri" w:eastAsia="Calibri" w:hAnsi="Calibri"/>
          <w:kern w:val="2"/>
          <w:lang w:eastAsia="en-US"/>
          <w14:ligatures w14:val="standardContextual"/>
        </w:rPr>
        <w:t xml:space="preserve"> ESGRAR</w:t>
      </w:r>
      <w:r w:rsidR="002F5407">
        <w:rPr>
          <w:rFonts w:ascii="Calibri" w:eastAsia="Calibri" w:hAnsi="Calibri"/>
          <w:kern w:val="2"/>
          <w:lang w:eastAsia="en-US"/>
          <w14:ligatures w14:val="standardContextual"/>
        </w:rPr>
        <w:t>.</w:t>
      </w:r>
      <w:r w:rsidR="005D641F">
        <w:rPr>
          <w:rFonts w:ascii="Calibri" w:eastAsia="Calibri" w:hAnsi="Calibri"/>
          <w:kern w:val="2"/>
          <w:lang w:eastAsia="en-US"/>
          <w14:ligatures w14:val="standardContextual"/>
        </w:rPr>
        <w:t xml:space="preserve"> The scope of application of this Regulation is wide and a </w:t>
      </w:r>
      <w:r w:rsidR="005E2127">
        <w:rPr>
          <w:rFonts w:ascii="Calibri" w:eastAsia="Calibri" w:hAnsi="Calibri"/>
          <w:kern w:val="2"/>
          <w:lang w:eastAsia="en-US"/>
          <w14:ligatures w14:val="standardContextual"/>
        </w:rPr>
        <w:t>requirement to classify products that a firm provided in the past a</w:t>
      </w:r>
      <w:r w:rsidR="00DC2E81">
        <w:rPr>
          <w:rFonts w:ascii="Calibri" w:eastAsia="Calibri" w:hAnsi="Calibri"/>
          <w:kern w:val="2"/>
          <w:lang w:eastAsia="en-US"/>
          <w14:ligatures w14:val="standardContextual"/>
        </w:rPr>
        <w:t xml:space="preserve">s either constituting </w:t>
      </w:r>
      <w:r w:rsidR="00E956DA">
        <w:rPr>
          <w:rFonts w:ascii="Calibri" w:eastAsia="Calibri" w:hAnsi="Calibri"/>
          <w:kern w:val="2"/>
          <w:lang w:eastAsia="en-US"/>
          <w14:ligatures w14:val="standardContextual"/>
        </w:rPr>
        <w:t>ESG rating products</w:t>
      </w:r>
      <w:r w:rsidR="00A67B79">
        <w:rPr>
          <w:rFonts w:ascii="Calibri" w:eastAsia="Calibri" w:hAnsi="Calibri"/>
          <w:kern w:val="2"/>
          <w:lang w:eastAsia="en-US"/>
          <w14:ligatures w14:val="standardContextual"/>
        </w:rPr>
        <w:t xml:space="preserve"> under this Regulation</w:t>
      </w:r>
      <w:r w:rsidR="00E956DA">
        <w:rPr>
          <w:rFonts w:ascii="Calibri" w:eastAsia="Calibri" w:hAnsi="Calibri"/>
          <w:kern w:val="2"/>
          <w:lang w:eastAsia="en-US"/>
          <w14:ligatures w14:val="standardContextual"/>
        </w:rPr>
        <w:t>, or not, would expose firms to unnecessary legal uncertainty.</w:t>
      </w:r>
    </w:p>
    <w:tbl>
      <w:tblPr>
        <w:tblStyle w:val="TableGrid7"/>
        <w:tblW w:w="0" w:type="auto"/>
        <w:tblLook w:val="04A0" w:firstRow="1" w:lastRow="0" w:firstColumn="1" w:lastColumn="0" w:noHBand="0" w:noVBand="1"/>
      </w:tblPr>
      <w:tblGrid>
        <w:gridCol w:w="4530"/>
        <w:gridCol w:w="4530"/>
      </w:tblGrid>
      <w:tr w:rsidR="00624498" w:rsidRPr="00624498" w14:paraId="7795C43D" w14:textId="77777777" w:rsidTr="00DF15A1">
        <w:tc>
          <w:tcPr>
            <w:tcW w:w="4675" w:type="dxa"/>
          </w:tcPr>
          <w:p w14:paraId="76873429" w14:textId="77777777" w:rsidR="00624498" w:rsidRPr="00982E42" w:rsidRDefault="00624498" w:rsidP="00624498">
            <w:pPr>
              <w:spacing w:after="160" w:line="278" w:lineRule="auto"/>
              <w:jc w:val="center"/>
              <w:rPr>
                <w:rFonts w:ascii="Calibri" w:eastAsia="DengXian" w:hAnsi="Calibri" w:cs="Calibri"/>
                <w:b/>
                <w:lang w:eastAsia="zh-CN"/>
              </w:rPr>
            </w:pPr>
            <w:r w:rsidRPr="00982E42">
              <w:rPr>
                <w:rFonts w:ascii="Calibri" w:eastAsia="DengXian" w:hAnsi="Calibri" w:cs="Calibri"/>
                <w:b/>
                <w:lang w:eastAsia="zh-CN"/>
              </w:rPr>
              <w:t>ESMA’s Proposed RTS</w:t>
            </w:r>
          </w:p>
        </w:tc>
        <w:tc>
          <w:tcPr>
            <w:tcW w:w="4675" w:type="dxa"/>
          </w:tcPr>
          <w:p w14:paraId="3BE9134A" w14:textId="77777777" w:rsidR="00624498" w:rsidRPr="00982E42" w:rsidRDefault="00624498" w:rsidP="00624498">
            <w:pPr>
              <w:spacing w:after="160" w:line="278" w:lineRule="auto"/>
              <w:jc w:val="center"/>
              <w:rPr>
                <w:rFonts w:ascii="Calibri" w:eastAsia="DengXian" w:hAnsi="Calibri" w:cs="Calibri"/>
                <w:b/>
                <w:lang w:eastAsia="zh-CN"/>
              </w:rPr>
            </w:pPr>
            <w:r w:rsidRPr="00982E42">
              <w:rPr>
                <w:rFonts w:ascii="Calibri" w:eastAsia="DengXian" w:hAnsi="Calibri" w:cs="Calibri"/>
                <w:b/>
                <w:lang w:eastAsia="zh-CN"/>
              </w:rPr>
              <w:t>New Proposed Text</w:t>
            </w:r>
          </w:p>
        </w:tc>
      </w:tr>
      <w:tr w:rsidR="00624498" w:rsidRPr="00624498" w14:paraId="172CB6FE" w14:textId="77777777" w:rsidTr="00DF15A1">
        <w:tc>
          <w:tcPr>
            <w:tcW w:w="4675" w:type="dxa"/>
          </w:tcPr>
          <w:p w14:paraId="5846F3B9" w14:textId="77777777" w:rsidR="00624498" w:rsidRPr="00982E42" w:rsidRDefault="00624498" w:rsidP="00624498">
            <w:pPr>
              <w:rPr>
                <w:rFonts w:ascii="Calibri" w:eastAsia="DengXian" w:hAnsi="Calibri" w:cs="Calibri"/>
                <w:lang w:eastAsia="zh-CN"/>
              </w:rPr>
            </w:pPr>
          </w:p>
          <w:p w14:paraId="3500F3BF" w14:textId="77777777"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 xml:space="preserve">Part N) – Previous ESG rating activities </w:t>
            </w:r>
          </w:p>
          <w:p w14:paraId="0093C3AD" w14:textId="77777777"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 xml:space="preserve">Where applicable, information about previous ESG rating activities, including: </w:t>
            </w:r>
          </w:p>
          <w:p w14:paraId="78D74B30" w14:textId="77777777" w:rsidR="00372977" w:rsidRPr="00982E42" w:rsidRDefault="00624498" w:rsidP="00624498">
            <w:pPr>
              <w:rPr>
                <w:rFonts w:ascii="Calibri" w:eastAsia="DengXian" w:hAnsi="Calibri" w:cs="Calibri"/>
                <w:lang w:eastAsia="zh-CN"/>
              </w:rPr>
            </w:pPr>
            <w:r w:rsidRPr="00982E42">
              <w:rPr>
                <w:rFonts w:ascii="Calibri" w:eastAsia="DengXian" w:hAnsi="Calibri" w:cs="Calibri"/>
                <w:lang w:eastAsia="zh-CN"/>
              </w:rPr>
              <w:lastRenderedPageBreak/>
              <w:t>a)</w:t>
            </w:r>
            <w:r w:rsidRPr="00982E42">
              <w:rPr>
                <w:rFonts w:ascii="Calibri" w:eastAsia="DengXian" w:hAnsi="Calibri" w:cs="Calibri"/>
                <w:lang w:eastAsia="zh-CN"/>
              </w:rPr>
              <w:tab/>
            </w:r>
          </w:p>
          <w:p w14:paraId="619DF658" w14:textId="77777777" w:rsidR="00372977" w:rsidRPr="00982E42" w:rsidRDefault="00372977" w:rsidP="00624498">
            <w:pPr>
              <w:rPr>
                <w:rFonts w:ascii="Calibri" w:eastAsia="DengXian" w:hAnsi="Calibri" w:cs="Calibri"/>
                <w:lang w:eastAsia="zh-CN"/>
              </w:rPr>
            </w:pPr>
          </w:p>
          <w:p w14:paraId="72625CA4" w14:textId="77777777" w:rsidR="00372977" w:rsidRPr="00982E42" w:rsidRDefault="00372977" w:rsidP="00624498">
            <w:pPr>
              <w:rPr>
                <w:rFonts w:ascii="Calibri" w:eastAsia="DengXian" w:hAnsi="Calibri" w:cs="Calibri"/>
                <w:lang w:eastAsia="zh-CN"/>
              </w:rPr>
            </w:pPr>
          </w:p>
          <w:p w14:paraId="6415ECCF" w14:textId="77777777" w:rsidR="00372977" w:rsidRPr="00982E42" w:rsidRDefault="00372977" w:rsidP="00624498">
            <w:pPr>
              <w:rPr>
                <w:rFonts w:ascii="Calibri" w:eastAsia="DengXian" w:hAnsi="Calibri" w:cs="Calibri"/>
                <w:lang w:eastAsia="zh-CN"/>
              </w:rPr>
            </w:pPr>
          </w:p>
          <w:p w14:paraId="3FC67CCB" w14:textId="038A7F1B" w:rsidR="00624498" w:rsidRPr="00982E42" w:rsidRDefault="00372977" w:rsidP="00624498">
            <w:pPr>
              <w:rPr>
                <w:rFonts w:ascii="Calibri" w:eastAsia="DengXian" w:hAnsi="Calibri" w:cs="Calibri"/>
                <w:lang w:eastAsia="zh-CN"/>
              </w:rPr>
            </w:pPr>
            <w:r w:rsidRPr="00982E42">
              <w:rPr>
                <w:rFonts w:ascii="Calibri" w:eastAsia="DengXian" w:hAnsi="Calibri" w:cs="Calibri"/>
                <w:lang w:eastAsia="zh-CN"/>
              </w:rPr>
              <w:t xml:space="preserve">a) </w:t>
            </w:r>
            <w:r w:rsidR="00624498" w:rsidRPr="00982E42">
              <w:rPr>
                <w:rFonts w:ascii="Calibri" w:eastAsia="DengXian" w:hAnsi="Calibri" w:cs="Calibri"/>
                <w:lang w:eastAsia="zh-CN"/>
              </w:rPr>
              <w:t xml:space="preserve">Any licences held and relevant dates of validity; </w:t>
            </w:r>
          </w:p>
          <w:p w14:paraId="3CAE5363" w14:textId="77777777"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b)</w:t>
            </w:r>
            <w:r w:rsidRPr="00982E42">
              <w:rPr>
                <w:rFonts w:ascii="Calibri" w:eastAsia="DengXian" w:hAnsi="Calibri" w:cs="Calibri"/>
                <w:lang w:eastAsia="zh-CN"/>
              </w:rPr>
              <w:tab/>
              <w:t xml:space="preserve">ESG rating products within the meaning of Article 3(1) of Regulation (EU) 2024/3005 that the applicant provided;  </w:t>
            </w:r>
          </w:p>
          <w:p w14:paraId="06C1C187" w14:textId="77777777"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c)</w:t>
            </w:r>
            <w:r w:rsidRPr="00982E42">
              <w:rPr>
                <w:rFonts w:ascii="Calibri" w:eastAsia="DengXian" w:hAnsi="Calibri" w:cs="Calibri"/>
                <w:lang w:eastAsia="zh-CN"/>
              </w:rPr>
              <w:tab/>
              <w:t xml:space="preserve">name of legal entity;  </w:t>
            </w:r>
          </w:p>
          <w:p w14:paraId="522A133C" w14:textId="77777777" w:rsidR="00624498" w:rsidRPr="00982E42" w:rsidRDefault="00624498" w:rsidP="00624498">
            <w:pPr>
              <w:spacing w:after="160" w:line="278" w:lineRule="auto"/>
              <w:rPr>
                <w:rFonts w:ascii="Calibri" w:eastAsia="DengXian" w:hAnsi="Calibri" w:cs="Calibri"/>
                <w:lang w:eastAsia="zh-CN"/>
              </w:rPr>
            </w:pPr>
            <w:r w:rsidRPr="00982E42">
              <w:rPr>
                <w:rFonts w:ascii="Calibri" w:eastAsia="DengXian" w:hAnsi="Calibri" w:cs="Calibri"/>
                <w:lang w:eastAsia="zh-CN"/>
              </w:rPr>
              <w:t>d)</w:t>
            </w:r>
            <w:r w:rsidRPr="00982E42">
              <w:rPr>
                <w:rFonts w:ascii="Calibri" w:eastAsia="DengXian" w:hAnsi="Calibri" w:cs="Calibri"/>
                <w:lang w:eastAsia="zh-CN"/>
              </w:rPr>
              <w:tab/>
              <w:t xml:space="preserve">where appliable, identity of supervisory authority.  </w:t>
            </w:r>
          </w:p>
        </w:tc>
        <w:tc>
          <w:tcPr>
            <w:tcW w:w="4675" w:type="dxa"/>
          </w:tcPr>
          <w:p w14:paraId="7520E05C" w14:textId="77777777" w:rsidR="00624498" w:rsidRPr="00982E42" w:rsidRDefault="00624498" w:rsidP="00624498">
            <w:pPr>
              <w:rPr>
                <w:rFonts w:ascii="Calibri" w:eastAsia="DengXian" w:hAnsi="Calibri" w:cs="Calibri"/>
                <w:b/>
                <w:lang w:eastAsia="zh-CN"/>
              </w:rPr>
            </w:pPr>
          </w:p>
          <w:p w14:paraId="094C165F" w14:textId="77777777"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 xml:space="preserve">Part N) – Previous ESG rating activities </w:t>
            </w:r>
          </w:p>
          <w:p w14:paraId="4702F22F" w14:textId="2C062E84"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Where applicable, information about previous ESG rating activities</w:t>
            </w:r>
            <w:r w:rsidR="000A58F3" w:rsidRPr="00982E42">
              <w:rPr>
                <w:rFonts w:ascii="Calibri" w:eastAsia="DengXian" w:hAnsi="Calibri" w:cs="Calibri"/>
                <w:lang w:eastAsia="zh-CN"/>
              </w:rPr>
              <w:t xml:space="preserve"> </w:t>
            </w:r>
            <w:r w:rsidR="000A58F3" w:rsidRPr="00982E42">
              <w:rPr>
                <w:rFonts w:ascii="Calibri" w:eastAsia="DengXian" w:hAnsi="Calibri" w:cs="Calibri"/>
                <w:b/>
                <w:bCs/>
                <w:i/>
                <w:iCs/>
                <w:lang w:eastAsia="zh-CN"/>
              </w:rPr>
              <w:t xml:space="preserve">within the </w:t>
            </w:r>
            <w:r w:rsidR="000A58F3" w:rsidRPr="00982E42">
              <w:rPr>
                <w:rFonts w:ascii="Calibri" w:eastAsia="DengXian" w:hAnsi="Calibri" w:cs="Calibri"/>
                <w:b/>
                <w:bCs/>
                <w:i/>
                <w:iCs/>
                <w:lang w:eastAsia="zh-CN"/>
              </w:rPr>
              <w:lastRenderedPageBreak/>
              <w:t xml:space="preserve">meaning </w:t>
            </w:r>
            <w:r w:rsidR="003B16E3" w:rsidRPr="00982E42">
              <w:rPr>
                <w:rFonts w:ascii="Calibri" w:eastAsia="DengXian" w:hAnsi="Calibri" w:cs="Calibri"/>
                <w:b/>
                <w:bCs/>
                <w:i/>
                <w:iCs/>
                <w:lang w:eastAsia="zh-CN"/>
              </w:rPr>
              <w:t>of Article 3(1) of Regulation (EU) 2024/3005 that the applicant provided</w:t>
            </w:r>
            <w:r w:rsidR="00366C56" w:rsidRPr="00982E42">
              <w:rPr>
                <w:rFonts w:ascii="Calibri" w:eastAsia="DengXian" w:hAnsi="Calibri" w:cs="Calibri"/>
                <w:b/>
                <w:bCs/>
                <w:i/>
                <w:iCs/>
                <w:lang w:eastAsia="zh-CN"/>
              </w:rPr>
              <w:t xml:space="preserve"> since the date of application of this Regulation</w:t>
            </w:r>
            <w:r w:rsidRPr="00982E42">
              <w:rPr>
                <w:rFonts w:ascii="Calibri" w:eastAsia="DengXian" w:hAnsi="Calibri" w:cs="Calibri"/>
                <w:lang w:eastAsia="zh-CN"/>
              </w:rPr>
              <w:t xml:space="preserve">, including: </w:t>
            </w:r>
          </w:p>
          <w:p w14:paraId="5711CD57" w14:textId="77777777"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a)</w:t>
            </w:r>
            <w:r w:rsidRPr="00982E42">
              <w:rPr>
                <w:rFonts w:ascii="Calibri" w:eastAsia="DengXian" w:hAnsi="Calibri" w:cs="Calibri"/>
                <w:lang w:eastAsia="zh-CN"/>
              </w:rPr>
              <w:tab/>
              <w:t xml:space="preserve">Any licences held and relevant dates of validity; </w:t>
            </w:r>
          </w:p>
          <w:p w14:paraId="60FF5B65" w14:textId="2CE16B60"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b)</w:t>
            </w:r>
            <w:r w:rsidRPr="00982E42">
              <w:rPr>
                <w:rFonts w:ascii="Calibri" w:eastAsia="DengXian" w:hAnsi="Calibri" w:cs="Calibri"/>
                <w:lang w:eastAsia="zh-CN"/>
              </w:rPr>
              <w:tab/>
            </w:r>
            <w:r w:rsidR="003F7B1D" w:rsidRPr="00982E42">
              <w:rPr>
                <w:rFonts w:ascii="Calibri" w:eastAsia="DengXian" w:hAnsi="Calibri" w:cs="Calibri"/>
                <w:b/>
                <w:bCs/>
                <w:i/>
                <w:iCs/>
                <w:strike/>
                <w:lang w:eastAsia="zh-CN"/>
              </w:rPr>
              <w:t>ESG rating products within the meaning of Article 3(1) of Regulation (EU) 2024/3005 that the applicant provided</w:t>
            </w:r>
            <w:r w:rsidRPr="00982E42">
              <w:rPr>
                <w:rFonts w:ascii="Calibri" w:eastAsia="DengXian" w:hAnsi="Calibri" w:cs="Calibri"/>
                <w:b/>
                <w:bCs/>
                <w:i/>
                <w:iCs/>
                <w:strike/>
                <w:lang w:eastAsia="zh-CN"/>
              </w:rPr>
              <w:t>;</w:t>
            </w:r>
            <w:r w:rsidRPr="00982E42">
              <w:rPr>
                <w:rFonts w:ascii="Calibri" w:eastAsia="DengXian" w:hAnsi="Calibri" w:cs="Calibri"/>
                <w:lang w:eastAsia="zh-CN"/>
              </w:rPr>
              <w:t xml:space="preserve">  </w:t>
            </w:r>
          </w:p>
          <w:p w14:paraId="3F6214E6" w14:textId="77777777" w:rsidR="00624498" w:rsidRPr="00982E42" w:rsidRDefault="00624498" w:rsidP="00624498">
            <w:pPr>
              <w:rPr>
                <w:rFonts w:ascii="Calibri" w:eastAsia="DengXian" w:hAnsi="Calibri" w:cs="Calibri"/>
                <w:lang w:eastAsia="zh-CN"/>
              </w:rPr>
            </w:pPr>
            <w:r w:rsidRPr="00982E42">
              <w:rPr>
                <w:rFonts w:ascii="Calibri" w:eastAsia="DengXian" w:hAnsi="Calibri" w:cs="Calibri"/>
                <w:lang w:eastAsia="zh-CN"/>
              </w:rPr>
              <w:t>c)</w:t>
            </w:r>
            <w:r w:rsidRPr="00982E42">
              <w:rPr>
                <w:rFonts w:ascii="Calibri" w:eastAsia="DengXian" w:hAnsi="Calibri" w:cs="Calibri"/>
                <w:lang w:eastAsia="zh-CN"/>
              </w:rPr>
              <w:tab/>
              <w:t xml:space="preserve">name of legal entity;  </w:t>
            </w:r>
          </w:p>
          <w:p w14:paraId="30C881EA" w14:textId="77777777" w:rsidR="00624498" w:rsidRPr="00982E42" w:rsidRDefault="00624498" w:rsidP="00624498">
            <w:pPr>
              <w:spacing w:after="160" w:line="278" w:lineRule="auto"/>
              <w:rPr>
                <w:rFonts w:ascii="Calibri" w:eastAsia="DengXian" w:hAnsi="Calibri" w:cs="Calibri"/>
                <w:lang w:eastAsia="zh-CN"/>
              </w:rPr>
            </w:pPr>
            <w:r w:rsidRPr="00982E42">
              <w:rPr>
                <w:rFonts w:ascii="Calibri" w:eastAsia="DengXian" w:hAnsi="Calibri" w:cs="Calibri"/>
                <w:lang w:eastAsia="zh-CN"/>
              </w:rPr>
              <w:t>d)</w:t>
            </w:r>
            <w:r w:rsidRPr="00982E42">
              <w:rPr>
                <w:rFonts w:ascii="Calibri" w:eastAsia="DengXian" w:hAnsi="Calibri" w:cs="Calibri"/>
                <w:lang w:eastAsia="zh-CN"/>
              </w:rPr>
              <w:tab/>
              <w:t xml:space="preserve">where appliable, identity of supervisory authority.  </w:t>
            </w:r>
          </w:p>
        </w:tc>
      </w:tr>
    </w:tbl>
    <w:p w14:paraId="6D424C5A" w14:textId="77777777" w:rsidR="00BA3554" w:rsidRPr="002E1149" w:rsidRDefault="00BA3554" w:rsidP="007D771D">
      <w:pPr>
        <w:spacing w:after="160" w:line="259" w:lineRule="auto"/>
        <w:rPr>
          <w:rFonts w:ascii="Calibri" w:eastAsia="Calibri" w:hAnsi="Calibri"/>
          <w:kern w:val="2"/>
          <w:sz w:val="22"/>
          <w:szCs w:val="22"/>
          <w:lang w:eastAsia="en-US"/>
          <w14:ligatures w14:val="standardContextual"/>
        </w:rPr>
      </w:pPr>
    </w:p>
    <w:permEnd w:id="1765354918"/>
    <w:p w14:paraId="38524F57" w14:textId="12DC62D2" w:rsidR="001B1B48" w:rsidRPr="002E1149" w:rsidRDefault="001B1B48" w:rsidP="001B1B48">
      <w:pPr>
        <w:spacing w:after="160" w:line="259" w:lineRule="auto"/>
        <w:rPr>
          <w:rFonts w:ascii="Calibri" w:eastAsia="Calibri" w:hAnsi="Calibri"/>
          <w:kern w:val="2"/>
          <w:sz w:val="22"/>
          <w:szCs w:val="22"/>
          <w:lang w:eastAsia="en-US"/>
          <w14:ligatures w14:val="standardContextual"/>
        </w:rPr>
      </w:pPr>
      <w:r w:rsidRPr="002E1149">
        <w:rPr>
          <w:rFonts w:ascii="Calibri" w:eastAsia="Calibri" w:hAnsi="Calibri"/>
          <w:kern w:val="2"/>
          <w:sz w:val="22"/>
          <w:szCs w:val="22"/>
          <w:lang w:eastAsia="en-US"/>
          <w14:ligatures w14:val="standardContextual"/>
        </w:rPr>
        <w:t>&lt;ESMA_QUESTION_</w:t>
      </w:r>
      <w:r w:rsidR="0037311D" w:rsidRPr="002E1149">
        <w:rPr>
          <w:rFonts w:ascii="Calibri" w:eastAsia="Calibri" w:hAnsi="Calibri"/>
          <w:kern w:val="2"/>
          <w:sz w:val="22"/>
          <w:szCs w:val="22"/>
          <w:lang w:eastAsia="en-US"/>
          <w14:ligatures w14:val="standardContextual"/>
        </w:rPr>
        <w:t>E</w:t>
      </w:r>
      <w:r w:rsidR="00AB2C3F" w:rsidRPr="002E1149">
        <w:rPr>
          <w:rFonts w:ascii="Calibri" w:eastAsia="Calibri" w:hAnsi="Calibri"/>
          <w:kern w:val="2"/>
          <w:sz w:val="22"/>
          <w:szCs w:val="22"/>
          <w:lang w:eastAsia="en-US"/>
          <w14:ligatures w14:val="standardContextual"/>
        </w:rPr>
        <w:t>SGR</w:t>
      </w:r>
      <w:r w:rsidRPr="002E1149">
        <w:rPr>
          <w:rFonts w:ascii="Calibri" w:eastAsia="Calibri" w:hAnsi="Calibri"/>
          <w:kern w:val="2"/>
          <w:sz w:val="22"/>
          <w:szCs w:val="22"/>
          <w:lang w:eastAsia="en-US"/>
          <w14:ligatures w14:val="standardContextual"/>
        </w:rPr>
        <w:t>_1&gt;</w:t>
      </w:r>
    </w:p>
    <w:p w14:paraId="48BA7F71" w14:textId="77777777" w:rsidR="001B1B48" w:rsidRPr="002E1149"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ED4FDB">
      <w:pPr>
        <w:pStyle w:val="Paragraph"/>
        <w:numPr>
          <w:ilvl w:val="0"/>
          <w:numId w:val="0"/>
        </w:numPr>
        <w:ind w:left="708" w:hanging="708"/>
      </w:pPr>
      <w:r w:rsidRPr="009464EF">
        <w:rPr>
          <w:b/>
          <w:bCs/>
        </w:rPr>
        <w:t>Q2</w:t>
      </w:r>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2BF9C8DC" w14:textId="476AC133" w:rsidR="00621975" w:rsidRPr="00982E42" w:rsidRDefault="001E31C8" w:rsidP="00621975">
      <w:pPr>
        <w:spacing w:after="160" w:line="259" w:lineRule="auto"/>
        <w:rPr>
          <w:rFonts w:ascii="Calibri" w:eastAsia="Calibri" w:hAnsi="Calibri"/>
          <w:kern w:val="2"/>
          <w:lang w:eastAsia="en-US"/>
          <w14:ligatures w14:val="standardContextual"/>
        </w:rPr>
      </w:pPr>
      <w:permStart w:id="1667529024" w:edGrp="everyone"/>
      <w:r>
        <w:rPr>
          <w:rFonts w:ascii="Calibri" w:eastAsia="Calibri" w:hAnsi="Calibri"/>
          <w:kern w:val="2"/>
          <w:lang w:eastAsia="en-US"/>
          <w14:ligatures w14:val="standardContextual"/>
        </w:rPr>
        <w:t>ESMA</w:t>
      </w:r>
      <w:r w:rsidR="00B55B26" w:rsidRPr="008B0614">
        <w:rPr>
          <w:rFonts w:ascii="Calibri" w:eastAsia="Calibri" w:hAnsi="Calibri"/>
          <w:kern w:val="2"/>
          <w:lang w:val="en-US" w:eastAsia="en-US"/>
          <w14:ligatures w14:val="standardContextual"/>
        </w:rPr>
        <w:t>’s</w:t>
      </w:r>
      <w:r>
        <w:rPr>
          <w:rFonts w:ascii="Calibri" w:eastAsia="Calibri" w:hAnsi="Calibri"/>
          <w:kern w:val="2"/>
          <w:lang w:eastAsia="en-US"/>
          <w14:ligatures w14:val="standardContextual"/>
        </w:rPr>
        <w:t xml:space="preserve"> propose</w:t>
      </w:r>
      <w:r w:rsidR="00B55B26">
        <w:rPr>
          <w:rFonts w:ascii="Calibri" w:eastAsia="Calibri" w:hAnsi="Calibri"/>
          <w:kern w:val="2"/>
          <w:lang w:eastAsia="en-US"/>
          <w14:ligatures w14:val="standardContextual"/>
        </w:rPr>
        <w:t>d requirement of physical separation is</w:t>
      </w:r>
      <w:r>
        <w:rPr>
          <w:rFonts w:ascii="Calibri" w:eastAsia="Calibri" w:hAnsi="Calibri"/>
          <w:kern w:val="2"/>
          <w:lang w:eastAsia="en-US"/>
          <w14:ligatures w14:val="standardContextual"/>
        </w:rPr>
        <w:t xml:space="preserve"> substantially</w:t>
      </w:r>
      <w:r w:rsidR="00B55B26">
        <w:rPr>
          <w:rFonts w:ascii="Calibri" w:eastAsia="Calibri" w:hAnsi="Calibri"/>
          <w:kern w:val="2"/>
          <w:lang w:eastAsia="en-US"/>
          <w14:ligatures w14:val="standardContextual"/>
        </w:rPr>
        <w:t xml:space="preserve"> new and has no </w:t>
      </w:r>
      <w:r w:rsidR="006E5576">
        <w:rPr>
          <w:rFonts w:ascii="Calibri" w:eastAsia="Calibri" w:hAnsi="Calibri"/>
          <w:kern w:val="2"/>
          <w:lang w:eastAsia="en-US"/>
          <w14:ligatures w14:val="standardContextual"/>
        </w:rPr>
        <w:t xml:space="preserve">legal </w:t>
      </w:r>
      <w:r w:rsidR="00B55B26">
        <w:rPr>
          <w:rFonts w:ascii="Calibri" w:eastAsia="Calibri" w:hAnsi="Calibri"/>
          <w:kern w:val="2"/>
          <w:lang w:eastAsia="en-US"/>
          <w14:ligatures w14:val="standardContextual"/>
        </w:rPr>
        <w:t xml:space="preserve">basis in the Level 1 text. </w:t>
      </w:r>
      <w:r w:rsidR="006E5576">
        <w:rPr>
          <w:rFonts w:ascii="Calibri" w:eastAsia="Calibri" w:hAnsi="Calibri"/>
          <w:kern w:val="2"/>
          <w:lang w:eastAsia="en-US"/>
          <w14:ligatures w14:val="standardContextual"/>
        </w:rPr>
        <w:t>W</w:t>
      </w:r>
      <w:r w:rsidR="00621975" w:rsidRPr="00982E42">
        <w:rPr>
          <w:rFonts w:ascii="Calibri" w:eastAsia="Calibri" w:hAnsi="Calibri"/>
          <w:kern w:val="2"/>
          <w:lang w:eastAsia="en-US"/>
          <w14:ligatures w14:val="standardContextual"/>
        </w:rPr>
        <w:t xml:space="preserve">e understand that the purpose is to ensure the independence of ESG rating providers. </w:t>
      </w:r>
      <w:r w:rsidR="006E5576">
        <w:rPr>
          <w:rFonts w:ascii="Calibri" w:eastAsia="Calibri" w:hAnsi="Calibri"/>
          <w:kern w:val="2"/>
          <w:lang w:eastAsia="en-US"/>
          <w14:ligatures w14:val="standardContextual"/>
        </w:rPr>
        <w:t>However</w:t>
      </w:r>
      <w:r w:rsidR="00621975" w:rsidRPr="00982E42">
        <w:rPr>
          <w:rFonts w:ascii="Calibri" w:eastAsia="Calibri" w:hAnsi="Calibri"/>
          <w:kern w:val="2"/>
          <w:lang w:eastAsia="en-US"/>
          <w14:ligatures w14:val="standardContextual"/>
        </w:rPr>
        <w:t>, there are a range of ways to achieve this and imposing specific physical segregation is unduly restrictive and prescriptive. Instead we would propose just requiring that sufficient controls be put in place to achieve the objectives of this provision.</w:t>
      </w:r>
    </w:p>
    <w:tbl>
      <w:tblPr>
        <w:tblStyle w:val="TableGrid5"/>
        <w:tblW w:w="0" w:type="auto"/>
        <w:tblLook w:val="04A0" w:firstRow="1" w:lastRow="0" w:firstColumn="1" w:lastColumn="0" w:noHBand="0" w:noVBand="1"/>
      </w:tblPr>
      <w:tblGrid>
        <w:gridCol w:w="4498"/>
        <w:gridCol w:w="4562"/>
      </w:tblGrid>
      <w:tr w:rsidR="00621975" w:rsidRPr="003B18CA" w14:paraId="4A9014C6" w14:textId="77777777">
        <w:tc>
          <w:tcPr>
            <w:tcW w:w="4498" w:type="dxa"/>
          </w:tcPr>
          <w:p w14:paraId="289B59B1" w14:textId="77777777" w:rsidR="00621975" w:rsidRPr="00982E42" w:rsidRDefault="00621975">
            <w:pPr>
              <w:spacing w:after="160" w:line="278" w:lineRule="auto"/>
              <w:jc w:val="center"/>
              <w:rPr>
                <w:rFonts w:ascii="Calibri" w:eastAsia="DengXian" w:hAnsi="Calibri" w:cs="Calibri"/>
                <w:b/>
                <w:bCs/>
                <w:lang w:eastAsia="zh-CN"/>
              </w:rPr>
            </w:pPr>
            <w:r w:rsidRPr="00982E42">
              <w:rPr>
                <w:rFonts w:ascii="Calibri" w:eastAsia="DengXian" w:hAnsi="Calibri" w:cs="Calibri"/>
                <w:b/>
                <w:bCs/>
                <w:lang w:eastAsia="zh-CN"/>
              </w:rPr>
              <w:t>ESMA’s Proposed RTS</w:t>
            </w:r>
          </w:p>
        </w:tc>
        <w:tc>
          <w:tcPr>
            <w:tcW w:w="4562" w:type="dxa"/>
          </w:tcPr>
          <w:p w14:paraId="6ACCB6DC" w14:textId="77777777" w:rsidR="00621975" w:rsidRPr="00982E42" w:rsidRDefault="00621975">
            <w:pPr>
              <w:spacing w:after="160" w:line="278" w:lineRule="auto"/>
              <w:jc w:val="center"/>
              <w:rPr>
                <w:rFonts w:ascii="Calibri" w:eastAsia="DengXian" w:hAnsi="Calibri" w:cs="Calibri"/>
                <w:b/>
                <w:bCs/>
                <w:lang w:eastAsia="zh-CN"/>
              </w:rPr>
            </w:pPr>
            <w:r w:rsidRPr="00982E42">
              <w:rPr>
                <w:rFonts w:ascii="Calibri" w:eastAsia="DengXian" w:hAnsi="Calibri" w:cs="Calibri"/>
                <w:b/>
                <w:bCs/>
                <w:lang w:eastAsia="zh-CN"/>
              </w:rPr>
              <w:t>New Proposed Text</w:t>
            </w:r>
          </w:p>
        </w:tc>
      </w:tr>
      <w:tr w:rsidR="00621975" w:rsidRPr="003B18CA" w14:paraId="4E3013AF" w14:textId="77777777">
        <w:tc>
          <w:tcPr>
            <w:tcW w:w="4498" w:type="dxa"/>
          </w:tcPr>
          <w:p w14:paraId="1479DDB4" w14:textId="77777777" w:rsidR="00621975" w:rsidRPr="00982E42" w:rsidRDefault="00621975">
            <w:pPr>
              <w:spacing w:after="160" w:line="278" w:lineRule="auto"/>
              <w:rPr>
                <w:rFonts w:ascii="Calibri" w:eastAsia="DengXian" w:hAnsi="Calibri" w:cs="Calibri"/>
                <w:lang w:eastAsia="zh-CN"/>
              </w:rPr>
            </w:pPr>
            <w:r w:rsidRPr="00982E42">
              <w:rPr>
                <w:rFonts w:ascii="Calibri" w:eastAsia="DengXian" w:hAnsi="Calibri" w:cs="Calibri"/>
                <w:lang w:eastAsia="zh-CN"/>
              </w:rPr>
              <w:t xml:space="preserve">1. ESG rating providers shall: </w:t>
            </w:r>
          </w:p>
          <w:p w14:paraId="223AF9D7" w14:textId="77777777" w:rsidR="00621975" w:rsidRPr="00982E42" w:rsidRDefault="00621975">
            <w:pPr>
              <w:spacing w:after="160" w:line="278" w:lineRule="auto"/>
              <w:rPr>
                <w:rFonts w:ascii="Calibri" w:eastAsia="DengXian" w:hAnsi="Calibri" w:cs="Calibri"/>
                <w:lang w:eastAsia="zh-CN"/>
              </w:rPr>
            </w:pPr>
            <w:r w:rsidRPr="00982E42">
              <w:rPr>
                <w:rFonts w:ascii="Calibri" w:eastAsia="DengXian" w:hAnsi="Calibri" w:cs="Calibri"/>
                <w:lang w:eastAsia="zh-CN"/>
              </w:rPr>
              <w:t xml:space="preserve">(b) implement physical separation measures that provide for a segregated office space and secure access for employees and other persons directly involved in the assessment process of a rated item; </w:t>
            </w:r>
          </w:p>
        </w:tc>
        <w:tc>
          <w:tcPr>
            <w:tcW w:w="4562" w:type="dxa"/>
          </w:tcPr>
          <w:p w14:paraId="4B8F7077" w14:textId="77777777" w:rsidR="00621975" w:rsidRPr="00982E42" w:rsidRDefault="00621975">
            <w:pPr>
              <w:spacing w:after="160" w:line="278" w:lineRule="auto"/>
              <w:rPr>
                <w:rFonts w:ascii="Calibri" w:eastAsia="DengXian" w:hAnsi="Calibri" w:cs="Calibri"/>
                <w:lang w:eastAsia="zh-CN"/>
              </w:rPr>
            </w:pPr>
            <w:r w:rsidRPr="00982E42">
              <w:rPr>
                <w:rFonts w:ascii="Calibri" w:eastAsia="DengXian" w:hAnsi="Calibri" w:cs="Calibri"/>
                <w:lang w:eastAsia="zh-CN"/>
              </w:rPr>
              <w:t xml:space="preserve">1. ESG rating providers shall: </w:t>
            </w:r>
          </w:p>
          <w:p w14:paraId="58DA6A62" w14:textId="77777777" w:rsidR="00621975" w:rsidRPr="00982E42" w:rsidRDefault="00621975">
            <w:pPr>
              <w:spacing w:after="160" w:line="278" w:lineRule="auto"/>
              <w:rPr>
                <w:rFonts w:ascii="Calibri" w:eastAsia="DengXian" w:hAnsi="Calibri" w:cs="Calibri"/>
                <w:lang w:eastAsia="zh-CN"/>
              </w:rPr>
            </w:pPr>
            <w:r w:rsidRPr="00982E42">
              <w:rPr>
                <w:rFonts w:ascii="Calibri" w:eastAsia="DengXian" w:hAnsi="Calibri" w:cs="Calibri"/>
                <w:lang w:eastAsia="zh-CN"/>
              </w:rPr>
              <w:t xml:space="preserve">(b) implement </w:t>
            </w:r>
            <w:r w:rsidRPr="00982E42">
              <w:rPr>
                <w:rFonts w:ascii="Calibri" w:eastAsia="DengXian" w:hAnsi="Calibri" w:cs="Calibri"/>
                <w:b/>
                <w:bCs/>
                <w:i/>
                <w:iCs/>
                <w:strike/>
                <w:lang w:eastAsia="zh-CN"/>
              </w:rPr>
              <w:t>physical</w:t>
            </w:r>
            <w:r w:rsidRPr="00982E42">
              <w:rPr>
                <w:rFonts w:ascii="Calibri" w:eastAsia="DengXian" w:hAnsi="Calibri" w:cs="Calibri"/>
                <w:lang w:eastAsia="zh-CN"/>
              </w:rPr>
              <w:t xml:space="preserve"> </w:t>
            </w:r>
            <w:r w:rsidRPr="00982E42">
              <w:rPr>
                <w:rFonts w:ascii="Calibri" w:eastAsia="DengXian" w:hAnsi="Calibri" w:cs="Calibri"/>
                <w:b/>
                <w:bCs/>
                <w:i/>
                <w:iCs/>
                <w:lang w:eastAsia="zh-CN"/>
              </w:rPr>
              <w:t>operational controls</w:t>
            </w:r>
            <w:r w:rsidRPr="00982E42">
              <w:rPr>
                <w:rFonts w:ascii="Calibri" w:eastAsia="DengXian" w:hAnsi="Calibri" w:cs="Calibri"/>
                <w:lang w:eastAsia="zh-CN"/>
              </w:rPr>
              <w:t xml:space="preserve"> </w:t>
            </w:r>
            <w:r w:rsidRPr="00982E42">
              <w:rPr>
                <w:rFonts w:ascii="Calibri" w:eastAsia="DengXian" w:hAnsi="Calibri" w:cs="Calibri"/>
                <w:b/>
                <w:bCs/>
                <w:i/>
                <w:iCs/>
                <w:strike/>
                <w:lang w:eastAsia="zh-CN"/>
              </w:rPr>
              <w:t>separation measures</w:t>
            </w:r>
            <w:r w:rsidRPr="00982E42">
              <w:rPr>
                <w:rFonts w:ascii="Calibri" w:eastAsia="DengXian" w:hAnsi="Calibri" w:cs="Calibri"/>
                <w:lang w:eastAsia="zh-CN"/>
              </w:rPr>
              <w:t xml:space="preserve"> </w:t>
            </w:r>
            <w:r w:rsidRPr="00982E42">
              <w:rPr>
                <w:rFonts w:ascii="Calibri" w:eastAsia="DengXian" w:hAnsi="Calibri" w:cs="Calibri"/>
                <w:b/>
                <w:bCs/>
                <w:i/>
                <w:iCs/>
                <w:strike/>
                <w:lang w:eastAsia="zh-CN"/>
              </w:rPr>
              <w:t>that provide for a segregated office space and secure access for employees and other</w:t>
            </w:r>
            <w:r w:rsidRPr="00982E42">
              <w:rPr>
                <w:rFonts w:ascii="Calibri" w:eastAsia="DengXian" w:hAnsi="Calibri" w:cs="Calibri"/>
                <w:lang w:eastAsia="zh-CN"/>
              </w:rPr>
              <w:t xml:space="preserve"> </w:t>
            </w:r>
            <w:r w:rsidRPr="00982E42">
              <w:rPr>
                <w:rFonts w:ascii="Calibri" w:eastAsia="DengXian" w:hAnsi="Calibri" w:cs="Calibri"/>
                <w:b/>
                <w:bCs/>
                <w:i/>
                <w:iCs/>
                <w:lang w:eastAsia="zh-CN"/>
              </w:rPr>
              <w:t>designed to safeguard confidential information and ensure the independence of</w:t>
            </w:r>
            <w:r w:rsidRPr="00982E42">
              <w:rPr>
                <w:rFonts w:ascii="Calibri" w:eastAsia="DengXian" w:hAnsi="Calibri" w:cs="Calibri"/>
                <w:lang w:eastAsia="zh-CN"/>
              </w:rPr>
              <w:t xml:space="preserve"> persons directly involved in the assessment </w:t>
            </w:r>
            <w:r w:rsidRPr="00982E42">
              <w:rPr>
                <w:rFonts w:ascii="Calibri" w:eastAsia="DengXian" w:hAnsi="Calibri" w:cs="Calibri"/>
                <w:b/>
                <w:bCs/>
                <w:i/>
                <w:iCs/>
                <w:lang w:eastAsia="zh-CN"/>
              </w:rPr>
              <w:t>activities</w:t>
            </w:r>
            <w:r w:rsidRPr="00982E42">
              <w:rPr>
                <w:rFonts w:ascii="Calibri" w:eastAsia="DengXian" w:hAnsi="Calibri" w:cs="Calibri"/>
                <w:lang w:eastAsia="zh-CN"/>
              </w:rPr>
              <w:t xml:space="preserve"> </w:t>
            </w:r>
            <w:r w:rsidRPr="00982E42">
              <w:rPr>
                <w:rFonts w:ascii="Calibri" w:eastAsia="DengXian" w:hAnsi="Calibri" w:cs="Calibri"/>
                <w:b/>
                <w:bCs/>
                <w:i/>
                <w:iCs/>
                <w:strike/>
                <w:lang w:eastAsia="zh-CN"/>
              </w:rPr>
              <w:t xml:space="preserve">process </w:t>
            </w:r>
            <w:r w:rsidRPr="00982E42">
              <w:rPr>
                <w:rFonts w:ascii="Calibri" w:eastAsia="DengXian" w:hAnsi="Calibri" w:cs="Calibri"/>
                <w:lang w:eastAsia="zh-CN"/>
              </w:rPr>
              <w:t xml:space="preserve">of a rated item; </w:t>
            </w:r>
          </w:p>
        </w:tc>
      </w:tr>
    </w:tbl>
    <w:p w14:paraId="5B3AF6C0" w14:textId="77777777" w:rsidR="00621975" w:rsidRDefault="00621975" w:rsidP="00DC46CB">
      <w:pPr>
        <w:spacing w:after="160" w:line="259" w:lineRule="auto"/>
        <w:rPr>
          <w:rFonts w:ascii="Calibri" w:eastAsia="Calibri" w:hAnsi="Calibri"/>
          <w:kern w:val="2"/>
          <w:lang w:eastAsia="en-US"/>
          <w14:ligatures w14:val="standardContextual"/>
        </w:rPr>
      </w:pPr>
    </w:p>
    <w:p w14:paraId="5112D111" w14:textId="77777777" w:rsidR="000821D2" w:rsidRDefault="000821D2" w:rsidP="00D665C0">
      <w:pPr>
        <w:spacing w:after="160" w:line="259" w:lineRule="auto"/>
        <w:rPr>
          <w:rFonts w:ascii="Calibri" w:eastAsia="Calibri" w:hAnsi="Calibri"/>
          <w:kern w:val="2"/>
          <w:sz w:val="22"/>
          <w:szCs w:val="22"/>
          <w:lang w:eastAsia="en-US"/>
          <w14:ligatures w14:val="standardContextual"/>
        </w:rPr>
      </w:pPr>
    </w:p>
    <w:permEnd w:id="1667529024"/>
    <w:p w14:paraId="578EB98F" w14:textId="27430490" w:rsidR="001B1B48" w:rsidRPr="002E1149" w:rsidRDefault="001B1B48" w:rsidP="00D665C0">
      <w:pPr>
        <w:spacing w:after="160" w:line="259" w:lineRule="auto"/>
        <w:rPr>
          <w:rFonts w:ascii="Calibri" w:eastAsia="Calibri" w:hAnsi="Calibri"/>
          <w:kern w:val="2"/>
          <w:sz w:val="22"/>
          <w:szCs w:val="22"/>
          <w:lang w:eastAsia="en-US"/>
          <w14:ligatures w14:val="standardContextual"/>
        </w:rPr>
      </w:pPr>
      <w:r w:rsidRPr="002E1149">
        <w:rPr>
          <w:rFonts w:ascii="Calibri" w:eastAsia="Calibri" w:hAnsi="Calibri"/>
          <w:kern w:val="2"/>
          <w:sz w:val="22"/>
          <w:szCs w:val="22"/>
          <w:lang w:eastAsia="en-US"/>
          <w14:ligatures w14:val="standardContextual"/>
        </w:rPr>
        <w:t>&lt;ESMA_QUESTION_</w:t>
      </w:r>
      <w:r w:rsidR="0037311D" w:rsidRPr="002E1149">
        <w:rPr>
          <w:rFonts w:ascii="Calibri" w:eastAsia="Calibri" w:hAnsi="Calibri"/>
          <w:kern w:val="2"/>
          <w:sz w:val="22"/>
          <w:szCs w:val="22"/>
          <w:lang w:eastAsia="en-US"/>
          <w14:ligatures w14:val="standardContextual"/>
        </w:rPr>
        <w:t xml:space="preserve"> E</w:t>
      </w:r>
      <w:r w:rsidR="00AB2C3F" w:rsidRPr="002E1149">
        <w:rPr>
          <w:rFonts w:ascii="Calibri" w:eastAsia="Calibri" w:hAnsi="Calibri"/>
          <w:kern w:val="2"/>
          <w:sz w:val="22"/>
          <w:szCs w:val="22"/>
          <w:lang w:eastAsia="en-US"/>
          <w14:ligatures w14:val="standardContextual"/>
        </w:rPr>
        <w:t>SGR</w:t>
      </w:r>
      <w:r w:rsidRPr="002E1149">
        <w:rPr>
          <w:rFonts w:ascii="Calibri" w:eastAsia="Calibri" w:hAnsi="Calibri"/>
          <w:kern w:val="2"/>
          <w:sz w:val="22"/>
          <w:szCs w:val="22"/>
          <w:lang w:eastAsia="en-US"/>
          <w14:ligatures w14:val="standardContextual"/>
        </w:rPr>
        <w:t>_2&gt;</w:t>
      </w:r>
    </w:p>
    <w:p w14:paraId="19719837" w14:textId="77777777" w:rsidR="001B1B48" w:rsidRPr="002E1149"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48CD3680" w14:textId="0FAD1DA6" w:rsidR="005D45D3" w:rsidRPr="00982E42" w:rsidRDefault="00091188" w:rsidP="005D45D3">
      <w:pPr>
        <w:spacing w:after="160" w:line="259" w:lineRule="auto"/>
        <w:rPr>
          <w:rFonts w:ascii="Calibri" w:eastAsia="Calibri" w:hAnsi="Calibri"/>
          <w:kern w:val="2"/>
          <w:lang w:eastAsia="en-US"/>
          <w14:ligatures w14:val="standardContextual"/>
        </w:rPr>
      </w:pPr>
      <w:permStart w:id="669658389" w:edGrp="everyone"/>
      <w:r w:rsidRPr="00982E42">
        <w:rPr>
          <w:rFonts w:ascii="Calibri" w:eastAsia="Calibri" w:hAnsi="Calibri"/>
          <w:kern w:val="2"/>
          <w:lang w:eastAsia="en-US"/>
          <w14:ligatures w14:val="standardContextual"/>
        </w:rPr>
        <w:t xml:space="preserve">We believe that the proposed </w:t>
      </w:r>
      <w:r w:rsidR="00F756F7" w:rsidRPr="00982E42">
        <w:rPr>
          <w:rFonts w:ascii="Calibri" w:eastAsia="Calibri" w:hAnsi="Calibri"/>
          <w:kern w:val="2"/>
          <w:lang w:eastAsia="en-US"/>
          <w14:ligatures w14:val="standardContextual"/>
        </w:rPr>
        <w:t xml:space="preserve">disclosure requirements </w:t>
      </w:r>
      <w:r w:rsidR="006F1313" w:rsidRPr="00982E42">
        <w:rPr>
          <w:rFonts w:ascii="Calibri" w:eastAsia="Calibri" w:hAnsi="Calibri"/>
          <w:kern w:val="2"/>
          <w:lang w:eastAsia="en-US"/>
          <w14:ligatures w14:val="standardContextual"/>
        </w:rPr>
        <w:t xml:space="preserve">on the whole </w:t>
      </w:r>
      <w:r w:rsidR="009977A7" w:rsidRPr="00982E42">
        <w:rPr>
          <w:rFonts w:ascii="Calibri" w:eastAsia="Calibri" w:hAnsi="Calibri"/>
          <w:kern w:val="2"/>
          <w:lang w:eastAsia="en-US"/>
          <w14:ligatures w14:val="standardContextual"/>
        </w:rPr>
        <w:t xml:space="preserve">are </w:t>
      </w:r>
      <w:r w:rsidR="00F12107" w:rsidRPr="00982E42">
        <w:rPr>
          <w:rFonts w:ascii="Calibri" w:eastAsia="Calibri" w:hAnsi="Calibri"/>
          <w:kern w:val="2"/>
          <w:lang w:eastAsia="en-US"/>
          <w14:ligatures w14:val="standardContextual"/>
        </w:rPr>
        <w:t xml:space="preserve">overly detailed </w:t>
      </w:r>
      <w:r w:rsidR="005C0357" w:rsidRPr="00982E42">
        <w:rPr>
          <w:rFonts w:ascii="Calibri" w:eastAsia="Calibri" w:hAnsi="Calibri"/>
          <w:kern w:val="2"/>
          <w:lang w:eastAsia="en-US"/>
          <w14:ligatures w14:val="standardContextual"/>
        </w:rPr>
        <w:t xml:space="preserve">and would benefit from significant </w:t>
      </w:r>
      <w:r w:rsidR="00A00BD3" w:rsidRPr="00982E42">
        <w:rPr>
          <w:rFonts w:ascii="Calibri" w:eastAsia="Calibri" w:hAnsi="Calibri"/>
          <w:kern w:val="2"/>
          <w:lang w:eastAsia="en-US"/>
          <w14:ligatures w14:val="standardContextual"/>
        </w:rPr>
        <w:t>simplification</w:t>
      </w:r>
      <w:r w:rsidR="005D45D3" w:rsidRPr="00982E42">
        <w:rPr>
          <w:rFonts w:ascii="Calibri" w:eastAsia="Calibri" w:hAnsi="Calibri"/>
          <w:kern w:val="2"/>
          <w:lang w:eastAsia="en-US"/>
          <w14:ligatures w14:val="standardContextual"/>
        </w:rPr>
        <w:t>, as set out in the following</w:t>
      </w:r>
      <w:r w:rsidR="004462EE" w:rsidRPr="00982E42">
        <w:rPr>
          <w:rFonts w:ascii="Calibri" w:eastAsia="Calibri" w:hAnsi="Calibri"/>
          <w:kern w:val="2"/>
          <w:lang w:eastAsia="en-US"/>
          <w14:ligatures w14:val="standardContextual"/>
        </w:rPr>
        <w:t>:</w:t>
      </w:r>
      <w:r w:rsidR="005D45D3" w:rsidRPr="00982E42">
        <w:rPr>
          <w:rFonts w:ascii="Calibri" w:eastAsia="Calibri" w:hAnsi="Calibri"/>
          <w:kern w:val="2"/>
          <w:lang w:eastAsia="en-US"/>
          <w14:ligatures w14:val="standardContextual"/>
        </w:rPr>
        <w:t xml:space="preserve"> </w:t>
      </w:r>
    </w:p>
    <w:p w14:paraId="1D99C13A" w14:textId="76CA4530" w:rsidR="00A91CE3" w:rsidRPr="00982E42" w:rsidRDefault="00A91CE3" w:rsidP="005D45D3">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t xml:space="preserve">Article </w:t>
      </w:r>
      <w:r w:rsidR="00C04FC4" w:rsidRPr="00982E42">
        <w:rPr>
          <w:rFonts w:ascii="Calibri" w:eastAsia="Calibri" w:hAnsi="Calibri"/>
          <w:kern w:val="2"/>
          <w:lang w:eastAsia="en-US"/>
          <w14:ligatures w14:val="standardContextual"/>
        </w:rPr>
        <w:t xml:space="preserve">4.1 assumes a lot of technical detail that might not be relevant </w:t>
      </w:r>
      <w:r w:rsidR="001D5239" w:rsidRPr="00982E42">
        <w:rPr>
          <w:rFonts w:ascii="Calibri" w:eastAsia="Calibri" w:hAnsi="Calibri"/>
          <w:kern w:val="2"/>
          <w:lang w:eastAsia="en-US"/>
          <w14:ligatures w14:val="standardContextual"/>
        </w:rPr>
        <w:t>in every instance</w:t>
      </w:r>
      <w:r w:rsidR="00961CF2" w:rsidRPr="00982E42">
        <w:rPr>
          <w:rFonts w:ascii="Calibri" w:eastAsia="Calibri" w:hAnsi="Calibri"/>
          <w:kern w:val="2"/>
          <w:lang w:eastAsia="en-US"/>
          <w14:ligatures w14:val="standardContextual"/>
        </w:rPr>
        <w:t xml:space="preserve">, given the wide </w:t>
      </w:r>
      <w:r w:rsidR="000059D8" w:rsidRPr="00982E42">
        <w:rPr>
          <w:rFonts w:ascii="Calibri" w:eastAsia="Calibri" w:hAnsi="Calibri"/>
          <w:kern w:val="2"/>
          <w:lang w:eastAsia="en-US"/>
          <w14:ligatures w14:val="standardContextual"/>
        </w:rPr>
        <w:t>scope of application of the Regulation</w:t>
      </w:r>
      <w:r w:rsidR="00C04FC4" w:rsidRPr="00982E42">
        <w:rPr>
          <w:rFonts w:ascii="Calibri" w:eastAsia="Calibri" w:hAnsi="Calibri"/>
          <w:kern w:val="2"/>
          <w:lang w:eastAsia="en-US"/>
          <w14:ligatures w14:val="standardContextual"/>
        </w:rPr>
        <w:t xml:space="preserve">, and we suggest </w:t>
      </w:r>
      <w:r w:rsidR="00602E63" w:rsidRPr="00982E42">
        <w:rPr>
          <w:rFonts w:ascii="Calibri" w:eastAsia="Calibri" w:hAnsi="Calibri"/>
          <w:kern w:val="2"/>
          <w:lang w:eastAsia="en-US"/>
          <w14:ligatures w14:val="standardContextual"/>
        </w:rPr>
        <w:t xml:space="preserve">clarifications that these are subject to applicability. </w:t>
      </w:r>
    </w:p>
    <w:tbl>
      <w:tblPr>
        <w:tblStyle w:val="TableGrid6"/>
        <w:tblW w:w="0" w:type="auto"/>
        <w:tblLook w:val="04A0" w:firstRow="1" w:lastRow="0" w:firstColumn="1" w:lastColumn="0" w:noHBand="0" w:noVBand="1"/>
      </w:tblPr>
      <w:tblGrid>
        <w:gridCol w:w="4517"/>
        <w:gridCol w:w="4543"/>
      </w:tblGrid>
      <w:tr w:rsidR="00447767" w:rsidRPr="004E052F" w14:paraId="60DB4B6D" w14:textId="77777777">
        <w:tc>
          <w:tcPr>
            <w:tcW w:w="4517" w:type="dxa"/>
          </w:tcPr>
          <w:p w14:paraId="0F645B2C" w14:textId="77777777" w:rsidR="00447767" w:rsidRPr="00982E42" w:rsidRDefault="00447767" w:rsidP="00982E42">
            <w:pPr>
              <w:spacing w:after="160" w:line="259" w:lineRule="auto"/>
              <w:jc w:val="center"/>
              <w:rPr>
                <w:rFonts w:ascii="Calibri" w:eastAsia="Calibri" w:hAnsi="Calibri"/>
                <w:b/>
                <w:lang w:eastAsia="en-US"/>
              </w:rPr>
            </w:pPr>
            <w:r w:rsidRPr="00982E42">
              <w:rPr>
                <w:rFonts w:ascii="Calibri" w:eastAsia="Calibri" w:hAnsi="Calibri"/>
                <w:b/>
                <w:lang w:eastAsia="en-US"/>
              </w:rPr>
              <w:t>ESMA’s Proposed RTS</w:t>
            </w:r>
          </w:p>
        </w:tc>
        <w:tc>
          <w:tcPr>
            <w:tcW w:w="4543" w:type="dxa"/>
          </w:tcPr>
          <w:p w14:paraId="180A5E95" w14:textId="77777777" w:rsidR="00447767" w:rsidRPr="00982E42" w:rsidRDefault="00447767" w:rsidP="00982E42">
            <w:pPr>
              <w:spacing w:after="160" w:line="259" w:lineRule="auto"/>
              <w:jc w:val="center"/>
              <w:rPr>
                <w:rFonts w:ascii="Calibri" w:eastAsia="Calibri" w:hAnsi="Calibri"/>
                <w:b/>
                <w:lang w:eastAsia="en-US"/>
              </w:rPr>
            </w:pPr>
            <w:r w:rsidRPr="00982E42">
              <w:rPr>
                <w:rFonts w:ascii="Calibri" w:eastAsia="Calibri" w:hAnsi="Calibri"/>
                <w:b/>
                <w:lang w:eastAsia="en-US"/>
              </w:rPr>
              <w:t>New Proposed Text</w:t>
            </w:r>
          </w:p>
        </w:tc>
      </w:tr>
      <w:tr w:rsidR="00447767" w:rsidRPr="004E052F" w14:paraId="5850019A" w14:textId="77777777">
        <w:tc>
          <w:tcPr>
            <w:tcW w:w="4517" w:type="dxa"/>
          </w:tcPr>
          <w:p w14:paraId="57E97182" w14:textId="77777777" w:rsidR="00447767" w:rsidRPr="00982E42" w:rsidRDefault="00447767">
            <w:pPr>
              <w:spacing w:after="160" w:line="259" w:lineRule="auto"/>
              <w:rPr>
                <w:rFonts w:ascii="Calibri" w:eastAsia="Calibri" w:hAnsi="Calibri"/>
                <w:b/>
                <w:bCs/>
                <w:lang w:eastAsia="en-US"/>
              </w:rPr>
            </w:pPr>
            <w:r w:rsidRPr="00982E42">
              <w:rPr>
                <w:rFonts w:ascii="Calibri" w:eastAsia="Calibri" w:hAnsi="Calibri"/>
                <w:b/>
                <w:bCs/>
                <w:lang w:eastAsia="en-US"/>
              </w:rPr>
              <w:t>Article 4</w:t>
            </w:r>
          </w:p>
          <w:p w14:paraId="31B46B0F" w14:textId="77777777" w:rsidR="00447767" w:rsidRPr="00982E42" w:rsidRDefault="00447767">
            <w:pPr>
              <w:spacing w:after="160" w:line="259" w:lineRule="auto"/>
              <w:rPr>
                <w:rFonts w:ascii="Calibri" w:eastAsia="Calibri" w:hAnsi="Calibri"/>
                <w:b/>
                <w:bCs/>
                <w:lang w:eastAsia="en-US"/>
              </w:rPr>
            </w:pPr>
          </w:p>
          <w:p w14:paraId="717BE853"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1. As part of the information disclosed in accordance with Annex III, point 1, letter (a), of Regulation (EU) 2024/3005, ESG rating providers shall include all of the following: </w:t>
            </w:r>
          </w:p>
          <w:p w14:paraId="398CBC1A" w14:textId="77777777" w:rsidR="00447767" w:rsidRPr="00982E42" w:rsidRDefault="00447767">
            <w:pPr>
              <w:spacing w:after="160" w:line="259" w:lineRule="auto"/>
              <w:rPr>
                <w:rFonts w:ascii="Calibri" w:eastAsia="Calibri" w:hAnsi="Calibri"/>
                <w:lang w:eastAsia="en-US"/>
              </w:rPr>
            </w:pPr>
          </w:p>
          <w:p w14:paraId="67190656"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(a) the name or unique identifier of the applicable methodology; </w:t>
            </w:r>
          </w:p>
          <w:p w14:paraId="461509BA"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(b) the list and overview of relevant supporting models and key rating assumptions; </w:t>
            </w:r>
          </w:p>
          <w:p w14:paraId="30230168"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(c) the time-horizon over which the ESG rating is considered valid; </w:t>
            </w:r>
          </w:p>
          <w:p w14:paraId="49F9CEA5"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(d) the time-horizon of the backward-looking data and forward-looking data taken into consideration; </w:t>
            </w:r>
          </w:p>
          <w:p w14:paraId="0F795DF2"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(e) how major new information is taken into account in the methodology; </w:t>
            </w:r>
          </w:p>
          <w:p w14:paraId="3E15C3C3"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lastRenderedPageBreak/>
              <w:t>(f) the dates of the last update of the methodology and the changes made compared to the previous version;</w:t>
            </w:r>
          </w:p>
          <w:p w14:paraId="6403E82E" w14:textId="77777777" w:rsidR="00447767" w:rsidRPr="00982E42" w:rsidRDefault="00447767">
            <w:pPr>
              <w:spacing w:after="160" w:line="259" w:lineRule="auto"/>
              <w:rPr>
                <w:rFonts w:ascii="Calibri" w:eastAsia="Calibri" w:hAnsi="Calibri"/>
                <w:b/>
                <w:bCs/>
                <w:lang w:eastAsia="en-US"/>
              </w:rPr>
            </w:pPr>
            <w:r w:rsidRPr="00982E42">
              <w:rPr>
                <w:rFonts w:ascii="Calibri" w:eastAsia="Calibri" w:hAnsi="Calibri"/>
                <w:lang w:eastAsia="en-US"/>
              </w:rPr>
              <w:t xml:space="preserve">(g) data estimation methods and methods to address limitations in data sources; </w:t>
            </w:r>
          </w:p>
          <w:p w14:paraId="04EF0C79" w14:textId="77777777" w:rsidR="00447767" w:rsidRPr="00982E42" w:rsidRDefault="00447767">
            <w:pPr>
              <w:spacing w:after="160" w:line="259" w:lineRule="auto"/>
              <w:rPr>
                <w:rFonts w:ascii="Calibri" w:eastAsia="Calibri" w:hAnsi="Calibri"/>
                <w:lang w:eastAsia="en-US"/>
              </w:rPr>
            </w:pPr>
          </w:p>
        </w:tc>
        <w:tc>
          <w:tcPr>
            <w:tcW w:w="4543" w:type="dxa"/>
          </w:tcPr>
          <w:p w14:paraId="61BE36AD" w14:textId="77777777" w:rsidR="00447767" w:rsidRPr="00982E42" w:rsidRDefault="00447767">
            <w:pPr>
              <w:spacing w:after="160" w:line="259" w:lineRule="auto"/>
              <w:rPr>
                <w:rFonts w:ascii="Calibri" w:eastAsia="Calibri" w:hAnsi="Calibri"/>
                <w:b/>
                <w:bCs/>
                <w:lang w:eastAsia="en-US"/>
              </w:rPr>
            </w:pPr>
            <w:r w:rsidRPr="00982E42">
              <w:rPr>
                <w:rFonts w:ascii="Calibri" w:eastAsia="Calibri" w:hAnsi="Calibri"/>
                <w:b/>
                <w:bCs/>
                <w:lang w:eastAsia="en-US"/>
              </w:rPr>
              <w:lastRenderedPageBreak/>
              <w:t>Article 4</w:t>
            </w:r>
          </w:p>
          <w:p w14:paraId="594477F1" w14:textId="77777777" w:rsidR="00447767" w:rsidRPr="00982E42" w:rsidRDefault="00447767">
            <w:pPr>
              <w:spacing w:after="160" w:line="259" w:lineRule="auto"/>
              <w:rPr>
                <w:rFonts w:ascii="Calibri" w:eastAsia="Calibri" w:hAnsi="Calibri"/>
                <w:b/>
                <w:bCs/>
                <w:lang w:eastAsia="en-US"/>
              </w:rPr>
            </w:pPr>
          </w:p>
          <w:p w14:paraId="32BA4460"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1. As part of the information disclosed in accordance with Annex III, point 1, letter (a), of Regulation (EU) 2024/3005, ESG rating providers shall include all of the following: </w:t>
            </w:r>
          </w:p>
          <w:p w14:paraId="2EDDD8F7" w14:textId="77777777" w:rsidR="00447767" w:rsidRPr="00982E42" w:rsidRDefault="00447767">
            <w:pPr>
              <w:spacing w:after="160" w:line="259" w:lineRule="auto"/>
              <w:rPr>
                <w:rFonts w:ascii="Calibri" w:eastAsia="Calibri" w:hAnsi="Calibri"/>
                <w:lang w:eastAsia="en-US"/>
              </w:rPr>
            </w:pPr>
          </w:p>
          <w:p w14:paraId="0FD93727"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(a) the name or unique identifier of the applicable methodology; </w:t>
            </w:r>
          </w:p>
          <w:p w14:paraId="1B258838"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(b) </w:t>
            </w:r>
            <w:r w:rsidRPr="00982E42">
              <w:rPr>
                <w:rFonts w:ascii="Calibri" w:eastAsia="Calibri" w:hAnsi="Calibri"/>
                <w:b/>
                <w:bCs/>
                <w:i/>
                <w:iCs/>
                <w:lang w:eastAsia="en-US"/>
              </w:rPr>
              <w:t xml:space="preserve">where applicable, </w:t>
            </w:r>
            <w:r w:rsidRPr="00982E42">
              <w:rPr>
                <w:rFonts w:ascii="Calibri" w:eastAsia="Calibri" w:hAnsi="Calibri"/>
                <w:lang w:eastAsia="en-US"/>
              </w:rPr>
              <w:t xml:space="preserve">the list and overview of relevant supporting models and key rating assumptions; </w:t>
            </w:r>
          </w:p>
          <w:p w14:paraId="09E796E7"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(c) </w:t>
            </w:r>
            <w:r w:rsidRPr="00982E42">
              <w:rPr>
                <w:rFonts w:ascii="Calibri" w:eastAsia="Calibri" w:hAnsi="Calibri"/>
                <w:b/>
                <w:bCs/>
                <w:i/>
                <w:iCs/>
                <w:lang w:eastAsia="en-US"/>
              </w:rPr>
              <w:t xml:space="preserve">where applicable, </w:t>
            </w:r>
            <w:r w:rsidRPr="00982E42">
              <w:rPr>
                <w:rFonts w:ascii="Calibri" w:eastAsia="Calibri" w:hAnsi="Calibri"/>
                <w:lang w:eastAsia="en-US"/>
              </w:rPr>
              <w:t xml:space="preserve">the time-horizon over which the ESG rating is considered valid; </w:t>
            </w:r>
          </w:p>
          <w:p w14:paraId="1494C522"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(d) </w:t>
            </w:r>
            <w:r w:rsidRPr="00982E42">
              <w:rPr>
                <w:rFonts w:ascii="Calibri" w:eastAsia="Calibri" w:hAnsi="Calibri"/>
                <w:b/>
                <w:bCs/>
                <w:i/>
                <w:iCs/>
                <w:lang w:eastAsia="en-US"/>
              </w:rPr>
              <w:t xml:space="preserve">where applicable, </w:t>
            </w:r>
            <w:r w:rsidRPr="00982E42">
              <w:rPr>
                <w:rFonts w:ascii="Calibri" w:eastAsia="Calibri" w:hAnsi="Calibri"/>
                <w:lang w:eastAsia="en-US"/>
              </w:rPr>
              <w:t xml:space="preserve">the time-horizon of the backward-looking data and forward-looking data taken into consideration; </w:t>
            </w:r>
          </w:p>
          <w:p w14:paraId="2A5B5915" w14:textId="541AE73B" w:rsidR="00447767" w:rsidRPr="00982E42" w:rsidRDefault="4652F571">
            <w:pPr>
              <w:spacing w:after="160" w:line="259" w:lineRule="auto"/>
              <w:rPr>
                <w:rFonts w:ascii="Calibri" w:eastAsia="Calibri" w:hAnsi="Calibri"/>
                <w:lang w:eastAsia="en-US"/>
              </w:rPr>
            </w:pPr>
            <w:r w:rsidRPr="43B5B80E">
              <w:rPr>
                <w:rFonts w:ascii="Calibri" w:eastAsia="Calibri" w:hAnsi="Calibri"/>
                <w:lang w:eastAsia="en-US"/>
              </w:rPr>
              <w:t xml:space="preserve">(e) </w:t>
            </w:r>
            <w:r w:rsidR="00BA7CED" w:rsidRPr="00BA7CED">
              <w:rPr>
                <w:rFonts w:ascii="Calibri" w:eastAsia="Calibri" w:hAnsi="Calibri"/>
                <w:b/>
                <w:bCs/>
                <w:i/>
                <w:iCs/>
                <w:lang w:eastAsia="en-US"/>
              </w:rPr>
              <w:t>where applicable,</w:t>
            </w:r>
            <w:r w:rsidR="00447767" w:rsidRPr="43B5B80E">
              <w:rPr>
                <w:rFonts w:ascii="Calibri" w:eastAsia="Calibri" w:hAnsi="Calibri"/>
                <w:lang w:eastAsia="en-US"/>
              </w:rPr>
              <w:t xml:space="preserve"> how major new information is taken into account in</w:t>
            </w:r>
            <w:r w:rsidR="00B43C9E">
              <w:rPr>
                <w:rFonts w:ascii="Calibri" w:eastAsia="Calibri" w:hAnsi="Calibri"/>
                <w:b/>
                <w:bCs/>
                <w:lang w:eastAsia="en-US"/>
              </w:rPr>
              <w:t xml:space="preserve"> </w:t>
            </w:r>
            <w:r w:rsidR="00447767" w:rsidRPr="43B5B80E">
              <w:rPr>
                <w:rFonts w:ascii="Calibri" w:eastAsia="Calibri" w:hAnsi="Calibri"/>
                <w:lang w:eastAsia="en-US"/>
              </w:rPr>
              <w:t xml:space="preserve">the methodology; </w:t>
            </w:r>
          </w:p>
          <w:p w14:paraId="0D754928"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lastRenderedPageBreak/>
              <w:t>(f) the dates of the last update of the methodology and the changes made compared to the previous version;</w:t>
            </w:r>
          </w:p>
          <w:p w14:paraId="678444CB" w14:textId="77777777" w:rsidR="00447767" w:rsidRPr="00982E42" w:rsidRDefault="00447767">
            <w:pPr>
              <w:spacing w:after="160" w:line="259" w:lineRule="auto"/>
              <w:rPr>
                <w:rFonts w:ascii="Calibri" w:eastAsia="Calibri" w:hAnsi="Calibri"/>
                <w:lang w:eastAsia="en-US"/>
              </w:rPr>
            </w:pPr>
            <w:r w:rsidRPr="00982E42">
              <w:rPr>
                <w:rFonts w:ascii="Calibri" w:eastAsia="Calibri" w:hAnsi="Calibri"/>
                <w:lang w:eastAsia="en-US"/>
              </w:rPr>
              <w:t xml:space="preserve">(g) </w:t>
            </w:r>
            <w:r w:rsidRPr="00982E42">
              <w:rPr>
                <w:rFonts w:ascii="Calibri" w:eastAsia="Calibri" w:hAnsi="Calibri"/>
                <w:b/>
                <w:bCs/>
                <w:i/>
                <w:iCs/>
                <w:lang w:eastAsia="en-US"/>
              </w:rPr>
              <w:t xml:space="preserve">where applicable, </w:t>
            </w:r>
            <w:r w:rsidRPr="00982E42">
              <w:rPr>
                <w:rFonts w:ascii="Calibri" w:eastAsia="Calibri" w:hAnsi="Calibri"/>
                <w:lang w:eastAsia="en-US"/>
              </w:rPr>
              <w:t xml:space="preserve">data estimation methods and methods to address limitations in data sources; </w:t>
            </w:r>
          </w:p>
        </w:tc>
      </w:tr>
    </w:tbl>
    <w:p w14:paraId="5016A27C" w14:textId="77777777" w:rsidR="00447767" w:rsidRDefault="00447767" w:rsidP="005D45D3">
      <w:pPr>
        <w:spacing w:after="160" w:line="259" w:lineRule="auto"/>
        <w:rPr>
          <w:rFonts w:ascii="Calibri" w:eastAsia="Calibri" w:hAnsi="Calibri"/>
          <w:kern w:val="2"/>
          <w:sz w:val="22"/>
          <w:szCs w:val="22"/>
          <w:lang w:eastAsia="en-US"/>
          <w14:ligatures w14:val="standardContextual"/>
        </w:rPr>
      </w:pPr>
    </w:p>
    <w:p w14:paraId="606BC04D" w14:textId="21B48D29" w:rsidR="00D763FD" w:rsidRPr="00982E42" w:rsidRDefault="00D775FC" w:rsidP="001F122C">
      <w:pPr>
        <w:spacing w:after="160" w:line="259" w:lineRule="auto"/>
        <w:rPr>
          <w:rFonts w:ascii="Calibri" w:eastAsia="Calibri" w:hAnsi="Calibri"/>
          <w:kern w:val="2"/>
          <w:lang w:eastAsia="en-US"/>
          <w14:ligatures w14:val="standardContextual"/>
        </w:rPr>
      </w:pPr>
      <w:r>
        <w:rPr>
          <w:rFonts w:ascii="Calibri" w:eastAsia="Calibri" w:hAnsi="Calibri"/>
          <w:kern w:val="2"/>
          <w:lang w:eastAsia="en-US"/>
          <w14:ligatures w14:val="standardContextual"/>
        </w:rPr>
        <w:t>W</w:t>
      </w:r>
      <w:r w:rsidR="00D763FD" w:rsidRPr="00982E42">
        <w:rPr>
          <w:rFonts w:ascii="Calibri" w:eastAsia="Calibri" w:hAnsi="Calibri"/>
          <w:kern w:val="2"/>
          <w:lang w:eastAsia="en-US"/>
          <w14:ligatures w14:val="standardContextual"/>
        </w:rPr>
        <w:t>e</w:t>
      </w:r>
      <w:r>
        <w:rPr>
          <w:rFonts w:ascii="Calibri" w:eastAsia="Calibri" w:hAnsi="Calibri"/>
          <w:kern w:val="2"/>
          <w:lang w:eastAsia="en-US"/>
          <w14:ligatures w14:val="standardContextual"/>
        </w:rPr>
        <w:t xml:space="preserve"> further</w:t>
      </w:r>
      <w:r w:rsidR="00D763FD" w:rsidRPr="00982E42">
        <w:rPr>
          <w:rFonts w:ascii="Calibri" w:eastAsia="Calibri" w:hAnsi="Calibri"/>
          <w:kern w:val="2"/>
          <w:lang w:eastAsia="en-US"/>
          <w14:ligatures w14:val="standardContextual"/>
        </w:rPr>
        <w:t xml:space="preserve"> suggest deleting Article 4.4</w:t>
      </w:r>
      <w:r w:rsidR="001A3A70" w:rsidRPr="00982E42">
        <w:rPr>
          <w:rFonts w:ascii="Calibri" w:eastAsia="Calibri" w:hAnsi="Calibri"/>
          <w:kern w:val="2"/>
          <w:lang w:eastAsia="en-US"/>
          <w14:ligatures w14:val="standardContextual"/>
        </w:rPr>
        <w:t xml:space="preserve"> of the draft RTS</w:t>
      </w:r>
      <w:r w:rsidR="00526016" w:rsidRPr="00982E42">
        <w:rPr>
          <w:rFonts w:ascii="Calibri" w:eastAsia="Calibri" w:hAnsi="Calibri"/>
          <w:kern w:val="2"/>
          <w:lang w:eastAsia="en-US"/>
          <w14:ligatures w14:val="standardContextual"/>
        </w:rPr>
        <w:t xml:space="preserve"> as the </w:t>
      </w:r>
      <w:r w:rsidR="00876162" w:rsidRPr="00982E42">
        <w:rPr>
          <w:rFonts w:ascii="Calibri" w:eastAsia="Calibri" w:hAnsi="Calibri"/>
          <w:kern w:val="2"/>
          <w:lang w:eastAsia="en-US"/>
          <w14:ligatures w14:val="standardContextual"/>
        </w:rPr>
        <w:t>text of the underlying Regulation is sufficiently clear and</w:t>
      </w:r>
      <w:r w:rsidR="00CF5C2D" w:rsidRPr="00982E42">
        <w:rPr>
          <w:rFonts w:ascii="Calibri" w:eastAsia="Calibri" w:hAnsi="Calibri"/>
          <w:kern w:val="2"/>
          <w:lang w:eastAsia="en-US"/>
          <w14:ligatures w14:val="standardContextual"/>
        </w:rPr>
        <w:t xml:space="preserve"> the expected classification of </w:t>
      </w:r>
      <w:r w:rsidR="00F23232" w:rsidRPr="00982E42">
        <w:rPr>
          <w:rFonts w:ascii="Calibri" w:eastAsia="Calibri" w:hAnsi="Calibri"/>
          <w:kern w:val="2"/>
          <w:lang w:eastAsia="en-US"/>
          <w14:ligatures w14:val="standardContextual"/>
        </w:rPr>
        <w:t>AI technologies into specific “types”</w:t>
      </w:r>
      <w:r w:rsidR="00CF5C2D" w:rsidRPr="00982E42">
        <w:rPr>
          <w:rFonts w:ascii="Calibri" w:eastAsia="Calibri" w:hAnsi="Calibri"/>
          <w:kern w:val="2"/>
          <w:lang w:eastAsia="en-US"/>
          <w14:ligatures w14:val="standardContextual"/>
        </w:rPr>
        <w:t xml:space="preserve"> introduces unnecessary uncertainty</w:t>
      </w:r>
      <w:r w:rsidR="00F23232" w:rsidRPr="00982E42">
        <w:rPr>
          <w:rFonts w:ascii="Calibri" w:eastAsia="Calibri" w:hAnsi="Calibri"/>
          <w:kern w:val="2"/>
          <w:lang w:eastAsia="en-US"/>
          <w14:ligatures w14:val="standardContextual"/>
        </w:rPr>
        <w:t xml:space="preserve">. </w:t>
      </w:r>
      <w:r w:rsidR="00D763FD" w:rsidRPr="00982E42">
        <w:rPr>
          <w:rFonts w:ascii="Calibri" w:eastAsia="Calibri" w:hAnsi="Calibri"/>
          <w:kern w:val="2"/>
          <w:lang w:eastAsia="en-US"/>
          <w14:ligatures w14:val="standardContextual"/>
        </w:rPr>
        <w:t xml:space="preserve"> </w:t>
      </w:r>
    </w:p>
    <w:p w14:paraId="4BE62EDB" w14:textId="43C38E08" w:rsidR="005C72B3" w:rsidRPr="00982E42" w:rsidRDefault="005C72B3" w:rsidP="00154339">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t xml:space="preserve">We are concerned that Article 5 of the proposed RTS </w:t>
      </w:r>
      <w:r w:rsidR="009626E3" w:rsidRPr="00982E42">
        <w:rPr>
          <w:rFonts w:ascii="Calibri" w:eastAsia="Calibri" w:hAnsi="Calibri"/>
          <w:kern w:val="2"/>
          <w:lang w:eastAsia="en-US"/>
          <w14:ligatures w14:val="standardContextual"/>
        </w:rPr>
        <w:t xml:space="preserve">exaggerates the shortcomings of </w:t>
      </w:r>
      <w:r w:rsidR="002D47FE" w:rsidRPr="00982E42">
        <w:rPr>
          <w:rFonts w:ascii="Calibri" w:eastAsia="Calibri" w:hAnsi="Calibri"/>
          <w:kern w:val="2"/>
          <w:lang w:eastAsia="en-US"/>
          <w14:ligatures w14:val="standardContextual"/>
        </w:rPr>
        <w:t>data sources, methodologies and information</w:t>
      </w:r>
      <w:r w:rsidR="003F400E" w:rsidRPr="00982E42">
        <w:rPr>
          <w:rFonts w:ascii="Calibri" w:eastAsia="Calibri" w:hAnsi="Calibri"/>
          <w:kern w:val="2"/>
          <w:lang w:eastAsia="en-US"/>
          <w14:ligatures w14:val="standardContextual"/>
        </w:rPr>
        <w:t xml:space="preserve">. </w:t>
      </w:r>
      <w:r w:rsidR="0090509E" w:rsidRPr="00982E42">
        <w:rPr>
          <w:rFonts w:ascii="Calibri" w:eastAsia="Calibri" w:hAnsi="Calibri"/>
          <w:kern w:val="2"/>
          <w:lang w:eastAsia="en-US"/>
          <w14:ligatures w14:val="standardContextual"/>
        </w:rPr>
        <w:t>Again, we consider that the</w:t>
      </w:r>
      <w:r w:rsidR="00AC2CAB" w:rsidRPr="00982E42">
        <w:rPr>
          <w:rFonts w:ascii="Calibri" w:eastAsia="Calibri" w:hAnsi="Calibri"/>
          <w:kern w:val="2"/>
          <w:lang w:eastAsia="en-US"/>
          <w14:ligatures w14:val="standardContextual"/>
        </w:rPr>
        <w:t xml:space="preserve"> </w:t>
      </w:r>
      <w:r w:rsidR="008A3B70" w:rsidRPr="00982E42">
        <w:rPr>
          <w:rFonts w:ascii="Calibri" w:eastAsia="Calibri" w:hAnsi="Calibri"/>
          <w:kern w:val="2"/>
          <w:lang w:eastAsia="en-US"/>
          <w14:ligatures w14:val="standardContextual"/>
        </w:rPr>
        <w:t>underlying Regulation</w:t>
      </w:r>
      <w:r w:rsidR="0090509E" w:rsidRPr="00982E42">
        <w:rPr>
          <w:rFonts w:ascii="Calibri" w:eastAsia="Calibri" w:hAnsi="Calibri"/>
          <w:kern w:val="2"/>
          <w:lang w:eastAsia="en-US"/>
          <w14:ligatures w14:val="standardContextual"/>
        </w:rPr>
        <w:t xml:space="preserve"> is sufficiently clear and suggest deletion</w:t>
      </w:r>
      <w:r w:rsidR="008A3B70" w:rsidRPr="00982E42">
        <w:rPr>
          <w:rFonts w:ascii="Calibri" w:eastAsia="Calibri" w:hAnsi="Calibri"/>
          <w:kern w:val="2"/>
          <w:lang w:eastAsia="en-US"/>
          <w14:ligatures w14:val="standardContextual"/>
        </w:rPr>
        <w:t xml:space="preserve">. </w:t>
      </w:r>
    </w:p>
    <w:p w14:paraId="1417D331" w14:textId="78251389" w:rsidR="00E2263C" w:rsidRPr="00982E42" w:rsidRDefault="00725117" w:rsidP="00154339">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t>Regarding Article 6</w:t>
      </w:r>
      <w:r w:rsidR="00C40512" w:rsidRPr="00982E42">
        <w:rPr>
          <w:rFonts w:ascii="Calibri" w:eastAsia="Calibri" w:hAnsi="Calibri"/>
          <w:kern w:val="2"/>
          <w:lang w:eastAsia="en-US"/>
          <w14:ligatures w14:val="standardContextual"/>
        </w:rPr>
        <w:t>, point 1 (a) (b) and (c)</w:t>
      </w:r>
      <w:r w:rsidR="00D163BB" w:rsidRPr="00982E42">
        <w:rPr>
          <w:rFonts w:ascii="Calibri" w:eastAsia="Calibri" w:hAnsi="Calibri"/>
          <w:kern w:val="2"/>
          <w:lang w:eastAsia="en-US"/>
          <w14:ligatures w14:val="standardContextual"/>
        </w:rPr>
        <w:t xml:space="preserve"> of the draft RTS </w:t>
      </w:r>
      <w:r w:rsidR="007C1FE5" w:rsidRPr="00982E42">
        <w:rPr>
          <w:rFonts w:ascii="Calibri" w:eastAsia="Calibri" w:hAnsi="Calibri"/>
          <w:kern w:val="2"/>
          <w:lang w:eastAsia="en-US"/>
          <w14:ligatures w14:val="standardContextual"/>
        </w:rPr>
        <w:t>we propose alignment of the language</w:t>
      </w:r>
      <w:r w:rsidR="002F15F4" w:rsidRPr="00982E42">
        <w:rPr>
          <w:rFonts w:ascii="Calibri" w:eastAsia="Calibri" w:hAnsi="Calibri"/>
          <w:kern w:val="2"/>
          <w:lang w:eastAsia="en-US"/>
          <w14:ligatures w14:val="standardContextual"/>
        </w:rPr>
        <w:t xml:space="preserve"> </w:t>
      </w:r>
      <w:r w:rsidR="00C40512" w:rsidRPr="00982E42">
        <w:rPr>
          <w:rFonts w:ascii="Calibri" w:eastAsia="Calibri" w:hAnsi="Calibri"/>
          <w:kern w:val="2"/>
          <w:lang w:eastAsia="en-US"/>
          <w14:ligatures w14:val="standardContextual"/>
        </w:rPr>
        <w:t xml:space="preserve">with Annex III, point 1 , letter (n), of </w:t>
      </w:r>
      <w:r w:rsidR="00A2077D">
        <w:rPr>
          <w:rFonts w:ascii="Calibri" w:eastAsia="Calibri" w:hAnsi="Calibri"/>
          <w:kern w:val="2"/>
          <w:lang w:eastAsia="en-US"/>
          <w14:ligatures w14:val="standardContextual"/>
        </w:rPr>
        <w:t>ESGRAR</w:t>
      </w:r>
      <w:r w:rsidR="00C40512" w:rsidRPr="00982E42">
        <w:rPr>
          <w:rFonts w:ascii="Calibri" w:eastAsia="Calibri" w:hAnsi="Calibri"/>
          <w:kern w:val="2"/>
          <w:lang w:eastAsia="en-US"/>
          <w14:ligatures w14:val="standardContextual"/>
        </w:rPr>
        <w:t xml:space="preserve">, </w:t>
      </w:r>
      <w:r w:rsidR="002F15F4" w:rsidRPr="00982E42">
        <w:rPr>
          <w:rFonts w:ascii="Calibri" w:eastAsia="Calibri" w:hAnsi="Calibri"/>
          <w:kern w:val="2"/>
          <w:lang w:eastAsia="en-US"/>
          <w14:ligatures w14:val="standardContextual"/>
        </w:rPr>
        <w:t>so as</w:t>
      </w:r>
      <w:r w:rsidR="007012DE" w:rsidRPr="00982E42">
        <w:rPr>
          <w:rFonts w:ascii="Calibri" w:eastAsia="Calibri" w:hAnsi="Calibri"/>
          <w:kern w:val="2"/>
          <w:lang w:eastAsia="en-US"/>
          <w14:ligatures w14:val="standardContextual"/>
        </w:rPr>
        <w:t xml:space="preserve"> to mirror the materiality </w:t>
      </w:r>
      <w:r w:rsidR="00282AB0" w:rsidRPr="00982E42">
        <w:rPr>
          <w:rFonts w:ascii="Calibri" w:eastAsia="Calibri" w:hAnsi="Calibri"/>
          <w:kern w:val="2"/>
          <w:lang w:eastAsia="en-US"/>
          <w14:ligatures w14:val="standardContextual"/>
        </w:rPr>
        <w:t>qualifications</w:t>
      </w:r>
      <w:r w:rsidR="007012DE" w:rsidRPr="00982E42">
        <w:rPr>
          <w:rFonts w:ascii="Calibri" w:eastAsia="Calibri" w:hAnsi="Calibri"/>
          <w:kern w:val="2"/>
          <w:lang w:eastAsia="en-US"/>
          <w14:ligatures w14:val="standardContextual"/>
        </w:rPr>
        <w:t xml:space="preserve"> of the underlying legal text</w:t>
      </w:r>
      <w:r w:rsidR="00715F08" w:rsidRPr="00982E42">
        <w:rPr>
          <w:rFonts w:ascii="Calibri" w:eastAsia="Calibri" w:hAnsi="Calibri"/>
          <w:kern w:val="2"/>
          <w:lang w:eastAsia="en-US"/>
          <w14:ligatures w14:val="standardContextual"/>
        </w:rPr>
        <w:t>, as follows:</w:t>
      </w:r>
      <w:r w:rsidR="007565EB" w:rsidRPr="00982E42">
        <w:rPr>
          <w:rFonts w:ascii="Calibri" w:eastAsia="Calibri" w:hAnsi="Calibri"/>
          <w:kern w:val="2"/>
          <w:lang w:eastAsia="en-US"/>
          <w14:ligatures w14:val="standardContextual"/>
        </w:rPr>
        <w:t xml:space="preserve"> </w:t>
      </w:r>
    </w:p>
    <w:tbl>
      <w:tblPr>
        <w:tblStyle w:val="TableGrid6"/>
        <w:tblW w:w="0" w:type="auto"/>
        <w:tblLook w:val="04A0" w:firstRow="1" w:lastRow="0" w:firstColumn="1" w:lastColumn="0" w:noHBand="0" w:noVBand="1"/>
      </w:tblPr>
      <w:tblGrid>
        <w:gridCol w:w="4517"/>
        <w:gridCol w:w="4543"/>
      </w:tblGrid>
      <w:tr w:rsidR="000E058A" w:rsidRPr="004E052F" w14:paraId="2C164741" w14:textId="77777777">
        <w:tc>
          <w:tcPr>
            <w:tcW w:w="4517" w:type="dxa"/>
          </w:tcPr>
          <w:p w14:paraId="3D03F7BC" w14:textId="77777777" w:rsidR="000E058A" w:rsidRPr="00982E42" w:rsidRDefault="000E058A" w:rsidP="00982E42">
            <w:pPr>
              <w:spacing w:after="160" w:line="259" w:lineRule="auto"/>
              <w:jc w:val="center"/>
              <w:rPr>
                <w:rFonts w:ascii="Calibri" w:eastAsia="Calibri" w:hAnsi="Calibri"/>
                <w:b/>
                <w:lang w:eastAsia="en-US"/>
              </w:rPr>
            </w:pPr>
            <w:r w:rsidRPr="00982E42">
              <w:rPr>
                <w:rFonts w:ascii="Calibri" w:eastAsia="Calibri" w:hAnsi="Calibri"/>
                <w:b/>
                <w:lang w:eastAsia="en-US"/>
              </w:rPr>
              <w:t>ESMA’s Proposed RTS</w:t>
            </w:r>
          </w:p>
        </w:tc>
        <w:tc>
          <w:tcPr>
            <w:tcW w:w="4543" w:type="dxa"/>
          </w:tcPr>
          <w:p w14:paraId="5C43B226" w14:textId="77777777" w:rsidR="000E058A" w:rsidRPr="00982E42" w:rsidRDefault="000E058A" w:rsidP="00982E42">
            <w:pPr>
              <w:spacing w:after="160" w:line="259" w:lineRule="auto"/>
              <w:jc w:val="center"/>
              <w:rPr>
                <w:rFonts w:ascii="Calibri" w:eastAsia="Calibri" w:hAnsi="Calibri"/>
                <w:b/>
                <w:lang w:eastAsia="en-US"/>
              </w:rPr>
            </w:pPr>
            <w:r w:rsidRPr="00982E42">
              <w:rPr>
                <w:rFonts w:ascii="Calibri" w:eastAsia="Calibri" w:hAnsi="Calibri"/>
                <w:b/>
                <w:lang w:eastAsia="en-US"/>
              </w:rPr>
              <w:t>New Proposed Text</w:t>
            </w:r>
          </w:p>
        </w:tc>
      </w:tr>
      <w:tr w:rsidR="000E058A" w:rsidRPr="004E052F" w14:paraId="0C7442F5" w14:textId="77777777">
        <w:tc>
          <w:tcPr>
            <w:tcW w:w="4517" w:type="dxa"/>
          </w:tcPr>
          <w:p w14:paraId="2E50F7E8" w14:textId="77777777" w:rsidR="00864F6E" w:rsidRPr="00982E42" w:rsidRDefault="00864F6E" w:rsidP="00864F6E">
            <w:pPr>
              <w:spacing w:after="160" w:line="259" w:lineRule="auto"/>
              <w:rPr>
                <w:rFonts w:ascii="Calibri" w:eastAsia="Calibri" w:hAnsi="Calibri"/>
                <w:b/>
                <w:bCs/>
                <w:lang w:eastAsia="en-US"/>
              </w:rPr>
            </w:pPr>
            <w:r w:rsidRPr="00982E42">
              <w:rPr>
                <w:rFonts w:ascii="Calibri" w:eastAsia="Calibri" w:hAnsi="Calibri"/>
                <w:b/>
                <w:bCs/>
                <w:lang w:eastAsia="en-US"/>
              </w:rPr>
              <w:t>Article 6</w:t>
            </w:r>
          </w:p>
          <w:p w14:paraId="734351C6" w14:textId="77777777" w:rsidR="00864F6E" w:rsidRPr="00982E42" w:rsidRDefault="00864F6E" w:rsidP="00864F6E">
            <w:pPr>
              <w:spacing w:after="160" w:line="259" w:lineRule="auto"/>
              <w:rPr>
                <w:rFonts w:ascii="Calibri" w:eastAsia="Calibri" w:hAnsi="Calibri"/>
                <w:lang w:eastAsia="en-US"/>
              </w:rPr>
            </w:pPr>
            <w:r w:rsidRPr="00982E42">
              <w:rPr>
                <w:rFonts w:ascii="Calibri" w:eastAsia="Calibri" w:hAnsi="Calibri"/>
                <w:lang w:eastAsia="en-US"/>
              </w:rPr>
              <w:t xml:space="preserve">1. As part of the information disclosed in accordance with Annex III, point 1 , letter (n), of Regulation (EU) 2024/3005, ESG rating providers shall explain the following: </w:t>
            </w:r>
          </w:p>
          <w:p w14:paraId="78A5189B" w14:textId="2354BE0D" w:rsidR="00864F6E" w:rsidRPr="00982E42" w:rsidRDefault="00864F6E" w:rsidP="00864F6E">
            <w:pPr>
              <w:spacing w:after="160" w:line="259" w:lineRule="auto"/>
              <w:rPr>
                <w:rFonts w:ascii="Calibri" w:eastAsia="Calibri" w:hAnsi="Calibri"/>
                <w:lang w:eastAsia="en-US"/>
              </w:rPr>
            </w:pPr>
            <w:r w:rsidRPr="00982E42">
              <w:rPr>
                <w:rFonts w:ascii="Calibri" w:eastAsia="Calibri" w:hAnsi="Calibri"/>
                <w:lang w:eastAsia="en-US"/>
              </w:rPr>
              <w:t>(a)</w:t>
            </w:r>
            <w:r w:rsidRPr="00982E42">
              <w:rPr>
                <w:rFonts w:ascii="Calibri" w:eastAsia="Calibri" w:hAnsi="Calibri"/>
                <w:lang w:eastAsia="en-US"/>
              </w:rPr>
              <w:tab/>
              <w:t xml:space="preserve">in which areas the identified risks occur; </w:t>
            </w:r>
          </w:p>
          <w:p w14:paraId="70ADDFED" w14:textId="77777777" w:rsidR="00864F6E" w:rsidRPr="00982E42" w:rsidRDefault="00864F6E" w:rsidP="00864F6E">
            <w:pPr>
              <w:spacing w:after="160" w:line="259" w:lineRule="auto"/>
              <w:rPr>
                <w:rFonts w:ascii="Calibri" w:eastAsia="Calibri" w:hAnsi="Calibri"/>
                <w:lang w:eastAsia="en-US"/>
              </w:rPr>
            </w:pPr>
            <w:r w:rsidRPr="00982E42">
              <w:rPr>
                <w:rFonts w:ascii="Calibri" w:eastAsia="Calibri" w:hAnsi="Calibri"/>
                <w:lang w:eastAsia="en-US"/>
              </w:rPr>
              <w:t>(b)</w:t>
            </w:r>
            <w:r w:rsidRPr="00982E42">
              <w:rPr>
                <w:rFonts w:ascii="Calibri" w:eastAsia="Calibri" w:hAnsi="Calibri"/>
                <w:lang w:eastAsia="en-US"/>
              </w:rPr>
              <w:tab/>
              <w:t xml:space="preserve">why the ESG rating provider considers the identified risks to pose an actual or potential conflict of interest; </w:t>
            </w:r>
          </w:p>
          <w:p w14:paraId="45D9C6DC" w14:textId="6E823114" w:rsidR="000E058A" w:rsidRPr="00982E42" w:rsidRDefault="00864F6E" w:rsidP="007661AF">
            <w:pPr>
              <w:spacing w:after="160" w:line="259" w:lineRule="auto"/>
              <w:rPr>
                <w:rFonts w:ascii="Calibri" w:eastAsia="Calibri" w:hAnsi="Calibri"/>
                <w:lang w:eastAsia="en-US"/>
              </w:rPr>
            </w:pPr>
            <w:r w:rsidRPr="00982E42">
              <w:rPr>
                <w:rFonts w:ascii="Calibri" w:eastAsia="Calibri" w:hAnsi="Calibri"/>
                <w:lang w:eastAsia="en-US"/>
              </w:rPr>
              <w:t>(c)</w:t>
            </w:r>
            <w:r w:rsidRPr="00982E42">
              <w:rPr>
                <w:rFonts w:ascii="Calibri" w:eastAsia="Calibri" w:hAnsi="Calibri"/>
                <w:lang w:eastAsia="en-US"/>
              </w:rPr>
              <w:tab/>
              <w:t xml:space="preserve">how the identified risks are mitigated; </w:t>
            </w:r>
          </w:p>
        </w:tc>
        <w:tc>
          <w:tcPr>
            <w:tcW w:w="4543" w:type="dxa"/>
          </w:tcPr>
          <w:p w14:paraId="6FCB3746" w14:textId="77777777" w:rsidR="001C118E" w:rsidRPr="00982E42" w:rsidRDefault="001C118E" w:rsidP="001C118E">
            <w:pPr>
              <w:spacing w:after="160" w:line="259" w:lineRule="auto"/>
              <w:rPr>
                <w:rFonts w:ascii="Calibri" w:eastAsia="Calibri" w:hAnsi="Calibri"/>
                <w:b/>
                <w:bCs/>
                <w:lang w:eastAsia="en-US"/>
              </w:rPr>
            </w:pPr>
            <w:r w:rsidRPr="00982E42">
              <w:rPr>
                <w:rFonts w:ascii="Calibri" w:eastAsia="Calibri" w:hAnsi="Calibri"/>
                <w:b/>
                <w:bCs/>
                <w:lang w:eastAsia="en-US"/>
              </w:rPr>
              <w:t>Article 6</w:t>
            </w:r>
          </w:p>
          <w:p w14:paraId="62146526" w14:textId="77777777" w:rsidR="001C118E" w:rsidRPr="00982E42" w:rsidRDefault="001C118E" w:rsidP="001C118E">
            <w:pPr>
              <w:spacing w:after="160" w:line="259" w:lineRule="auto"/>
              <w:rPr>
                <w:rFonts w:ascii="Calibri" w:eastAsia="Calibri" w:hAnsi="Calibri"/>
                <w:lang w:eastAsia="en-US"/>
              </w:rPr>
            </w:pPr>
            <w:r w:rsidRPr="00982E42">
              <w:rPr>
                <w:rFonts w:ascii="Calibri" w:eastAsia="Calibri" w:hAnsi="Calibri"/>
                <w:lang w:eastAsia="en-US"/>
              </w:rPr>
              <w:t xml:space="preserve">1. As part of the information disclosed in accordance with Annex III, point 1 , letter (n), of Regulation (EU) 2024/3005, ESG rating providers shall explain the following: </w:t>
            </w:r>
          </w:p>
          <w:p w14:paraId="43795239" w14:textId="77777777" w:rsidR="001C118E" w:rsidRPr="00982E42" w:rsidRDefault="001C118E" w:rsidP="001C118E">
            <w:pPr>
              <w:spacing w:after="160" w:line="259" w:lineRule="auto"/>
              <w:rPr>
                <w:rFonts w:ascii="Calibri" w:eastAsia="Calibri" w:hAnsi="Calibri"/>
                <w:lang w:eastAsia="en-US"/>
              </w:rPr>
            </w:pPr>
            <w:r w:rsidRPr="00982E42">
              <w:rPr>
                <w:rFonts w:ascii="Calibri" w:eastAsia="Calibri" w:hAnsi="Calibri"/>
                <w:lang w:eastAsia="en-US"/>
              </w:rPr>
              <w:t>(a)</w:t>
            </w:r>
            <w:r w:rsidRPr="00982E42">
              <w:rPr>
                <w:rFonts w:ascii="Calibri" w:eastAsia="Calibri" w:hAnsi="Calibri"/>
                <w:lang w:eastAsia="en-US"/>
              </w:rPr>
              <w:tab/>
              <w:t xml:space="preserve">in which areas the identified </w:t>
            </w:r>
            <w:r w:rsidRPr="00982E42">
              <w:rPr>
                <w:rFonts w:ascii="Calibri" w:eastAsia="Calibri" w:hAnsi="Calibri"/>
                <w:b/>
                <w:bCs/>
                <w:i/>
                <w:iCs/>
                <w:lang w:eastAsia="en-US"/>
              </w:rPr>
              <w:t>main</w:t>
            </w:r>
            <w:r w:rsidRPr="00982E42">
              <w:rPr>
                <w:rFonts w:ascii="Calibri" w:eastAsia="Calibri" w:hAnsi="Calibri"/>
                <w:lang w:eastAsia="en-US"/>
              </w:rPr>
              <w:t xml:space="preserve"> risks occur; </w:t>
            </w:r>
          </w:p>
          <w:p w14:paraId="2054325F" w14:textId="77777777" w:rsidR="001C118E" w:rsidRPr="00982E42" w:rsidRDefault="001C118E" w:rsidP="001C118E">
            <w:pPr>
              <w:spacing w:after="160" w:line="259" w:lineRule="auto"/>
              <w:rPr>
                <w:rFonts w:ascii="Calibri" w:eastAsia="Calibri" w:hAnsi="Calibri"/>
                <w:lang w:eastAsia="en-US"/>
              </w:rPr>
            </w:pPr>
            <w:r w:rsidRPr="00982E42">
              <w:rPr>
                <w:rFonts w:ascii="Calibri" w:eastAsia="Calibri" w:hAnsi="Calibri"/>
                <w:lang w:eastAsia="en-US"/>
              </w:rPr>
              <w:t>(b)</w:t>
            </w:r>
            <w:r w:rsidRPr="00982E42">
              <w:rPr>
                <w:rFonts w:ascii="Calibri" w:eastAsia="Calibri" w:hAnsi="Calibri"/>
                <w:lang w:eastAsia="en-US"/>
              </w:rPr>
              <w:tab/>
              <w:t xml:space="preserve">why the ESG rating provider considers the identified </w:t>
            </w:r>
            <w:r w:rsidRPr="00982E42">
              <w:rPr>
                <w:rFonts w:ascii="Calibri" w:eastAsia="Calibri" w:hAnsi="Calibri"/>
                <w:b/>
                <w:bCs/>
                <w:i/>
                <w:iCs/>
                <w:lang w:eastAsia="en-US"/>
              </w:rPr>
              <w:t>main</w:t>
            </w:r>
            <w:r w:rsidRPr="00982E42">
              <w:rPr>
                <w:rFonts w:ascii="Calibri" w:eastAsia="Calibri" w:hAnsi="Calibri"/>
                <w:lang w:eastAsia="en-US"/>
              </w:rPr>
              <w:t xml:space="preserve"> risks to pose an actual or potential conflict of interest; </w:t>
            </w:r>
          </w:p>
          <w:p w14:paraId="15C04719" w14:textId="36B29718" w:rsidR="000E058A" w:rsidRPr="00982E42" w:rsidRDefault="001C118E">
            <w:pPr>
              <w:spacing w:after="160" w:line="259" w:lineRule="auto"/>
              <w:rPr>
                <w:rFonts w:ascii="Calibri" w:eastAsia="Calibri" w:hAnsi="Calibri"/>
                <w:lang w:eastAsia="en-US"/>
              </w:rPr>
            </w:pPr>
            <w:r w:rsidRPr="00982E42">
              <w:rPr>
                <w:rFonts w:ascii="Calibri" w:eastAsia="Calibri" w:hAnsi="Calibri"/>
                <w:lang w:eastAsia="en-US"/>
              </w:rPr>
              <w:t>(c)</w:t>
            </w:r>
            <w:r w:rsidRPr="00982E42">
              <w:rPr>
                <w:rFonts w:ascii="Calibri" w:eastAsia="Calibri" w:hAnsi="Calibri"/>
                <w:lang w:eastAsia="en-US"/>
              </w:rPr>
              <w:tab/>
              <w:t xml:space="preserve">how the identified </w:t>
            </w:r>
            <w:r w:rsidRPr="00982E42">
              <w:rPr>
                <w:rFonts w:ascii="Calibri" w:eastAsia="Calibri" w:hAnsi="Calibri"/>
                <w:b/>
                <w:bCs/>
                <w:i/>
                <w:iCs/>
                <w:lang w:eastAsia="en-US"/>
              </w:rPr>
              <w:t>main</w:t>
            </w:r>
            <w:r w:rsidRPr="00982E42">
              <w:rPr>
                <w:rFonts w:ascii="Calibri" w:eastAsia="Calibri" w:hAnsi="Calibri"/>
                <w:lang w:eastAsia="en-US"/>
              </w:rPr>
              <w:t xml:space="preserve"> risks are mitigated; </w:t>
            </w:r>
          </w:p>
        </w:tc>
      </w:tr>
    </w:tbl>
    <w:p w14:paraId="6823A25B" w14:textId="77777777" w:rsidR="00715F08" w:rsidRPr="002E1149" w:rsidRDefault="00715F08" w:rsidP="00154339">
      <w:pPr>
        <w:spacing w:after="160" w:line="259" w:lineRule="auto"/>
        <w:rPr>
          <w:rFonts w:ascii="Calibri" w:eastAsia="Calibri" w:hAnsi="Calibri"/>
          <w:kern w:val="2"/>
          <w:sz w:val="22"/>
          <w:szCs w:val="22"/>
          <w:lang w:eastAsia="en-US"/>
          <w14:ligatures w14:val="standardContextual"/>
        </w:rPr>
      </w:pPr>
    </w:p>
    <w:p w14:paraId="3968F019" w14:textId="43AF979E" w:rsidR="00F577B9" w:rsidRPr="00982E42" w:rsidRDefault="00F577B9" w:rsidP="00154339">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t>We suggest deleting Article 6 point 1 (d)</w:t>
      </w:r>
      <w:r w:rsidR="002C066B" w:rsidRPr="00982E42">
        <w:rPr>
          <w:rFonts w:ascii="Calibri" w:eastAsia="Calibri" w:hAnsi="Calibri"/>
          <w:kern w:val="2"/>
          <w:lang w:eastAsia="en-US"/>
          <w14:ligatures w14:val="standardContextual"/>
        </w:rPr>
        <w:t xml:space="preserve"> as it unnecessarily singles out one particular type of possible conflicts of interest</w:t>
      </w:r>
      <w:r w:rsidR="00DF7957" w:rsidRPr="00982E42">
        <w:rPr>
          <w:rFonts w:ascii="Calibri" w:eastAsia="Calibri" w:hAnsi="Calibri"/>
          <w:kern w:val="2"/>
          <w:lang w:eastAsia="en-US"/>
          <w14:ligatures w14:val="standardContextual"/>
        </w:rPr>
        <w:t xml:space="preserve"> and stands at odd</w:t>
      </w:r>
      <w:r w:rsidR="00260B1C" w:rsidRPr="00982E42">
        <w:rPr>
          <w:rFonts w:ascii="Calibri" w:eastAsia="Calibri" w:hAnsi="Calibri"/>
          <w:kern w:val="2"/>
          <w:lang w:eastAsia="en-US"/>
          <w14:ligatures w14:val="standardContextual"/>
        </w:rPr>
        <w:t>s</w:t>
      </w:r>
      <w:r w:rsidR="00DF7957" w:rsidRPr="00982E42">
        <w:rPr>
          <w:rFonts w:ascii="Calibri" w:eastAsia="Calibri" w:hAnsi="Calibri"/>
          <w:kern w:val="2"/>
          <w:lang w:eastAsia="en-US"/>
          <w14:ligatures w14:val="standardContextual"/>
        </w:rPr>
        <w:t xml:space="preserve"> with the more</w:t>
      </w:r>
      <w:r w:rsidR="00D71B92" w:rsidRPr="00982E42">
        <w:rPr>
          <w:rFonts w:ascii="Calibri" w:eastAsia="Calibri" w:hAnsi="Calibri"/>
          <w:kern w:val="2"/>
          <w:lang w:eastAsia="en-US"/>
          <w14:ligatures w14:val="standardContextual"/>
        </w:rPr>
        <w:t xml:space="preserve"> appropriately</w:t>
      </w:r>
      <w:r w:rsidR="00DF7957" w:rsidRPr="00982E42">
        <w:rPr>
          <w:rFonts w:ascii="Calibri" w:eastAsia="Calibri" w:hAnsi="Calibri"/>
          <w:kern w:val="2"/>
          <w:lang w:eastAsia="en-US"/>
          <w14:ligatures w14:val="standardContextual"/>
        </w:rPr>
        <w:t xml:space="preserve"> </w:t>
      </w:r>
      <w:r w:rsidR="00D71B92" w:rsidRPr="00982E42">
        <w:rPr>
          <w:rFonts w:ascii="Calibri" w:eastAsia="Calibri" w:hAnsi="Calibri"/>
          <w:kern w:val="2"/>
          <w:lang w:eastAsia="en-US"/>
          <w14:ligatures w14:val="standardContextual"/>
        </w:rPr>
        <w:t xml:space="preserve">risk-focused requirements in </w:t>
      </w:r>
      <w:r w:rsidR="00CB12FE" w:rsidRPr="00982E42">
        <w:rPr>
          <w:rFonts w:ascii="Calibri" w:eastAsia="Calibri" w:hAnsi="Calibri"/>
          <w:kern w:val="2"/>
          <w:lang w:eastAsia="en-US"/>
          <w14:ligatures w14:val="standardContextual"/>
        </w:rPr>
        <w:t xml:space="preserve">draft Articles 1(a)-(c). </w:t>
      </w:r>
    </w:p>
    <w:p w14:paraId="1A8562F8" w14:textId="1FFD2FE9" w:rsidR="00C114AA" w:rsidRPr="00982E42" w:rsidRDefault="004659D5" w:rsidP="00154339">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lastRenderedPageBreak/>
        <w:t>We suggest deleting Article 6.2. The required detail is</w:t>
      </w:r>
      <w:r w:rsidR="00606857">
        <w:rPr>
          <w:rFonts w:ascii="Calibri" w:eastAsia="Calibri" w:hAnsi="Calibri"/>
          <w:kern w:val="2"/>
          <w:lang w:eastAsia="en-US"/>
          <w14:ligatures w14:val="standardContextual"/>
        </w:rPr>
        <w:t xml:space="preserve"> extensive and may at most be</w:t>
      </w:r>
      <w:r w:rsidRPr="00982E42">
        <w:rPr>
          <w:rFonts w:ascii="Calibri" w:eastAsia="Calibri" w:hAnsi="Calibri"/>
          <w:kern w:val="2"/>
          <w:lang w:eastAsia="en-US"/>
          <w14:ligatures w14:val="standardContextual"/>
        </w:rPr>
        <w:t xml:space="preserve"> </w:t>
      </w:r>
      <w:r w:rsidR="00D90958">
        <w:rPr>
          <w:rFonts w:ascii="Calibri" w:eastAsia="Calibri" w:hAnsi="Calibri"/>
          <w:kern w:val="2"/>
          <w:lang w:eastAsia="en-US"/>
          <w14:ligatures w14:val="standardContextual"/>
        </w:rPr>
        <w:t xml:space="preserve">deemed </w:t>
      </w:r>
      <w:r w:rsidRPr="00982E42">
        <w:rPr>
          <w:rFonts w:ascii="Calibri" w:eastAsia="Calibri" w:hAnsi="Calibri"/>
          <w:kern w:val="2"/>
          <w:lang w:eastAsia="en-US"/>
          <w14:ligatures w14:val="standardContextual"/>
        </w:rPr>
        <w:t>appropriate for supervisory purposes</w:t>
      </w:r>
      <w:r w:rsidR="00ED2CB2">
        <w:rPr>
          <w:rFonts w:ascii="Calibri" w:eastAsia="Calibri" w:hAnsi="Calibri"/>
          <w:kern w:val="2"/>
          <w:lang w:eastAsia="en-US"/>
          <w14:ligatures w14:val="standardContextual"/>
        </w:rPr>
        <w:t>. In contrast,</w:t>
      </w:r>
      <w:r w:rsidR="00B21B33" w:rsidRPr="00982E42">
        <w:rPr>
          <w:rFonts w:ascii="Calibri" w:eastAsia="Calibri" w:hAnsi="Calibri"/>
          <w:kern w:val="2"/>
          <w:lang w:eastAsia="en-US"/>
          <w14:ligatures w14:val="standardContextual"/>
        </w:rPr>
        <w:t xml:space="preserve"> public disclosure is not justified by the </w:t>
      </w:r>
      <w:r w:rsidR="00692E5B" w:rsidRPr="00982E42">
        <w:rPr>
          <w:rFonts w:ascii="Calibri" w:eastAsia="Calibri" w:hAnsi="Calibri"/>
          <w:kern w:val="2"/>
          <w:lang w:eastAsia="en-US"/>
          <w14:ligatures w14:val="standardContextual"/>
        </w:rPr>
        <w:t>requirements</w:t>
      </w:r>
      <w:r w:rsidR="00B21B33" w:rsidRPr="00982E42">
        <w:rPr>
          <w:rFonts w:ascii="Calibri" w:eastAsia="Calibri" w:hAnsi="Calibri"/>
          <w:kern w:val="2"/>
          <w:lang w:eastAsia="en-US"/>
          <w14:ligatures w14:val="standardContextual"/>
        </w:rPr>
        <w:t xml:space="preserve"> of the underlying Regulation. We do not think </w:t>
      </w:r>
      <w:r w:rsidR="00C46046" w:rsidRPr="00982E42">
        <w:rPr>
          <w:rFonts w:ascii="Calibri" w:eastAsia="Calibri" w:hAnsi="Calibri"/>
          <w:kern w:val="2"/>
          <w:lang w:eastAsia="en-US"/>
          <w14:ligatures w14:val="standardContextual"/>
        </w:rPr>
        <w:t xml:space="preserve">that </w:t>
      </w:r>
      <w:r w:rsidR="00111F00" w:rsidRPr="00982E42">
        <w:rPr>
          <w:rFonts w:ascii="Calibri" w:eastAsia="Calibri" w:hAnsi="Calibri"/>
          <w:kern w:val="2"/>
          <w:lang w:eastAsia="en-US"/>
          <w14:ligatures w14:val="standardContextual"/>
        </w:rPr>
        <w:t xml:space="preserve">the underlying requirements about disclosure </w:t>
      </w:r>
      <w:r w:rsidR="00011F78" w:rsidRPr="00982E42">
        <w:rPr>
          <w:rFonts w:ascii="Calibri" w:eastAsia="Calibri" w:hAnsi="Calibri"/>
          <w:kern w:val="2"/>
          <w:lang w:eastAsia="en-US"/>
          <w14:ligatures w14:val="standardContextual"/>
        </w:rPr>
        <w:t xml:space="preserve">in respect of ESG rating providers’ ownership </w:t>
      </w:r>
      <w:r w:rsidR="00FE62E8" w:rsidRPr="00982E42">
        <w:rPr>
          <w:rFonts w:ascii="Calibri" w:eastAsia="Calibri" w:hAnsi="Calibri"/>
          <w:kern w:val="2"/>
          <w:lang w:eastAsia="en-US"/>
          <w14:ligatures w14:val="standardContextual"/>
        </w:rPr>
        <w:t>warrant further clarification</w:t>
      </w:r>
      <w:r w:rsidR="00011F78" w:rsidRPr="00982E42">
        <w:rPr>
          <w:rFonts w:ascii="Calibri" w:eastAsia="Calibri" w:hAnsi="Calibri"/>
          <w:kern w:val="2"/>
          <w:lang w:eastAsia="en-US"/>
          <w14:ligatures w14:val="standardContextual"/>
        </w:rPr>
        <w:t>.</w:t>
      </w:r>
    </w:p>
    <w:p w14:paraId="403B63B9" w14:textId="7FCEA875" w:rsidR="006C1B34" w:rsidRPr="00982E42" w:rsidRDefault="00C114AA" w:rsidP="007B485C">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t>We suggest deletion of Article 6.3</w:t>
      </w:r>
      <w:r w:rsidR="00921FE2" w:rsidRPr="00982E42">
        <w:rPr>
          <w:rFonts w:ascii="Calibri" w:eastAsia="Calibri" w:hAnsi="Calibri"/>
          <w:kern w:val="2"/>
          <w:lang w:eastAsia="en-US"/>
          <w14:ligatures w14:val="standardContextual"/>
        </w:rPr>
        <w:t>, subpoints (c) and (d)</w:t>
      </w:r>
      <w:r w:rsidR="007B485C" w:rsidRPr="00982E42">
        <w:rPr>
          <w:rFonts w:ascii="Calibri" w:eastAsia="Calibri" w:hAnsi="Calibri"/>
          <w:kern w:val="2"/>
          <w:lang w:eastAsia="en-US"/>
          <w14:ligatures w14:val="standardContextual"/>
        </w:rPr>
        <w:t>. These go well beyond t</w:t>
      </w:r>
      <w:r w:rsidR="00E9120D" w:rsidRPr="00982E42">
        <w:rPr>
          <w:rFonts w:ascii="Calibri" w:eastAsia="Calibri" w:hAnsi="Calibri"/>
          <w:kern w:val="2"/>
          <w:lang w:eastAsia="en-US"/>
          <w14:ligatures w14:val="standardContextual"/>
        </w:rPr>
        <w:t>he spirit of the underlying Regulation, which requires “</w:t>
      </w:r>
      <w:r w:rsidR="00D21C03" w:rsidRPr="00982E42">
        <w:rPr>
          <w:rFonts w:ascii="Calibri" w:eastAsia="Calibri" w:hAnsi="Calibri"/>
          <w:kern w:val="2"/>
          <w:lang w:eastAsia="en-US"/>
          <w14:ligatures w14:val="standardContextual"/>
        </w:rPr>
        <w:t>general information”</w:t>
      </w:r>
      <w:r w:rsidR="007B485C" w:rsidRPr="00982E42">
        <w:rPr>
          <w:rFonts w:ascii="Calibri" w:eastAsia="Calibri" w:hAnsi="Calibri"/>
          <w:kern w:val="2"/>
          <w:lang w:eastAsia="en-US"/>
          <w14:ligatures w14:val="standardContextual"/>
        </w:rPr>
        <w:t xml:space="preserve">, </w:t>
      </w:r>
      <w:r w:rsidR="00DC4861" w:rsidRPr="00982E42">
        <w:rPr>
          <w:rFonts w:ascii="Calibri" w:eastAsia="Calibri" w:hAnsi="Calibri"/>
          <w:kern w:val="2"/>
          <w:lang w:eastAsia="en-US"/>
          <w14:ligatures w14:val="standardContextual"/>
        </w:rPr>
        <w:t xml:space="preserve">and are commercially sensitive. </w:t>
      </w:r>
    </w:p>
    <w:p w14:paraId="3E3963B5" w14:textId="5CA221C5" w:rsidR="00682002" w:rsidRPr="00982E42" w:rsidRDefault="00682002" w:rsidP="00FE3E2A">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t>We suggest deleting Article 7</w:t>
      </w:r>
      <w:r w:rsidR="00C535DA" w:rsidRPr="00982E42">
        <w:rPr>
          <w:rFonts w:ascii="Calibri" w:eastAsia="Calibri" w:hAnsi="Calibri"/>
          <w:kern w:val="2"/>
          <w:lang w:eastAsia="en-US"/>
          <w14:ligatures w14:val="standardContextual"/>
        </w:rPr>
        <w:t>.2</w:t>
      </w:r>
      <w:r w:rsidR="00261DBE" w:rsidRPr="00982E42">
        <w:rPr>
          <w:rFonts w:ascii="Calibri" w:eastAsia="Calibri" w:hAnsi="Calibri"/>
          <w:kern w:val="2"/>
          <w:lang w:eastAsia="en-US"/>
          <w14:ligatures w14:val="standardContextual"/>
        </w:rPr>
        <w:t xml:space="preserve"> of the proposed RTS</w:t>
      </w:r>
      <w:r w:rsidR="00E44569" w:rsidRPr="00982E42">
        <w:rPr>
          <w:rFonts w:ascii="Calibri" w:eastAsia="Calibri" w:hAnsi="Calibri"/>
          <w:kern w:val="2"/>
          <w:lang w:eastAsia="en-US"/>
          <w14:ligatures w14:val="standardContextual"/>
        </w:rPr>
        <w:t>, which seems to discourage direct engagement with assessed entities. Specifically,</w:t>
      </w:r>
      <w:r w:rsidR="00C535DA" w:rsidRPr="00982E42">
        <w:rPr>
          <w:rFonts w:ascii="Calibri" w:eastAsia="Calibri" w:hAnsi="Calibri"/>
          <w:kern w:val="2"/>
          <w:lang w:eastAsia="en-US"/>
          <w14:ligatures w14:val="standardContextual"/>
        </w:rPr>
        <w:t xml:space="preserve"> </w:t>
      </w:r>
      <w:r w:rsidR="00155FA9" w:rsidRPr="00982E42">
        <w:rPr>
          <w:rFonts w:ascii="Calibri" w:eastAsia="Calibri" w:hAnsi="Calibri"/>
          <w:kern w:val="2"/>
          <w:lang w:eastAsia="en-US"/>
          <w14:ligatures w14:val="standardContextual"/>
        </w:rPr>
        <w:t>under the proposed item (a)</w:t>
      </w:r>
      <w:r w:rsidR="00221E09" w:rsidRPr="00982E42">
        <w:rPr>
          <w:rFonts w:ascii="Calibri" w:eastAsia="Calibri" w:hAnsi="Calibri"/>
          <w:kern w:val="2"/>
          <w:lang w:eastAsia="en-US"/>
          <w14:ligatures w14:val="standardContextual"/>
        </w:rPr>
        <w:t xml:space="preserve"> it</w:t>
      </w:r>
      <w:r w:rsidR="00155FA9" w:rsidRPr="00982E42">
        <w:rPr>
          <w:rFonts w:ascii="Calibri" w:eastAsia="Calibri" w:hAnsi="Calibri"/>
          <w:kern w:val="2"/>
          <w:lang w:eastAsia="en-US"/>
          <w14:ligatures w14:val="standardContextual"/>
        </w:rPr>
        <w:t xml:space="preserve"> is </w:t>
      </w:r>
      <w:r w:rsidR="00D66ED1" w:rsidRPr="00982E42">
        <w:rPr>
          <w:rFonts w:ascii="Calibri" w:eastAsia="Calibri" w:hAnsi="Calibri"/>
          <w:kern w:val="2"/>
          <w:lang w:eastAsia="en-US"/>
          <w14:ligatures w14:val="standardContextual"/>
        </w:rPr>
        <w:t>questionable</w:t>
      </w:r>
      <w:r w:rsidR="00155FA9" w:rsidRPr="00982E42">
        <w:rPr>
          <w:rFonts w:ascii="Calibri" w:eastAsia="Calibri" w:hAnsi="Calibri"/>
          <w:kern w:val="2"/>
          <w:lang w:eastAsia="en-US"/>
          <w14:ligatures w14:val="standardContextual"/>
        </w:rPr>
        <w:t xml:space="preserve"> what benefit disclosures </w:t>
      </w:r>
      <w:r w:rsidR="00BB783C" w:rsidRPr="00982E42">
        <w:rPr>
          <w:rFonts w:ascii="Calibri" w:eastAsia="Calibri" w:hAnsi="Calibri"/>
          <w:kern w:val="2"/>
          <w:lang w:eastAsia="en-US"/>
          <w14:ligatures w14:val="standardContextual"/>
        </w:rPr>
        <w:t xml:space="preserve">about the means of engagement are meant to provide. </w:t>
      </w:r>
      <w:r w:rsidR="00FE3E2A" w:rsidRPr="00982E42">
        <w:rPr>
          <w:rFonts w:ascii="Calibri" w:eastAsia="Calibri" w:hAnsi="Calibri"/>
          <w:kern w:val="2"/>
          <w:lang w:eastAsia="en-US"/>
          <w14:ligatures w14:val="standardContextual"/>
        </w:rPr>
        <w:t xml:space="preserve">Item </w:t>
      </w:r>
      <w:r w:rsidRPr="00982E42">
        <w:rPr>
          <w:rFonts w:ascii="Calibri" w:eastAsia="Calibri" w:hAnsi="Calibri"/>
          <w:kern w:val="2"/>
          <w:lang w:eastAsia="en-US"/>
          <w14:ligatures w14:val="standardContextual"/>
        </w:rPr>
        <w:t xml:space="preserve">(b) </w:t>
      </w:r>
      <w:r w:rsidR="00FE3E2A" w:rsidRPr="00982E42">
        <w:rPr>
          <w:rFonts w:ascii="Calibri" w:eastAsia="Calibri" w:hAnsi="Calibri"/>
          <w:kern w:val="2"/>
          <w:lang w:eastAsia="en-US"/>
          <w14:ligatures w14:val="standardContextual"/>
        </w:rPr>
        <w:t xml:space="preserve">of the draft RTS </w:t>
      </w:r>
      <w:r w:rsidRPr="00982E42">
        <w:rPr>
          <w:rFonts w:ascii="Calibri" w:eastAsia="Calibri" w:hAnsi="Calibri"/>
          <w:kern w:val="2"/>
          <w:lang w:eastAsia="en-US"/>
          <w14:ligatures w14:val="standardContextual"/>
        </w:rPr>
        <w:t xml:space="preserve">seems to question the benefit of </w:t>
      </w:r>
      <w:r w:rsidR="005A6290" w:rsidRPr="00982E42">
        <w:rPr>
          <w:rFonts w:ascii="Calibri" w:eastAsia="Calibri" w:hAnsi="Calibri"/>
          <w:kern w:val="2"/>
          <w:lang w:eastAsia="en-US"/>
          <w14:ligatures w14:val="standardContextual"/>
        </w:rPr>
        <w:t>face to face</w:t>
      </w:r>
      <w:r w:rsidR="006B2326" w:rsidRPr="00982E42">
        <w:rPr>
          <w:rFonts w:ascii="Calibri" w:eastAsia="Calibri" w:hAnsi="Calibri"/>
          <w:kern w:val="2"/>
          <w:lang w:eastAsia="en-US"/>
          <w14:ligatures w14:val="standardContextual"/>
        </w:rPr>
        <w:t xml:space="preserve"> engagement with ass</w:t>
      </w:r>
      <w:r w:rsidR="005A6290" w:rsidRPr="00982E42">
        <w:rPr>
          <w:rFonts w:ascii="Calibri" w:eastAsia="Calibri" w:hAnsi="Calibri"/>
          <w:kern w:val="2"/>
          <w:lang w:eastAsia="en-US"/>
          <w14:ligatures w14:val="standardContextual"/>
        </w:rPr>
        <w:t>essed entities</w:t>
      </w:r>
      <w:r w:rsidR="00FE3E2A" w:rsidRPr="00982E42">
        <w:rPr>
          <w:rFonts w:ascii="Calibri" w:eastAsia="Calibri" w:hAnsi="Calibri"/>
          <w:kern w:val="2"/>
          <w:lang w:eastAsia="en-US"/>
          <w14:ligatures w14:val="standardContextual"/>
        </w:rPr>
        <w:t>,</w:t>
      </w:r>
      <w:r w:rsidR="00381445" w:rsidRPr="00982E42">
        <w:rPr>
          <w:rFonts w:ascii="Calibri" w:eastAsia="Calibri" w:hAnsi="Calibri"/>
          <w:kern w:val="2"/>
          <w:lang w:eastAsia="en-US"/>
          <w14:ligatures w14:val="standardContextual"/>
        </w:rPr>
        <w:t xml:space="preserve"> and related disclosures are unlikely to provide meaningful insights. </w:t>
      </w:r>
      <w:r w:rsidR="000740F6" w:rsidRPr="00982E42">
        <w:rPr>
          <w:rFonts w:ascii="Calibri" w:eastAsia="Calibri" w:hAnsi="Calibri"/>
          <w:kern w:val="2"/>
          <w:lang w:eastAsia="en-US"/>
          <w14:ligatures w14:val="standardContextual"/>
        </w:rPr>
        <w:t xml:space="preserve">Item (c) </w:t>
      </w:r>
      <w:r w:rsidR="00B661B8" w:rsidRPr="00982E42">
        <w:rPr>
          <w:rFonts w:ascii="Calibri" w:eastAsia="Calibri" w:hAnsi="Calibri"/>
          <w:kern w:val="2"/>
          <w:lang w:eastAsia="en-US"/>
          <w14:ligatures w14:val="standardContextual"/>
        </w:rPr>
        <w:t>appears to be</w:t>
      </w:r>
      <w:r w:rsidR="00A73691" w:rsidRPr="00982E42">
        <w:rPr>
          <w:rFonts w:ascii="Calibri" w:eastAsia="Calibri" w:hAnsi="Calibri"/>
          <w:kern w:val="2"/>
          <w:lang w:eastAsia="en-US"/>
          <w14:ligatures w14:val="standardContextual"/>
        </w:rPr>
        <w:t xml:space="preserve"> overly preoccupied with the treatment of internal documents</w:t>
      </w:r>
      <w:r w:rsidR="00AC4C69" w:rsidRPr="00982E42">
        <w:rPr>
          <w:rFonts w:ascii="Calibri" w:eastAsia="Calibri" w:hAnsi="Calibri"/>
          <w:kern w:val="2"/>
          <w:lang w:eastAsia="en-US"/>
          <w14:ligatures w14:val="standardContextual"/>
        </w:rPr>
        <w:t xml:space="preserve">. We believe the </w:t>
      </w:r>
      <w:r w:rsidR="00547995" w:rsidRPr="00982E42">
        <w:rPr>
          <w:rFonts w:ascii="Calibri" w:eastAsia="Calibri" w:hAnsi="Calibri"/>
          <w:kern w:val="2"/>
          <w:lang w:eastAsia="en-US"/>
          <w14:ligatures w14:val="standardContextual"/>
        </w:rPr>
        <w:t>text of the underlying provisions in</w:t>
      </w:r>
      <w:r w:rsidR="00AC4C69" w:rsidRPr="00982E42">
        <w:rPr>
          <w:rFonts w:ascii="Calibri" w:eastAsia="Calibri" w:hAnsi="Calibri"/>
          <w:kern w:val="2"/>
          <w:lang w:eastAsia="en-US"/>
          <w14:ligatures w14:val="standardContextual"/>
        </w:rPr>
        <w:t xml:space="preserve"> </w:t>
      </w:r>
      <w:r w:rsidR="00A2077D">
        <w:rPr>
          <w:rFonts w:ascii="Calibri" w:eastAsia="Calibri" w:hAnsi="Calibri"/>
          <w:kern w:val="2"/>
          <w:lang w:eastAsia="en-US"/>
          <w14:ligatures w14:val="standardContextual"/>
        </w:rPr>
        <w:t>ESGRAR</w:t>
      </w:r>
      <w:r w:rsidR="00AC4C69" w:rsidRPr="00982E42">
        <w:rPr>
          <w:rFonts w:ascii="Calibri" w:eastAsia="Calibri" w:hAnsi="Calibri"/>
          <w:kern w:val="2"/>
          <w:lang w:eastAsia="en-US"/>
          <w14:ligatures w14:val="standardContextual"/>
        </w:rPr>
        <w:t xml:space="preserve"> is sufficiently clear</w:t>
      </w:r>
      <w:r w:rsidR="00547995" w:rsidRPr="00982E42">
        <w:rPr>
          <w:rFonts w:ascii="Calibri" w:eastAsia="Calibri" w:hAnsi="Calibri"/>
          <w:kern w:val="2"/>
          <w:lang w:eastAsia="en-US"/>
          <w14:ligatures w14:val="standardContextual"/>
        </w:rPr>
        <w:t>.</w:t>
      </w:r>
    </w:p>
    <w:p w14:paraId="227FA4BE" w14:textId="3003DDAC" w:rsidR="005C37AA" w:rsidRPr="00982E42" w:rsidRDefault="001C05AA" w:rsidP="00154339">
      <w:pPr>
        <w:spacing w:after="160" w:line="259" w:lineRule="auto"/>
        <w:rPr>
          <w:rFonts w:ascii="Calibri" w:eastAsia="Calibri" w:hAnsi="Calibri"/>
          <w:kern w:val="2"/>
          <w:lang w:eastAsia="en-US"/>
          <w14:ligatures w14:val="standardContextual"/>
        </w:rPr>
      </w:pPr>
      <w:r w:rsidRPr="00982E42">
        <w:rPr>
          <w:rFonts w:ascii="Calibri" w:eastAsia="Calibri" w:hAnsi="Calibri"/>
          <w:kern w:val="2"/>
          <w:lang w:eastAsia="en-US"/>
          <w14:ligatures w14:val="standardContextual"/>
        </w:rPr>
        <w:t xml:space="preserve">We suggest deleting </w:t>
      </w:r>
      <w:r w:rsidR="009B7B72" w:rsidRPr="00982E42">
        <w:rPr>
          <w:rFonts w:ascii="Calibri" w:eastAsia="Calibri" w:hAnsi="Calibri"/>
          <w:kern w:val="2"/>
          <w:lang w:eastAsia="en-US"/>
          <w14:ligatures w14:val="standardContextual"/>
        </w:rPr>
        <w:t xml:space="preserve">draft RTS Article 7 </w:t>
      </w:r>
      <w:r w:rsidR="003B6CB5" w:rsidRPr="00982E42">
        <w:rPr>
          <w:rFonts w:ascii="Calibri" w:eastAsia="Calibri" w:hAnsi="Calibri"/>
          <w:kern w:val="2"/>
          <w:lang w:eastAsia="en-US"/>
          <w14:ligatures w14:val="standardContextual"/>
        </w:rPr>
        <w:t>point 3</w:t>
      </w:r>
      <w:r w:rsidRPr="00982E42">
        <w:rPr>
          <w:rFonts w:ascii="Calibri" w:eastAsia="Calibri" w:hAnsi="Calibri"/>
          <w:kern w:val="2"/>
          <w:lang w:eastAsia="en-US"/>
          <w14:ligatures w14:val="standardContextual"/>
        </w:rPr>
        <w:t>. The</w:t>
      </w:r>
      <w:r w:rsidR="00621C79" w:rsidRPr="00982E42">
        <w:rPr>
          <w:rFonts w:ascii="Calibri" w:eastAsia="Calibri" w:hAnsi="Calibri"/>
          <w:kern w:val="2"/>
          <w:lang w:eastAsia="en-US"/>
          <w14:ligatures w14:val="standardContextual"/>
        </w:rPr>
        <w:t xml:space="preserve"> underlying</w:t>
      </w:r>
      <w:r w:rsidR="00021D87" w:rsidRPr="00982E42">
        <w:rPr>
          <w:rFonts w:ascii="Calibri" w:eastAsia="Calibri" w:hAnsi="Calibri"/>
          <w:kern w:val="2"/>
          <w:lang w:eastAsia="en-US"/>
          <w14:ligatures w14:val="standardContextual"/>
        </w:rPr>
        <w:t xml:space="preserve"> requirement of </w:t>
      </w:r>
      <w:r w:rsidR="00944AE9" w:rsidRPr="00982E42">
        <w:rPr>
          <w:rFonts w:ascii="Calibri" w:eastAsia="Calibri" w:hAnsi="Calibri"/>
          <w:kern w:val="2"/>
          <w:lang w:eastAsia="en-US"/>
          <w14:ligatures w14:val="standardContextual"/>
        </w:rPr>
        <w:t xml:space="preserve">Annex III, point 2, letter (a), subpoint (iv), of </w:t>
      </w:r>
      <w:r w:rsidR="00FD5292">
        <w:rPr>
          <w:rFonts w:ascii="Calibri" w:eastAsia="Calibri" w:hAnsi="Calibri"/>
          <w:kern w:val="2"/>
          <w:lang w:eastAsia="en-US"/>
          <w14:ligatures w14:val="standardContextual"/>
        </w:rPr>
        <w:t>ESGRAR</w:t>
      </w:r>
      <w:r w:rsidR="00B32739" w:rsidRPr="00982E42">
        <w:rPr>
          <w:rFonts w:ascii="Calibri" w:eastAsia="Calibri" w:hAnsi="Calibri"/>
          <w:kern w:val="2"/>
          <w:lang w:eastAsia="en-US"/>
          <w14:ligatures w14:val="standardContextual"/>
        </w:rPr>
        <w:t xml:space="preserve"> </w:t>
      </w:r>
      <w:r w:rsidR="00621C79" w:rsidRPr="00982E42">
        <w:rPr>
          <w:rFonts w:ascii="Calibri" w:eastAsia="Calibri" w:hAnsi="Calibri"/>
          <w:kern w:val="2"/>
          <w:lang w:eastAsia="en-US"/>
          <w14:ligatures w14:val="standardContextual"/>
        </w:rPr>
        <w:t>already</w:t>
      </w:r>
      <w:r w:rsidR="00B32739" w:rsidRPr="00982E42">
        <w:rPr>
          <w:rFonts w:ascii="Calibri" w:eastAsia="Calibri" w:hAnsi="Calibri"/>
          <w:kern w:val="2"/>
          <w:lang w:eastAsia="en-US"/>
          <w14:ligatures w14:val="standardContextual"/>
        </w:rPr>
        <w:t xml:space="preserve"> requests disclosure of </w:t>
      </w:r>
      <w:r w:rsidR="002573E2" w:rsidRPr="00982E42">
        <w:rPr>
          <w:rFonts w:ascii="Calibri" w:eastAsia="Calibri" w:hAnsi="Calibri"/>
          <w:kern w:val="2"/>
          <w:lang w:eastAsia="en-US"/>
          <w14:ligatures w14:val="standardContextual"/>
        </w:rPr>
        <w:t>“any potential shortcomings of methodologies, and the measures taken to address those shortcomings”.</w:t>
      </w:r>
      <w:r w:rsidR="00C4011E" w:rsidRPr="00982E42">
        <w:rPr>
          <w:rFonts w:ascii="Calibri" w:eastAsia="Calibri" w:hAnsi="Calibri"/>
          <w:kern w:val="2"/>
          <w:lang w:eastAsia="en-US"/>
          <w14:ligatures w14:val="standardContextual"/>
        </w:rPr>
        <w:t xml:space="preserve"> The proposed additional language appears to </w:t>
      </w:r>
      <w:r w:rsidR="00235575" w:rsidRPr="00982E42">
        <w:rPr>
          <w:rFonts w:ascii="Calibri" w:eastAsia="Calibri" w:hAnsi="Calibri"/>
          <w:kern w:val="2"/>
          <w:lang w:eastAsia="en-US"/>
          <w14:ligatures w14:val="standardContextual"/>
        </w:rPr>
        <w:t xml:space="preserve">raise </w:t>
      </w:r>
      <w:r w:rsidR="00337470" w:rsidRPr="00982E42">
        <w:rPr>
          <w:rFonts w:ascii="Calibri" w:eastAsia="Calibri" w:hAnsi="Calibri"/>
          <w:kern w:val="2"/>
          <w:lang w:eastAsia="en-US"/>
          <w14:ligatures w14:val="standardContextual"/>
        </w:rPr>
        <w:t>unsupported</w:t>
      </w:r>
      <w:r w:rsidR="00235575" w:rsidRPr="00982E42">
        <w:rPr>
          <w:rFonts w:ascii="Calibri" w:eastAsia="Calibri" w:hAnsi="Calibri"/>
          <w:kern w:val="2"/>
          <w:lang w:eastAsia="en-US"/>
          <w14:ligatures w14:val="standardContextual"/>
        </w:rPr>
        <w:t xml:space="preserve"> doubts over the value of </w:t>
      </w:r>
      <w:r w:rsidR="006318D9" w:rsidRPr="00982E42">
        <w:rPr>
          <w:rFonts w:ascii="Calibri" w:eastAsia="Calibri" w:hAnsi="Calibri"/>
          <w:kern w:val="2"/>
          <w:lang w:eastAsia="en-US"/>
          <w14:ligatures w14:val="standardContextual"/>
        </w:rPr>
        <w:t>quantitative models</w:t>
      </w:r>
      <w:r w:rsidR="00E45846" w:rsidRPr="00982E42">
        <w:rPr>
          <w:rFonts w:ascii="Calibri" w:eastAsia="Calibri" w:hAnsi="Calibri"/>
          <w:kern w:val="2"/>
          <w:lang w:eastAsia="en-US"/>
          <w14:ligatures w14:val="standardContextual"/>
        </w:rPr>
        <w:t>,</w:t>
      </w:r>
      <w:r w:rsidR="006318D9" w:rsidRPr="00982E42">
        <w:rPr>
          <w:rFonts w:ascii="Calibri" w:eastAsia="Calibri" w:hAnsi="Calibri"/>
          <w:kern w:val="2"/>
          <w:lang w:eastAsia="en-US"/>
          <w14:ligatures w14:val="standardContextual"/>
        </w:rPr>
        <w:t xml:space="preserve"> and related disclosures </w:t>
      </w:r>
      <w:r w:rsidR="00E45846" w:rsidRPr="00982E42">
        <w:rPr>
          <w:rFonts w:ascii="Calibri" w:eastAsia="Calibri" w:hAnsi="Calibri"/>
          <w:kern w:val="2"/>
          <w:lang w:eastAsia="en-US"/>
          <w14:ligatures w14:val="standardContextual"/>
        </w:rPr>
        <w:t>are unlikely</w:t>
      </w:r>
      <w:r w:rsidR="00F97C12" w:rsidRPr="00982E42">
        <w:rPr>
          <w:rFonts w:ascii="Calibri" w:eastAsia="Calibri" w:hAnsi="Calibri"/>
          <w:kern w:val="2"/>
          <w:lang w:eastAsia="en-US"/>
          <w14:ligatures w14:val="standardContextual"/>
        </w:rPr>
        <w:t xml:space="preserve"> to provide meaningful insight. </w:t>
      </w:r>
    </w:p>
    <w:p w14:paraId="4ED4D356" w14:textId="0705C93F" w:rsidR="0047787E" w:rsidRPr="00E75F06" w:rsidRDefault="005C37AA" w:rsidP="001F122C">
      <w:pPr>
        <w:spacing w:after="160" w:line="259" w:lineRule="auto"/>
        <w:rPr>
          <w:rFonts w:ascii="Calibri" w:eastAsia="Calibri" w:hAnsi="Calibri"/>
          <w:kern w:val="2"/>
          <w:lang w:eastAsia="en-US"/>
          <w14:ligatures w14:val="standardContextual"/>
        </w:rPr>
      </w:pPr>
      <w:r w:rsidRPr="00E75F06">
        <w:rPr>
          <w:rFonts w:ascii="Calibri" w:eastAsia="Calibri" w:hAnsi="Calibri"/>
          <w:kern w:val="2"/>
          <w:lang w:eastAsia="en-US"/>
          <w14:ligatures w14:val="standardContextual"/>
        </w:rPr>
        <w:t>In Article 8</w:t>
      </w:r>
      <w:r w:rsidR="00B60D25" w:rsidRPr="00E75F06">
        <w:rPr>
          <w:rFonts w:ascii="Calibri" w:eastAsia="Calibri" w:hAnsi="Calibri"/>
          <w:kern w:val="2"/>
          <w:lang w:eastAsia="en-US"/>
          <w14:ligatures w14:val="standardContextual"/>
        </w:rPr>
        <w:t>.1(d), we suggest a clarification that the disclosure of</w:t>
      </w:r>
      <w:r w:rsidR="005D243E">
        <w:rPr>
          <w:rFonts w:ascii="Calibri" w:eastAsia="Calibri" w:hAnsi="Calibri"/>
          <w:kern w:val="2"/>
          <w:lang w:eastAsia="en-US"/>
          <w14:ligatures w14:val="standardContextual"/>
        </w:rPr>
        <w:t xml:space="preserve"> the</w:t>
      </w:r>
      <w:r w:rsidR="00B60D25" w:rsidRPr="00E75F06">
        <w:rPr>
          <w:rFonts w:ascii="Calibri" w:eastAsia="Calibri" w:hAnsi="Calibri"/>
          <w:kern w:val="2"/>
          <w:lang w:eastAsia="en-US"/>
          <w14:ligatures w14:val="standardContextual"/>
        </w:rPr>
        <w:t xml:space="preserve"> potential impact of the </w:t>
      </w:r>
      <w:r w:rsidR="001A740F" w:rsidRPr="00E75F06">
        <w:rPr>
          <w:rFonts w:ascii="Calibri" w:eastAsia="Calibri" w:hAnsi="Calibri"/>
          <w:kern w:val="2"/>
          <w:lang w:eastAsia="en-US"/>
          <w14:ligatures w14:val="standardContextual"/>
        </w:rPr>
        <w:t xml:space="preserve">revision of methodologies pertains </w:t>
      </w:r>
      <w:r w:rsidR="00337470" w:rsidRPr="00E75F06">
        <w:rPr>
          <w:rFonts w:ascii="Calibri" w:eastAsia="Calibri" w:hAnsi="Calibri"/>
          <w:kern w:val="2"/>
          <w:lang w:eastAsia="en-US"/>
          <w14:ligatures w14:val="standardContextual"/>
        </w:rPr>
        <w:t xml:space="preserve">only </w:t>
      </w:r>
      <w:r w:rsidR="001A740F" w:rsidRPr="00E75F06">
        <w:rPr>
          <w:rFonts w:ascii="Calibri" w:eastAsia="Calibri" w:hAnsi="Calibri"/>
          <w:kern w:val="2"/>
          <w:lang w:eastAsia="en-US"/>
          <w14:ligatures w14:val="standardContextual"/>
        </w:rPr>
        <w:t xml:space="preserve">to assessments that are </w:t>
      </w:r>
      <w:r w:rsidR="00215F3B" w:rsidRPr="00E75F06">
        <w:rPr>
          <w:rFonts w:ascii="Calibri" w:eastAsia="Calibri" w:hAnsi="Calibri"/>
          <w:kern w:val="2"/>
          <w:lang w:eastAsia="en-US"/>
          <w14:ligatures w14:val="standardContextual"/>
        </w:rPr>
        <w:t>monitored on an ongoing basis</w:t>
      </w:r>
      <w:r w:rsidR="000836F5" w:rsidRPr="00E75F06">
        <w:rPr>
          <w:rFonts w:ascii="Calibri" w:eastAsia="Calibri" w:hAnsi="Calibri"/>
          <w:kern w:val="2"/>
          <w:lang w:eastAsia="en-US"/>
          <w14:ligatures w14:val="standardContextual"/>
        </w:rPr>
        <w:t>, as follows</w:t>
      </w:r>
      <w:r w:rsidR="001A4E59">
        <w:rPr>
          <w:rFonts w:ascii="Calibri" w:eastAsia="Calibri" w:hAnsi="Calibri"/>
          <w:kern w:val="2"/>
          <w:lang w:eastAsia="en-US"/>
          <w14:ligatures w14:val="standardContextual"/>
        </w:rPr>
        <w:t>:</w:t>
      </w:r>
    </w:p>
    <w:tbl>
      <w:tblPr>
        <w:tblStyle w:val="TableGrid"/>
        <w:tblW w:w="0" w:type="auto"/>
        <w:tblLook w:val="04A0" w:firstRow="1" w:lastRow="0" w:firstColumn="1" w:lastColumn="0" w:noHBand="0" w:noVBand="1"/>
      </w:tblPr>
      <w:tblGrid>
        <w:gridCol w:w="4530"/>
        <w:gridCol w:w="4530"/>
      </w:tblGrid>
      <w:tr w:rsidR="000836F5" w14:paraId="07D9EACB" w14:textId="77777777" w:rsidTr="00587CDE">
        <w:tc>
          <w:tcPr>
            <w:tcW w:w="4530" w:type="dxa"/>
          </w:tcPr>
          <w:p w14:paraId="30EF8F0A" w14:textId="5111A10A" w:rsidR="000836F5" w:rsidRPr="00E75F06" w:rsidRDefault="000836F5" w:rsidP="00E75F06">
            <w:pPr>
              <w:spacing w:after="160" w:line="259" w:lineRule="auto"/>
              <w:jc w:val="center"/>
              <w:rPr>
                <w:rFonts w:ascii="Calibri" w:eastAsia="Calibri" w:hAnsi="Calibri" w:cs="Calibri"/>
                <w:kern w:val="2"/>
                <w:lang w:eastAsia="en-US"/>
                <w14:ligatures w14:val="standardContextual"/>
              </w:rPr>
            </w:pPr>
            <w:r w:rsidRPr="00E75F06">
              <w:rPr>
                <w:rFonts w:ascii="Calibri" w:eastAsia="Calibri" w:hAnsi="Calibri" w:cs="Calibri"/>
                <w:b/>
                <w:lang w:eastAsia="en-US"/>
              </w:rPr>
              <w:t>ESMA’s Proposed RTS</w:t>
            </w:r>
          </w:p>
        </w:tc>
        <w:tc>
          <w:tcPr>
            <w:tcW w:w="4530" w:type="dxa"/>
          </w:tcPr>
          <w:p w14:paraId="714F3CBC" w14:textId="2C5BDE57" w:rsidR="000836F5" w:rsidRPr="00E75F06" w:rsidRDefault="000836F5" w:rsidP="00E75F06">
            <w:pPr>
              <w:spacing w:after="160" w:line="259" w:lineRule="auto"/>
              <w:jc w:val="center"/>
              <w:rPr>
                <w:rFonts w:ascii="Calibri" w:eastAsia="Calibri" w:hAnsi="Calibri" w:cs="Calibri"/>
                <w:kern w:val="2"/>
                <w:lang w:eastAsia="en-US"/>
                <w14:ligatures w14:val="standardContextual"/>
              </w:rPr>
            </w:pPr>
            <w:r w:rsidRPr="00E75F06">
              <w:rPr>
                <w:rFonts w:ascii="Calibri" w:eastAsia="Calibri" w:hAnsi="Calibri" w:cs="Calibri"/>
                <w:b/>
                <w:lang w:eastAsia="en-US"/>
              </w:rPr>
              <w:t>New Proposed Text</w:t>
            </w:r>
          </w:p>
        </w:tc>
      </w:tr>
      <w:tr w:rsidR="000836F5" w14:paraId="3D85C0FF" w14:textId="77777777" w:rsidTr="00587CDE">
        <w:tc>
          <w:tcPr>
            <w:tcW w:w="4530" w:type="dxa"/>
          </w:tcPr>
          <w:p w14:paraId="2D6BC410" w14:textId="77777777" w:rsidR="000836F5" w:rsidRPr="00343777" w:rsidRDefault="000836F5" w:rsidP="000836F5">
            <w:pPr>
              <w:contextualSpacing/>
              <w:rPr>
                <w:rFonts w:ascii="Calibri" w:eastAsia="DengXian" w:hAnsi="Calibri" w:cs="Calibri"/>
                <w:b/>
                <w:bCs/>
                <w:lang w:eastAsia="zh-CN"/>
              </w:rPr>
            </w:pPr>
            <w:r w:rsidRPr="00343777">
              <w:rPr>
                <w:rFonts w:ascii="Calibri" w:eastAsia="DengXian" w:hAnsi="Calibri" w:cs="Calibri"/>
                <w:b/>
                <w:bCs/>
                <w:lang w:eastAsia="zh-CN"/>
              </w:rPr>
              <w:t xml:space="preserve">Article 8 </w:t>
            </w:r>
          </w:p>
          <w:p w14:paraId="1A4D6AD0" w14:textId="77777777" w:rsidR="000836F5" w:rsidRPr="00E75F06" w:rsidRDefault="000836F5" w:rsidP="000836F5">
            <w:pPr>
              <w:contextualSpacing/>
              <w:rPr>
                <w:rFonts w:ascii="Calibri" w:eastAsia="DengXian" w:hAnsi="Calibri" w:cs="Calibri"/>
                <w:lang w:eastAsia="zh-CN"/>
              </w:rPr>
            </w:pPr>
            <w:r w:rsidRPr="00E75F06">
              <w:rPr>
                <w:rFonts w:ascii="Calibri" w:eastAsia="DengXian" w:hAnsi="Calibri" w:cs="Calibri"/>
                <w:lang w:eastAsia="zh-CN"/>
              </w:rPr>
              <w:t xml:space="preserve">Revision of data and methodologies </w:t>
            </w:r>
          </w:p>
          <w:p w14:paraId="27076E9A" w14:textId="77777777" w:rsidR="000836F5" w:rsidRPr="00E75F06" w:rsidRDefault="000836F5" w:rsidP="000836F5">
            <w:pPr>
              <w:contextualSpacing/>
              <w:rPr>
                <w:rFonts w:ascii="Calibri" w:eastAsia="DengXian" w:hAnsi="Calibri" w:cs="Calibri"/>
                <w:lang w:eastAsia="zh-CN"/>
              </w:rPr>
            </w:pPr>
            <w:r w:rsidRPr="00E75F06">
              <w:rPr>
                <w:rFonts w:ascii="Calibri" w:eastAsia="DengXian" w:hAnsi="Calibri" w:cs="Calibri"/>
                <w:lang w:eastAsia="zh-CN"/>
              </w:rPr>
              <w:t xml:space="preserve">1. As part of the information disclosed in accordance with Annex III, point 2, letter (a), subpoint (v), of Regulation (EU) 2024/3005, ESG rating providers shall provide an explanation of the following items: </w:t>
            </w:r>
          </w:p>
          <w:p w14:paraId="632AD6E5" w14:textId="77777777" w:rsidR="000836F5" w:rsidRPr="00E75F06" w:rsidRDefault="000836F5" w:rsidP="000836F5">
            <w:pPr>
              <w:contextualSpacing/>
              <w:rPr>
                <w:rFonts w:ascii="Calibri" w:eastAsia="DengXian" w:hAnsi="Calibri" w:cs="Calibri"/>
                <w:lang w:eastAsia="zh-CN"/>
              </w:rPr>
            </w:pPr>
          </w:p>
          <w:p w14:paraId="7D82FDEF" w14:textId="77777777" w:rsidR="000836F5" w:rsidRPr="00E75F06" w:rsidRDefault="000836F5" w:rsidP="000836F5">
            <w:pPr>
              <w:contextualSpacing/>
              <w:rPr>
                <w:rFonts w:ascii="Calibri" w:eastAsia="DengXian" w:hAnsi="Calibri" w:cs="Calibri"/>
                <w:lang w:eastAsia="zh-CN"/>
              </w:rPr>
            </w:pPr>
            <w:r w:rsidRPr="00E75F06">
              <w:rPr>
                <w:rFonts w:ascii="Calibri" w:eastAsia="DengXian" w:hAnsi="Calibri" w:cs="Calibri"/>
                <w:lang w:eastAsia="zh-CN"/>
              </w:rPr>
              <w:t>[…]</w:t>
            </w:r>
          </w:p>
          <w:p w14:paraId="2554A580" w14:textId="77777777" w:rsidR="000836F5" w:rsidRPr="00E75F06" w:rsidRDefault="000836F5" w:rsidP="000836F5">
            <w:pPr>
              <w:contextualSpacing/>
              <w:rPr>
                <w:rFonts w:ascii="Calibri" w:eastAsia="DengXian" w:hAnsi="Calibri" w:cs="Calibri"/>
                <w:lang w:eastAsia="zh-CN"/>
              </w:rPr>
            </w:pPr>
          </w:p>
          <w:p w14:paraId="3B5DD3BA" w14:textId="24EDC068" w:rsidR="000836F5" w:rsidRPr="00E75F06" w:rsidRDefault="000836F5" w:rsidP="000836F5">
            <w:pPr>
              <w:contextualSpacing/>
              <w:rPr>
                <w:rFonts w:ascii="Calibri" w:eastAsia="DengXian" w:hAnsi="Calibri" w:cs="Calibri"/>
                <w:lang w:eastAsia="zh-CN"/>
              </w:rPr>
            </w:pPr>
            <w:r w:rsidRPr="00E75F06">
              <w:rPr>
                <w:rFonts w:ascii="Calibri" w:eastAsia="DengXian" w:hAnsi="Calibri" w:cs="Calibri"/>
                <w:lang w:eastAsia="zh-CN"/>
              </w:rPr>
              <w:t xml:space="preserve"> (d) the process for assessing the potential impact of the revision on ESG ratings subject to the relevant methodology.</w:t>
            </w:r>
          </w:p>
          <w:p w14:paraId="4E110FD7" w14:textId="77777777" w:rsidR="000836F5" w:rsidRPr="00E75F06" w:rsidRDefault="000836F5" w:rsidP="000836F5">
            <w:pPr>
              <w:spacing w:after="160" w:line="259" w:lineRule="auto"/>
              <w:rPr>
                <w:rFonts w:ascii="Calibri" w:eastAsia="Calibri" w:hAnsi="Calibri" w:cs="Calibri"/>
                <w:kern w:val="2"/>
                <w:lang w:eastAsia="en-US"/>
                <w14:ligatures w14:val="standardContextual"/>
              </w:rPr>
            </w:pPr>
          </w:p>
        </w:tc>
        <w:tc>
          <w:tcPr>
            <w:tcW w:w="4530" w:type="dxa"/>
          </w:tcPr>
          <w:p w14:paraId="214A2E51" w14:textId="77777777" w:rsidR="000836F5" w:rsidRPr="00343777" w:rsidRDefault="000836F5" w:rsidP="000836F5">
            <w:pPr>
              <w:contextualSpacing/>
              <w:rPr>
                <w:rFonts w:ascii="Calibri" w:eastAsia="DengXian" w:hAnsi="Calibri" w:cs="Calibri"/>
                <w:b/>
                <w:bCs/>
                <w:lang w:eastAsia="zh-CN"/>
              </w:rPr>
            </w:pPr>
            <w:r w:rsidRPr="00343777">
              <w:rPr>
                <w:rFonts w:ascii="Calibri" w:eastAsia="DengXian" w:hAnsi="Calibri" w:cs="Calibri"/>
                <w:b/>
                <w:bCs/>
                <w:lang w:eastAsia="zh-CN"/>
              </w:rPr>
              <w:lastRenderedPageBreak/>
              <w:t xml:space="preserve">Article 8 </w:t>
            </w:r>
          </w:p>
          <w:p w14:paraId="35DF8D5A" w14:textId="77777777" w:rsidR="000836F5" w:rsidRPr="00E75F06" w:rsidRDefault="000836F5" w:rsidP="000836F5">
            <w:pPr>
              <w:contextualSpacing/>
              <w:rPr>
                <w:rFonts w:ascii="Calibri" w:eastAsia="DengXian" w:hAnsi="Calibri" w:cs="Calibri"/>
                <w:lang w:eastAsia="zh-CN"/>
              </w:rPr>
            </w:pPr>
            <w:r w:rsidRPr="00E75F06">
              <w:rPr>
                <w:rFonts w:ascii="Calibri" w:eastAsia="DengXian" w:hAnsi="Calibri" w:cs="Calibri"/>
                <w:lang w:eastAsia="zh-CN"/>
              </w:rPr>
              <w:t xml:space="preserve">Revision of data and methodologies </w:t>
            </w:r>
          </w:p>
          <w:p w14:paraId="5C3E8AD0" w14:textId="77777777" w:rsidR="000836F5" w:rsidRPr="00E75F06" w:rsidRDefault="000836F5" w:rsidP="000836F5">
            <w:pPr>
              <w:contextualSpacing/>
              <w:rPr>
                <w:rFonts w:ascii="Calibri" w:eastAsia="DengXian" w:hAnsi="Calibri" w:cs="Calibri"/>
                <w:lang w:eastAsia="zh-CN"/>
              </w:rPr>
            </w:pPr>
            <w:r w:rsidRPr="00E75F06">
              <w:rPr>
                <w:rFonts w:ascii="Calibri" w:eastAsia="DengXian" w:hAnsi="Calibri" w:cs="Calibri"/>
                <w:lang w:eastAsia="zh-CN"/>
              </w:rPr>
              <w:t xml:space="preserve">1. As part of the information disclosed in accordance with Annex III, point 2, letter (a), subpoint (v), of Regulation (EU) 2024/3005, ESG rating providers shall provide an explanation of the following items: </w:t>
            </w:r>
          </w:p>
          <w:p w14:paraId="66603496" w14:textId="77777777" w:rsidR="000836F5" w:rsidRPr="00E75F06" w:rsidRDefault="000836F5" w:rsidP="000836F5">
            <w:pPr>
              <w:contextualSpacing/>
              <w:rPr>
                <w:rFonts w:ascii="Calibri" w:eastAsia="DengXian" w:hAnsi="Calibri" w:cs="Calibri"/>
                <w:lang w:eastAsia="zh-CN"/>
              </w:rPr>
            </w:pPr>
          </w:p>
          <w:p w14:paraId="13CE5555" w14:textId="77777777" w:rsidR="000836F5" w:rsidRPr="00E75F06" w:rsidRDefault="000836F5" w:rsidP="000836F5">
            <w:pPr>
              <w:contextualSpacing/>
              <w:rPr>
                <w:rFonts w:ascii="Calibri" w:eastAsia="DengXian" w:hAnsi="Calibri" w:cs="Calibri"/>
                <w:lang w:eastAsia="zh-CN"/>
              </w:rPr>
            </w:pPr>
            <w:r w:rsidRPr="00E75F06">
              <w:rPr>
                <w:rFonts w:ascii="Calibri" w:eastAsia="DengXian" w:hAnsi="Calibri" w:cs="Calibri"/>
                <w:lang w:eastAsia="zh-CN"/>
              </w:rPr>
              <w:t>[…]</w:t>
            </w:r>
          </w:p>
          <w:p w14:paraId="6DAC5480" w14:textId="77777777" w:rsidR="000836F5" w:rsidRPr="00E75F06" w:rsidRDefault="000836F5" w:rsidP="000836F5">
            <w:pPr>
              <w:contextualSpacing/>
              <w:rPr>
                <w:rFonts w:ascii="Calibri" w:eastAsia="DengXian" w:hAnsi="Calibri" w:cs="Calibri"/>
                <w:lang w:eastAsia="zh-CN"/>
              </w:rPr>
            </w:pPr>
          </w:p>
          <w:p w14:paraId="7F997761" w14:textId="01D80C90" w:rsidR="000836F5" w:rsidRPr="00D93C51" w:rsidRDefault="000836F5" w:rsidP="00D93C51">
            <w:pPr>
              <w:contextualSpacing/>
              <w:rPr>
                <w:rFonts w:ascii="Calibri" w:eastAsia="DengXian" w:hAnsi="Calibri" w:cs="Calibri"/>
                <w:lang w:eastAsia="zh-CN"/>
              </w:rPr>
            </w:pPr>
            <w:r w:rsidRPr="43B5B80E">
              <w:rPr>
                <w:rFonts w:ascii="Calibri" w:eastAsia="DengXian" w:hAnsi="Calibri" w:cs="Calibri"/>
                <w:lang w:eastAsia="zh-CN"/>
              </w:rPr>
              <w:t xml:space="preserve"> (d) the process for assessing the potential impact of the revision on </w:t>
            </w:r>
            <w:r w:rsidR="00CC6F7C">
              <w:rPr>
                <w:rFonts w:ascii="Calibri" w:eastAsia="DengXian" w:hAnsi="Calibri" w:cs="Calibri"/>
                <w:b/>
                <w:bCs/>
                <w:i/>
                <w:iCs/>
                <w:lang w:eastAsia="zh-CN"/>
              </w:rPr>
              <w:t>monitored</w:t>
            </w:r>
            <w:r w:rsidRPr="43B5B80E">
              <w:rPr>
                <w:rFonts w:ascii="Calibri" w:eastAsia="DengXian" w:hAnsi="Calibri" w:cs="Calibri"/>
                <w:lang w:eastAsia="zh-CN"/>
              </w:rPr>
              <w:t xml:space="preserve"> ESG </w:t>
            </w:r>
            <w:r w:rsidRPr="43B5B80E">
              <w:rPr>
                <w:rFonts w:ascii="Calibri" w:eastAsia="DengXian" w:hAnsi="Calibri" w:cs="Calibri"/>
                <w:lang w:eastAsia="zh-CN"/>
              </w:rPr>
              <w:lastRenderedPageBreak/>
              <w:t xml:space="preserve">ratings subject to the relevant methodology. </w:t>
            </w:r>
          </w:p>
        </w:tc>
      </w:tr>
    </w:tbl>
    <w:p w14:paraId="5506C30B" w14:textId="77777777" w:rsidR="00587CDE" w:rsidRPr="002E1149" w:rsidRDefault="00587CDE" w:rsidP="001F122C">
      <w:pPr>
        <w:spacing w:after="160" w:line="259" w:lineRule="auto"/>
        <w:rPr>
          <w:rFonts w:ascii="Calibri" w:eastAsia="Calibri" w:hAnsi="Calibri"/>
          <w:kern w:val="2"/>
          <w:sz w:val="22"/>
          <w:szCs w:val="22"/>
          <w:lang w:eastAsia="en-US"/>
          <w14:ligatures w14:val="standardContextual"/>
        </w:rPr>
      </w:pPr>
    </w:p>
    <w:permEnd w:id="669658389"/>
    <w:p w14:paraId="77645EA9" w14:textId="00EBDFE9" w:rsidR="001B1B48" w:rsidRPr="002E1149" w:rsidRDefault="001B1B48" w:rsidP="001B1B48">
      <w:pPr>
        <w:spacing w:after="160" w:line="259" w:lineRule="auto"/>
        <w:rPr>
          <w:rFonts w:ascii="Calibri" w:eastAsia="Calibri" w:hAnsi="Calibri"/>
          <w:kern w:val="2"/>
          <w:sz w:val="22"/>
          <w:szCs w:val="22"/>
          <w:lang w:eastAsia="en-US"/>
          <w14:ligatures w14:val="standardContextual"/>
        </w:rPr>
      </w:pPr>
      <w:r w:rsidRPr="002E1149">
        <w:rPr>
          <w:rFonts w:ascii="Calibri" w:eastAsia="Calibri" w:hAnsi="Calibri"/>
          <w:kern w:val="2"/>
          <w:sz w:val="22"/>
          <w:szCs w:val="22"/>
          <w:lang w:eastAsia="en-US"/>
          <w14:ligatures w14:val="standardContextual"/>
        </w:rPr>
        <w:t>&lt;ESMA_QUESTION_</w:t>
      </w:r>
      <w:r w:rsidR="0037311D" w:rsidRPr="002E1149">
        <w:rPr>
          <w:rFonts w:ascii="Calibri" w:eastAsia="Calibri" w:hAnsi="Calibri"/>
          <w:kern w:val="2"/>
          <w:sz w:val="22"/>
          <w:szCs w:val="22"/>
          <w:lang w:eastAsia="en-US"/>
          <w14:ligatures w14:val="standardContextual"/>
        </w:rPr>
        <w:t xml:space="preserve"> E</w:t>
      </w:r>
      <w:r w:rsidR="00322B55" w:rsidRPr="002E1149">
        <w:rPr>
          <w:rFonts w:ascii="Calibri" w:eastAsia="Calibri" w:hAnsi="Calibri"/>
          <w:kern w:val="2"/>
          <w:sz w:val="22"/>
          <w:szCs w:val="22"/>
          <w:lang w:eastAsia="en-US"/>
          <w14:ligatures w14:val="standardContextual"/>
        </w:rPr>
        <w:t>SGR</w:t>
      </w:r>
      <w:r w:rsidRPr="002E1149">
        <w:rPr>
          <w:rFonts w:ascii="Calibri" w:eastAsia="Calibri" w:hAnsi="Calibri"/>
          <w:kern w:val="2"/>
          <w:sz w:val="22"/>
          <w:szCs w:val="22"/>
          <w:lang w:eastAsia="en-US"/>
          <w14:ligatures w14:val="standardContextual"/>
        </w:rPr>
        <w:t>_3&gt;</w:t>
      </w:r>
    </w:p>
    <w:p w14:paraId="374EDE5B" w14:textId="29DF36F2"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Do you consider that the draft technical standards under Articles 23(4) or 24(3) should  instead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5CBF3978" w14:textId="57C68C87" w:rsidR="001B1B48" w:rsidRPr="00E75F06" w:rsidRDefault="00E953FA" w:rsidP="001B1B48">
      <w:pPr>
        <w:spacing w:after="160" w:line="259" w:lineRule="auto"/>
        <w:rPr>
          <w:rFonts w:ascii="Calibri" w:eastAsia="Calibri" w:hAnsi="Calibri"/>
          <w:kern w:val="2"/>
          <w:lang w:eastAsia="en-US"/>
          <w14:ligatures w14:val="standardContextual"/>
        </w:rPr>
      </w:pPr>
      <w:permStart w:id="1645309941" w:edGrp="everyone"/>
      <w:r w:rsidRPr="00E75F06">
        <w:rPr>
          <w:rFonts w:ascii="Calibri" w:eastAsia="Calibri" w:hAnsi="Calibri"/>
          <w:kern w:val="2"/>
          <w:lang w:eastAsia="en-US"/>
          <w14:ligatures w14:val="standardContextual"/>
        </w:rPr>
        <w:t xml:space="preserve">We </w:t>
      </w:r>
      <w:r w:rsidR="00C6698E" w:rsidRPr="00E75F06">
        <w:rPr>
          <w:rFonts w:ascii="Calibri" w:eastAsia="Calibri" w:hAnsi="Calibri"/>
          <w:kern w:val="2"/>
          <w:lang w:eastAsia="en-US"/>
          <w14:ligatures w14:val="standardContextual"/>
        </w:rPr>
        <w:t xml:space="preserve">believe the </w:t>
      </w:r>
      <w:r w:rsidR="00F4759E" w:rsidRPr="00E75F06">
        <w:rPr>
          <w:rFonts w:ascii="Calibri" w:eastAsia="Calibri" w:hAnsi="Calibri"/>
          <w:kern w:val="2"/>
          <w:lang w:eastAsia="en-US"/>
          <w14:ligatures w14:val="standardContextual"/>
        </w:rPr>
        <w:t xml:space="preserve">disclosure requirements in Annex III of </w:t>
      </w:r>
      <w:r w:rsidR="00FD5292">
        <w:rPr>
          <w:rFonts w:ascii="Calibri" w:eastAsia="Calibri" w:hAnsi="Calibri"/>
          <w:kern w:val="2"/>
          <w:lang w:eastAsia="en-US"/>
          <w14:ligatures w14:val="standardContextual"/>
        </w:rPr>
        <w:t>ESGRAR</w:t>
      </w:r>
      <w:r w:rsidR="002C3B9F" w:rsidRPr="00E75F06">
        <w:rPr>
          <w:rFonts w:ascii="Calibri" w:eastAsia="Calibri" w:hAnsi="Calibri"/>
          <w:kern w:val="2"/>
          <w:lang w:eastAsia="en-US"/>
          <w14:ligatures w14:val="standardContextual"/>
        </w:rPr>
        <w:t xml:space="preserve"> are </w:t>
      </w:r>
      <w:r w:rsidR="00B06875" w:rsidRPr="00E75F06">
        <w:rPr>
          <w:rFonts w:ascii="Calibri" w:eastAsia="Calibri" w:hAnsi="Calibri"/>
          <w:kern w:val="2"/>
          <w:lang w:eastAsia="en-US"/>
          <w14:ligatures w14:val="standardContextual"/>
        </w:rPr>
        <w:t xml:space="preserve">already </w:t>
      </w:r>
      <w:r w:rsidR="002C3B9F" w:rsidRPr="00E75F06">
        <w:rPr>
          <w:rFonts w:ascii="Calibri" w:eastAsia="Calibri" w:hAnsi="Calibri"/>
          <w:kern w:val="2"/>
          <w:lang w:eastAsia="en-US"/>
          <w14:ligatures w14:val="standardContextual"/>
        </w:rPr>
        <w:t xml:space="preserve">very detailed and </w:t>
      </w:r>
      <w:r w:rsidR="001E0FA6" w:rsidRPr="00E75F06">
        <w:rPr>
          <w:rFonts w:ascii="Calibri" w:eastAsia="Calibri" w:hAnsi="Calibri"/>
          <w:kern w:val="2"/>
          <w:lang w:eastAsia="en-US"/>
          <w14:ligatures w14:val="standardContextual"/>
        </w:rPr>
        <w:t xml:space="preserve">do </w:t>
      </w:r>
      <w:r w:rsidR="00D11736" w:rsidRPr="00E75F06">
        <w:rPr>
          <w:rFonts w:ascii="Calibri" w:eastAsia="Calibri" w:hAnsi="Calibri"/>
          <w:kern w:val="2"/>
          <w:lang w:eastAsia="en-US"/>
          <w14:ligatures w14:val="standardContextual"/>
        </w:rPr>
        <w:t>not require</w:t>
      </w:r>
      <w:r w:rsidR="007A45FB" w:rsidRPr="00E75F06">
        <w:rPr>
          <w:rFonts w:ascii="Calibri" w:eastAsia="Calibri" w:hAnsi="Calibri"/>
          <w:kern w:val="2"/>
          <w:lang w:eastAsia="en-US"/>
          <w14:ligatures w14:val="standardContextual"/>
        </w:rPr>
        <w:t xml:space="preserve"> further specification.</w:t>
      </w:r>
    </w:p>
    <w:permEnd w:id="1645309941"/>
    <w:p w14:paraId="2F0C894F" w14:textId="7301DC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EA357E">
      <w:pPr>
        <w:pStyle w:val="Paragraph"/>
        <w:numPr>
          <w:ilvl w:val="0"/>
          <w:numId w:val="0"/>
        </w:numPr>
        <w:rPr>
          <w:b/>
          <w:bCs/>
        </w:rPr>
      </w:pPr>
      <w:r w:rsidRPr="00EA357E">
        <w:rPr>
          <w:b/>
          <w:bCs/>
        </w:rPr>
        <w:t xml:space="preserve">Q5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1F375DC9" w14:textId="2AC978DB" w:rsidR="001B1B48" w:rsidRPr="00E75F06" w:rsidRDefault="000A1AF2" w:rsidP="00FB4521">
      <w:pPr>
        <w:spacing w:after="160" w:line="259" w:lineRule="auto"/>
        <w:rPr>
          <w:rFonts w:ascii="Calibri" w:eastAsia="Calibri" w:hAnsi="Calibri"/>
          <w:kern w:val="2"/>
          <w:lang w:eastAsia="en-US"/>
          <w14:ligatures w14:val="standardContextual"/>
        </w:rPr>
      </w:pPr>
      <w:permStart w:id="159149139" w:edGrp="everyone"/>
      <w:r w:rsidRPr="00E75F06">
        <w:rPr>
          <w:rFonts w:ascii="Calibri" w:eastAsia="Calibri" w:hAnsi="Calibri"/>
          <w:kern w:val="2"/>
          <w:lang w:eastAsia="en-US"/>
          <w14:ligatures w14:val="standardContextual"/>
        </w:rPr>
        <w:t xml:space="preserve">We encourage ESMA </w:t>
      </w:r>
      <w:r w:rsidR="006D198F" w:rsidRPr="00E75F06">
        <w:rPr>
          <w:rFonts w:ascii="Calibri" w:eastAsia="Calibri" w:hAnsi="Calibri"/>
          <w:kern w:val="2"/>
          <w:lang w:eastAsia="en-US"/>
          <w14:ligatures w14:val="standardContextual"/>
        </w:rPr>
        <w:t xml:space="preserve">to consider the </w:t>
      </w:r>
      <w:r w:rsidR="001A1B54" w:rsidRPr="00E75F06">
        <w:rPr>
          <w:rFonts w:ascii="Calibri" w:eastAsia="Calibri" w:hAnsi="Calibri"/>
          <w:kern w:val="2"/>
          <w:lang w:eastAsia="en-US"/>
          <w14:ligatures w14:val="standardContextual"/>
        </w:rPr>
        <w:t>proposed RTS</w:t>
      </w:r>
      <w:r w:rsidR="000F594D" w:rsidRPr="00E75F06">
        <w:rPr>
          <w:rFonts w:ascii="Calibri" w:eastAsia="Calibri" w:hAnsi="Calibri"/>
          <w:kern w:val="2"/>
          <w:lang w:eastAsia="en-US"/>
          <w14:ligatures w14:val="standardContextual"/>
        </w:rPr>
        <w:t xml:space="preserve"> </w:t>
      </w:r>
      <w:r w:rsidR="0016600C" w:rsidRPr="00E75F06">
        <w:rPr>
          <w:rFonts w:ascii="Calibri" w:eastAsia="Calibri" w:hAnsi="Calibri"/>
          <w:kern w:val="2"/>
          <w:lang w:eastAsia="en-US"/>
          <w14:ligatures w14:val="standardContextual"/>
        </w:rPr>
        <w:t>under ESGR</w:t>
      </w:r>
      <w:r w:rsidR="002E5783">
        <w:rPr>
          <w:rFonts w:ascii="Calibri" w:eastAsia="Calibri" w:hAnsi="Calibri"/>
          <w:kern w:val="2"/>
          <w:lang w:eastAsia="en-US"/>
          <w14:ligatures w14:val="standardContextual"/>
        </w:rPr>
        <w:t>AR</w:t>
      </w:r>
      <w:r w:rsidR="0016600C" w:rsidRPr="00E75F06">
        <w:rPr>
          <w:rFonts w:ascii="Calibri" w:eastAsia="Calibri" w:hAnsi="Calibri"/>
          <w:kern w:val="2"/>
          <w:lang w:eastAsia="en-US"/>
          <w14:ligatures w14:val="standardContextual"/>
        </w:rPr>
        <w:t xml:space="preserve"> </w:t>
      </w:r>
      <w:r w:rsidR="000F594D" w:rsidRPr="00E75F06">
        <w:rPr>
          <w:rFonts w:ascii="Calibri" w:eastAsia="Calibri" w:hAnsi="Calibri"/>
          <w:kern w:val="2"/>
          <w:lang w:eastAsia="en-US"/>
          <w14:ligatures w14:val="standardContextual"/>
        </w:rPr>
        <w:t xml:space="preserve">in </w:t>
      </w:r>
      <w:r w:rsidR="00631BFF" w:rsidRPr="00E75F06">
        <w:rPr>
          <w:rFonts w:ascii="Calibri" w:eastAsia="Calibri" w:hAnsi="Calibri"/>
          <w:kern w:val="2"/>
          <w:lang w:eastAsia="en-US"/>
          <w14:ligatures w14:val="standardContextual"/>
        </w:rPr>
        <w:t>conjunction with</w:t>
      </w:r>
      <w:r w:rsidR="000F594D" w:rsidRPr="00E75F06">
        <w:rPr>
          <w:rFonts w:ascii="Calibri" w:eastAsia="Calibri" w:hAnsi="Calibri"/>
          <w:kern w:val="2"/>
          <w:lang w:eastAsia="en-US"/>
          <w14:ligatures w14:val="standardContextual"/>
        </w:rPr>
        <w:t xml:space="preserve"> the proposed RTS for external reviews under the EU G</w:t>
      </w:r>
      <w:r w:rsidR="00BC5898">
        <w:rPr>
          <w:rFonts w:ascii="Calibri" w:eastAsia="Calibri" w:hAnsi="Calibri"/>
          <w:kern w:val="2"/>
          <w:lang w:eastAsia="en-US"/>
          <w14:ligatures w14:val="standardContextual"/>
        </w:rPr>
        <w:t xml:space="preserve">reen </w:t>
      </w:r>
      <w:r w:rsidR="000F594D" w:rsidRPr="00E75F06">
        <w:rPr>
          <w:rFonts w:ascii="Calibri" w:eastAsia="Calibri" w:hAnsi="Calibri"/>
          <w:kern w:val="2"/>
          <w:lang w:eastAsia="en-US"/>
          <w14:ligatures w14:val="standardContextual"/>
        </w:rPr>
        <w:t>B</w:t>
      </w:r>
      <w:r w:rsidR="00BC5898">
        <w:rPr>
          <w:rFonts w:ascii="Calibri" w:eastAsia="Calibri" w:hAnsi="Calibri"/>
          <w:kern w:val="2"/>
          <w:lang w:eastAsia="en-US"/>
          <w14:ligatures w14:val="standardContextual"/>
        </w:rPr>
        <w:t xml:space="preserve">ond </w:t>
      </w:r>
      <w:r w:rsidR="000F594D" w:rsidRPr="00E75F06">
        <w:rPr>
          <w:rFonts w:ascii="Calibri" w:eastAsia="Calibri" w:hAnsi="Calibri"/>
          <w:kern w:val="2"/>
          <w:lang w:eastAsia="en-US"/>
          <w14:ligatures w14:val="standardContextual"/>
        </w:rPr>
        <w:t>S</w:t>
      </w:r>
      <w:r w:rsidR="00BC5898">
        <w:rPr>
          <w:rFonts w:ascii="Calibri" w:eastAsia="Calibri" w:hAnsi="Calibri"/>
          <w:kern w:val="2"/>
          <w:lang w:eastAsia="en-US"/>
          <w14:ligatures w14:val="standardContextual"/>
        </w:rPr>
        <w:t>tandard</w:t>
      </w:r>
      <w:r w:rsidR="000F594D" w:rsidRPr="00E75F06">
        <w:rPr>
          <w:rFonts w:ascii="Calibri" w:eastAsia="Calibri" w:hAnsi="Calibri"/>
          <w:kern w:val="2"/>
          <w:lang w:eastAsia="en-US"/>
          <w14:ligatures w14:val="standardContextual"/>
        </w:rPr>
        <w:t xml:space="preserve"> Regulation (EU) 2023/2631</w:t>
      </w:r>
      <w:r w:rsidR="00441CEA" w:rsidRPr="00E75F06">
        <w:rPr>
          <w:rFonts w:ascii="Calibri" w:eastAsia="Calibri" w:hAnsi="Calibri"/>
          <w:kern w:val="2"/>
          <w:lang w:eastAsia="en-US"/>
          <w14:ligatures w14:val="standardContextual"/>
        </w:rPr>
        <w:t xml:space="preserve">, in an effort to facilitate </w:t>
      </w:r>
      <w:r w:rsidR="001A1B54" w:rsidRPr="00E75F06">
        <w:rPr>
          <w:rFonts w:ascii="Calibri" w:eastAsia="Calibri" w:hAnsi="Calibri"/>
          <w:kern w:val="2"/>
          <w:lang w:eastAsia="en-US"/>
          <w14:ligatures w14:val="standardContextual"/>
        </w:rPr>
        <w:t>interoperability</w:t>
      </w:r>
      <w:r w:rsidR="00E1631C" w:rsidRPr="00E75F06">
        <w:rPr>
          <w:rFonts w:ascii="Calibri" w:eastAsia="Calibri" w:hAnsi="Calibri"/>
          <w:kern w:val="2"/>
          <w:lang w:eastAsia="en-US"/>
          <w14:ligatures w14:val="standardContextual"/>
        </w:rPr>
        <w:t xml:space="preserve"> between the two sets </w:t>
      </w:r>
      <w:r w:rsidR="007311A5" w:rsidRPr="00E75F06">
        <w:rPr>
          <w:rFonts w:ascii="Calibri" w:eastAsia="Calibri" w:hAnsi="Calibri"/>
          <w:kern w:val="2"/>
          <w:lang w:eastAsia="en-US"/>
          <w14:ligatures w14:val="standardContextual"/>
        </w:rPr>
        <w:t>of regulation</w:t>
      </w:r>
      <w:r w:rsidR="001F271F" w:rsidRPr="00E75F06">
        <w:rPr>
          <w:rFonts w:ascii="Calibri" w:eastAsia="Calibri" w:hAnsi="Calibri"/>
          <w:kern w:val="2"/>
          <w:lang w:eastAsia="en-US"/>
          <w14:ligatures w14:val="standardContextual"/>
        </w:rPr>
        <w:t xml:space="preserve">. </w:t>
      </w:r>
      <w:r w:rsidR="0096620B" w:rsidRPr="00E75F06">
        <w:rPr>
          <w:rFonts w:ascii="Calibri" w:eastAsia="Calibri" w:hAnsi="Calibri"/>
          <w:kern w:val="2"/>
          <w:lang w:eastAsia="en-US"/>
          <w14:ligatures w14:val="standardContextual"/>
        </w:rPr>
        <w:t>The underlying functions of</w:t>
      </w:r>
      <w:r w:rsidR="00721B44" w:rsidRPr="00E75F06">
        <w:rPr>
          <w:rFonts w:ascii="Calibri" w:eastAsia="Calibri" w:hAnsi="Calibri"/>
          <w:kern w:val="2"/>
          <w:lang w:eastAsia="en-US"/>
          <w14:ligatures w14:val="standardContextual"/>
        </w:rPr>
        <w:t xml:space="preserve"> Green Bond</w:t>
      </w:r>
      <w:r w:rsidR="0096620B" w:rsidRPr="00E75F06">
        <w:rPr>
          <w:rFonts w:ascii="Calibri" w:eastAsia="Calibri" w:hAnsi="Calibri"/>
          <w:kern w:val="2"/>
          <w:lang w:eastAsia="en-US"/>
          <w14:ligatures w14:val="standardContextual"/>
        </w:rPr>
        <w:t xml:space="preserve"> external reviewers and ESG rating providers </w:t>
      </w:r>
      <w:r w:rsidR="00725487" w:rsidRPr="00E75F06">
        <w:rPr>
          <w:rFonts w:ascii="Calibri" w:eastAsia="Calibri" w:hAnsi="Calibri"/>
          <w:kern w:val="2"/>
          <w:lang w:eastAsia="en-US"/>
          <w14:ligatures w14:val="standardContextual"/>
        </w:rPr>
        <w:t>require similar</w:t>
      </w:r>
      <w:r w:rsidR="001A1B54" w:rsidRPr="00E75F06" w:rsidDel="00725487">
        <w:rPr>
          <w:rFonts w:ascii="Calibri" w:eastAsia="Calibri" w:hAnsi="Calibri"/>
          <w:kern w:val="2"/>
          <w:lang w:eastAsia="en-US"/>
          <w14:ligatures w14:val="standardContextual"/>
        </w:rPr>
        <w:t xml:space="preserve"> </w:t>
      </w:r>
      <w:r w:rsidR="001A1B54" w:rsidRPr="00E75F06">
        <w:rPr>
          <w:rFonts w:ascii="Calibri" w:eastAsia="Calibri" w:hAnsi="Calibri"/>
          <w:kern w:val="2"/>
          <w:lang w:eastAsia="en-US"/>
          <w14:ligatures w14:val="standardContextual"/>
        </w:rPr>
        <w:t>skills and expertise</w:t>
      </w:r>
      <w:r w:rsidR="007D6941" w:rsidRPr="00E75F06">
        <w:rPr>
          <w:rFonts w:ascii="Calibri" w:eastAsia="Calibri" w:hAnsi="Calibri"/>
          <w:kern w:val="2"/>
          <w:lang w:eastAsia="en-US"/>
          <w14:ligatures w14:val="standardContextual"/>
        </w:rPr>
        <w:t>, and</w:t>
      </w:r>
      <w:r w:rsidR="001A1B54" w:rsidRPr="00E75F06">
        <w:rPr>
          <w:rFonts w:ascii="Calibri" w:eastAsia="Calibri" w:hAnsi="Calibri"/>
          <w:kern w:val="2"/>
          <w:lang w:eastAsia="en-US"/>
          <w14:ligatures w14:val="standardContextual"/>
        </w:rPr>
        <w:t xml:space="preserve"> businesses</w:t>
      </w:r>
      <w:r w:rsidR="0009404C" w:rsidRPr="00E75F06">
        <w:rPr>
          <w:rFonts w:ascii="Calibri" w:eastAsia="Calibri" w:hAnsi="Calibri"/>
          <w:kern w:val="2"/>
          <w:lang w:eastAsia="en-US"/>
          <w14:ligatures w14:val="standardContextual"/>
        </w:rPr>
        <w:t xml:space="preserve"> may wish</w:t>
      </w:r>
      <w:r w:rsidR="001A1B54" w:rsidRPr="00E75F06">
        <w:rPr>
          <w:rFonts w:ascii="Calibri" w:eastAsia="Calibri" w:hAnsi="Calibri"/>
          <w:kern w:val="2"/>
          <w:lang w:eastAsia="en-US"/>
          <w14:ligatures w14:val="standardContextual"/>
        </w:rPr>
        <w:t xml:space="preserve"> to efficiently utilise the same </w:t>
      </w:r>
      <w:r w:rsidR="0095142F" w:rsidRPr="00E75F06">
        <w:rPr>
          <w:rFonts w:ascii="Calibri" w:eastAsia="Calibri" w:hAnsi="Calibri"/>
          <w:kern w:val="2"/>
          <w:lang w:eastAsia="en-US"/>
          <w14:ligatures w14:val="standardContextual"/>
        </w:rPr>
        <w:t>operational</w:t>
      </w:r>
      <w:r w:rsidR="001A1B54" w:rsidRPr="00E75F06">
        <w:rPr>
          <w:rFonts w:ascii="Calibri" w:eastAsia="Calibri" w:hAnsi="Calibri"/>
          <w:kern w:val="2"/>
          <w:lang w:eastAsia="en-US"/>
          <w14:ligatures w14:val="standardContextual"/>
        </w:rPr>
        <w:t xml:space="preserve"> resources for both activities.</w:t>
      </w:r>
      <w:r w:rsidR="006177B9" w:rsidRPr="00E75F06" w:rsidDel="00FB4521">
        <w:rPr>
          <w:rFonts w:ascii="Calibri" w:eastAsia="Calibri" w:hAnsi="Calibri"/>
          <w:kern w:val="2"/>
          <w:lang w:eastAsia="en-US"/>
          <w14:ligatures w14:val="standardContextual"/>
        </w:rPr>
        <w:t xml:space="preserve"> </w:t>
      </w:r>
    </w:p>
    <w:permEnd w:id="159149139"/>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EA6E" w14:textId="77777777" w:rsidR="004B4858" w:rsidRDefault="004B4858" w:rsidP="007E7997">
      <w:r>
        <w:separator/>
      </w:r>
    </w:p>
  </w:endnote>
  <w:endnote w:type="continuationSeparator" w:id="0">
    <w:p w14:paraId="0C6239F4" w14:textId="77777777" w:rsidR="004B4858" w:rsidRDefault="004B4858" w:rsidP="007E7997">
      <w:r>
        <w:continuationSeparator/>
      </w:r>
    </w:p>
  </w:endnote>
  <w:endnote w:type="continuationNotice" w:id="1">
    <w:p w14:paraId="10E3BE55" w14:textId="77777777" w:rsidR="004B4858" w:rsidRDefault="004B4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420" w14:textId="77777777" w:rsidR="004B4858" w:rsidRDefault="004B4858" w:rsidP="007E7997">
      <w:r>
        <w:separator/>
      </w:r>
    </w:p>
  </w:footnote>
  <w:footnote w:type="continuationSeparator" w:id="0">
    <w:p w14:paraId="75D654EF" w14:textId="77777777" w:rsidR="004B4858" w:rsidRDefault="004B4858" w:rsidP="007E7997">
      <w:r>
        <w:continuationSeparator/>
      </w:r>
    </w:p>
  </w:footnote>
  <w:footnote w:type="continuationNotice" w:id="1">
    <w:p w14:paraId="246FC982" w14:textId="77777777" w:rsidR="004B4858" w:rsidRDefault="004B4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11D11F90"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6853019" name="Picture 1685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1A8D"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8E3"/>
    <w:multiLevelType w:val="hybridMultilevel"/>
    <w:tmpl w:val="484C0990"/>
    <w:lvl w:ilvl="0" w:tplc="32FC4DDC">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E1BBC"/>
    <w:multiLevelType w:val="hybridMultilevel"/>
    <w:tmpl w:val="CFAA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A1BB6"/>
    <w:multiLevelType w:val="hybridMultilevel"/>
    <w:tmpl w:val="CFAA6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264EC8"/>
    <w:multiLevelType w:val="hybridMultilevel"/>
    <w:tmpl w:val="896C9FFE"/>
    <w:lvl w:ilvl="0" w:tplc="8DE6466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7"/>
  </w:num>
  <w:num w:numId="4" w16cid:durableId="1880320868">
    <w:abstractNumId w:val="5"/>
  </w:num>
  <w:num w:numId="5" w16cid:durableId="290864581">
    <w:abstractNumId w:val="15"/>
  </w:num>
  <w:num w:numId="6" w16cid:durableId="952590553">
    <w:abstractNumId w:val="29"/>
  </w:num>
  <w:num w:numId="7" w16cid:durableId="1159686949">
    <w:abstractNumId w:val="14"/>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1"/>
  </w:num>
  <w:num w:numId="15" w16cid:durableId="986476960">
    <w:abstractNumId w:val="24"/>
  </w:num>
  <w:num w:numId="16" w16cid:durableId="398749299">
    <w:abstractNumId w:val="28"/>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5"/>
  </w:num>
  <w:num w:numId="19" w16cid:durableId="558588771">
    <w:abstractNumId w:val="29"/>
  </w:num>
  <w:num w:numId="20" w16cid:durableId="1306933315">
    <w:abstractNumId w:val="12"/>
  </w:num>
  <w:num w:numId="21" w16cid:durableId="1623876054">
    <w:abstractNumId w:val="26"/>
  </w:num>
  <w:num w:numId="22" w16cid:durableId="783383837">
    <w:abstractNumId w:val="16"/>
  </w:num>
  <w:num w:numId="23" w16cid:durableId="2112964618">
    <w:abstractNumId w:val="23"/>
  </w:num>
  <w:num w:numId="24" w16cid:durableId="1958565453">
    <w:abstractNumId w:val="1"/>
  </w:num>
  <w:num w:numId="25" w16cid:durableId="1372725395">
    <w:abstractNumId w:val="21"/>
  </w:num>
  <w:num w:numId="26" w16cid:durableId="1686445133">
    <w:abstractNumId w:val="19"/>
  </w:num>
  <w:num w:numId="27" w16cid:durableId="1247768697">
    <w:abstractNumId w:val="11"/>
  </w:num>
  <w:num w:numId="28" w16cid:durableId="954170948">
    <w:abstractNumId w:val="2"/>
  </w:num>
  <w:num w:numId="29" w16cid:durableId="837424337">
    <w:abstractNumId w:val="20"/>
  </w:num>
  <w:num w:numId="30" w16cid:durableId="299657983">
    <w:abstractNumId w:val="6"/>
  </w:num>
  <w:num w:numId="31" w16cid:durableId="699822250">
    <w:abstractNumId w:val="17"/>
  </w:num>
  <w:num w:numId="32" w16cid:durableId="730466929">
    <w:abstractNumId w:val="13"/>
    <w:lvlOverride w:ilvl="0">
      <w:startOverride w:val="1"/>
    </w:lvlOverride>
  </w:num>
  <w:num w:numId="33" w16cid:durableId="552498262">
    <w:abstractNumId w:val="22"/>
  </w:num>
  <w:num w:numId="34" w16cid:durableId="1829132647">
    <w:abstractNumId w:val="13"/>
    <w:lvlOverride w:ilvl="0">
      <w:startOverride w:val="1"/>
    </w:lvlOverride>
  </w:num>
  <w:num w:numId="35" w16cid:durableId="1915964461">
    <w:abstractNumId w:val="13"/>
    <w:lvlOverride w:ilvl="0">
      <w:startOverride w:val="1"/>
    </w:lvlOverride>
  </w:num>
  <w:num w:numId="36" w16cid:durableId="1385182617">
    <w:abstractNumId w:val="13"/>
    <w:lvlOverride w:ilvl="0">
      <w:startOverride w:val="1"/>
    </w:lvlOverride>
  </w:num>
  <w:num w:numId="37" w16cid:durableId="1098604646">
    <w:abstractNumId w:val="3"/>
  </w:num>
  <w:num w:numId="38" w16cid:durableId="1287469306">
    <w:abstractNumId w:val="18"/>
  </w:num>
  <w:num w:numId="39" w16cid:durableId="1635596486">
    <w:abstractNumId w:val="30"/>
  </w:num>
  <w:num w:numId="40" w16cid:durableId="498540923">
    <w:abstractNumId w:val="0"/>
  </w:num>
  <w:num w:numId="41" w16cid:durableId="165842029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59D8"/>
    <w:rsid w:val="00006275"/>
    <w:rsid w:val="000065BE"/>
    <w:rsid w:val="00006971"/>
    <w:rsid w:val="00010698"/>
    <w:rsid w:val="00010840"/>
    <w:rsid w:val="00011F6C"/>
    <w:rsid w:val="00011F78"/>
    <w:rsid w:val="0001249B"/>
    <w:rsid w:val="00012CCB"/>
    <w:rsid w:val="00012D68"/>
    <w:rsid w:val="00012F9B"/>
    <w:rsid w:val="000142BB"/>
    <w:rsid w:val="0001555D"/>
    <w:rsid w:val="0001633D"/>
    <w:rsid w:val="0001726F"/>
    <w:rsid w:val="00020098"/>
    <w:rsid w:val="00020300"/>
    <w:rsid w:val="0002113C"/>
    <w:rsid w:val="00021932"/>
    <w:rsid w:val="00021A9A"/>
    <w:rsid w:val="00021D87"/>
    <w:rsid w:val="00022ADA"/>
    <w:rsid w:val="00025002"/>
    <w:rsid w:val="000252A6"/>
    <w:rsid w:val="00026049"/>
    <w:rsid w:val="00026327"/>
    <w:rsid w:val="000274A7"/>
    <w:rsid w:val="00027A29"/>
    <w:rsid w:val="00027EC9"/>
    <w:rsid w:val="00030979"/>
    <w:rsid w:val="000310AB"/>
    <w:rsid w:val="0003139D"/>
    <w:rsid w:val="00031A6C"/>
    <w:rsid w:val="00033934"/>
    <w:rsid w:val="00034A4F"/>
    <w:rsid w:val="00036C09"/>
    <w:rsid w:val="000372BF"/>
    <w:rsid w:val="00040A52"/>
    <w:rsid w:val="00042E48"/>
    <w:rsid w:val="00044C5A"/>
    <w:rsid w:val="00044E0A"/>
    <w:rsid w:val="000462E8"/>
    <w:rsid w:val="000464A7"/>
    <w:rsid w:val="00046D94"/>
    <w:rsid w:val="00047C57"/>
    <w:rsid w:val="000510B6"/>
    <w:rsid w:val="00054A6B"/>
    <w:rsid w:val="00054E00"/>
    <w:rsid w:val="00057765"/>
    <w:rsid w:val="000579BA"/>
    <w:rsid w:val="00057C3F"/>
    <w:rsid w:val="00061B2B"/>
    <w:rsid w:val="000627C5"/>
    <w:rsid w:val="00062D4F"/>
    <w:rsid w:val="0006448C"/>
    <w:rsid w:val="0006449B"/>
    <w:rsid w:val="000655AD"/>
    <w:rsid w:val="00066346"/>
    <w:rsid w:val="00066FD1"/>
    <w:rsid w:val="00072BF9"/>
    <w:rsid w:val="00073DF9"/>
    <w:rsid w:val="000740F6"/>
    <w:rsid w:val="0007767E"/>
    <w:rsid w:val="0007796D"/>
    <w:rsid w:val="000821D2"/>
    <w:rsid w:val="000830DA"/>
    <w:rsid w:val="000836F5"/>
    <w:rsid w:val="00083E32"/>
    <w:rsid w:val="00083FBB"/>
    <w:rsid w:val="00086002"/>
    <w:rsid w:val="00086F71"/>
    <w:rsid w:val="00087593"/>
    <w:rsid w:val="00090733"/>
    <w:rsid w:val="00091188"/>
    <w:rsid w:val="000921E6"/>
    <w:rsid w:val="00092D6C"/>
    <w:rsid w:val="00093239"/>
    <w:rsid w:val="0009404C"/>
    <w:rsid w:val="000A03C9"/>
    <w:rsid w:val="000A12CC"/>
    <w:rsid w:val="000A1AF2"/>
    <w:rsid w:val="000A1C12"/>
    <w:rsid w:val="000A2738"/>
    <w:rsid w:val="000A2DF1"/>
    <w:rsid w:val="000A3D10"/>
    <w:rsid w:val="000A409B"/>
    <w:rsid w:val="000A58F3"/>
    <w:rsid w:val="000A5D3C"/>
    <w:rsid w:val="000A66FC"/>
    <w:rsid w:val="000A741E"/>
    <w:rsid w:val="000B1615"/>
    <w:rsid w:val="000B2AAF"/>
    <w:rsid w:val="000B2E26"/>
    <w:rsid w:val="000B5D3D"/>
    <w:rsid w:val="000B5D66"/>
    <w:rsid w:val="000B7721"/>
    <w:rsid w:val="000C05E8"/>
    <w:rsid w:val="000C0CE0"/>
    <w:rsid w:val="000C2400"/>
    <w:rsid w:val="000C2948"/>
    <w:rsid w:val="000C299C"/>
    <w:rsid w:val="000C315D"/>
    <w:rsid w:val="000C406A"/>
    <w:rsid w:val="000C5032"/>
    <w:rsid w:val="000C5ACC"/>
    <w:rsid w:val="000D0293"/>
    <w:rsid w:val="000D0850"/>
    <w:rsid w:val="000D1038"/>
    <w:rsid w:val="000D11A9"/>
    <w:rsid w:val="000D2C64"/>
    <w:rsid w:val="000D2D7B"/>
    <w:rsid w:val="000D45E0"/>
    <w:rsid w:val="000D569D"/>
    <w:rsid w:val="000D5991"/>
    <w:rsid w:val="000D5CD2"/>
    <w:rsid w:val="000D6071"/>
    <w:rsid w:val="000D6B3B"/>
    <w:rsid w:val="000D6C94"/>
    <w:rsid w:val="000E058A"/>
    <w:rsid w:val="000E2232"/>
    <w:rsid w:val="000E3DB1"/>
    <w:rsid w:val="000E40A6"/>
    <w:rsid w:val="000E43F9"/>
    <w:rsid w:val="000E5D80"/>
    <w:rsid w:val="000E679F"/>
    <w:rsid w:val="000F0058"/>
    <w:rsid w:val="000F0169"/>
    <w:rsid w:val="000F0951"/>
    <w:rsid w:val="000F188E"/>
    <w:rsid w:val="000F2598"/>
    <w:rsid w:val="000F29C0"/>
    <w:rsid w:val="000F2BE6"/>
    <w:rsid w:val="000F2C2F"/>
    <w:rsid w:val="000F474D"/>
    <w:rsid w:val="000F4C2C"/>
    <w:rsid w:val="000F594D"/>
    <w:rsid w:val="000F5B69"/>
    <w:rsid w:val="000F5C90"/>
    <w:rsid w:val="000F5EA6"/>
    <w:rsid w:val="000F7998"/>
    <w:rsid w:val="001000D7"/>
    <w:rsid w:val="00100ADC"/>
    <w:rsid w:val="0010429A"/>
    <w:rsid w:val="00105161"/>
    <w:rsid w:val="00105424"/>
    <w:rsid w:val="00105FA0"/>
    <w:rsid w:val="001075EC"/>
    <w:rsid w:val="00107BD7"/>
    <w:rsid w:val="00110E95"/>
    <w:rsid w:val="00111F00"/>
    <w:rsid w:val="00113D82"/>
    <w:rsid w:val="00115558"/>
    <w:rsid w:val="00116612"/>
    <w:rsid w:val="00120F0D"/>
    <w:rsid w:val="001214DA"/>
    <w:rsid w:val="00121630"/>
    <w:rsid w:val="001233AA"/>
    <w:rsid w:val="001239EA"/>
    <w:rsid w:val="001243E6"/>
    <w:rsid w:val="0012722A"/>
    <w:rsid w:val="00130596"/>
    <w:rsid w:val="001306EB"/>
    <w:rsid w:val="0013090E"/>
    <w:rsid w:val="00130EF9"/>
    <w:rsid w:val="001319C7"/>
    <w:rsid w:val="00133574"/>
    <w:rsid w:val="0013423E"/>
    <w:rsid w:val="0013432F"/>
    <w:rsid w:val="00134CA0"/>
    <w:rsid w:val="00134E14"/>
    <w:rsid w:val="001351B1"/>
    <w:rsid w:val="001355E6"/>
    <w:rsid w:val="0013644A"/>
    <w:rsid w:val="00140762"/>
    <w:rsid w:val="00140BA6"/>
    <w:rsid w:val="00141946"/>
    <w:rsid w:val="00143DCA"/>
    <w:rsid w:val="00144AAD"/>
    <w:rsid w:val="001455E7"/>
    <w:rsid w:val="00146047"/>
    <w:rsid w:val="0014624E"/>
    <w:rsid w:val="001522DD"/>
    <w:rsid w:val="00153730"/>
    <w:rsid w:val="00153F49"/>
    <w:rsid w:val="00154339"/>
    <w:rsid w:val="0015449F"/>
    <w:rsid w:val="00154876"/>
    <w:rsid w:val="00155BAB"/>
    <w:rsid w:val="00155CD3"/>
    <w:rsid w:val="00155FA9"/>
    <w:rsid w:val="001608B2"/>
    <w:rsid w:val="00160FE0"/>
    <w:rsid w:val="001614F1"/>
    <w:rsid w:val="00163AB3"/>
    <w:rsid w:val="00165047"/>
    <w:rsid w:val="00165FF8"/>
    <w:rsid w:val="0016600C"/>
    <w:rsid w:val="0016669F"/>
    <w:rsid w:val="00167B4C"/>
    <w:rsid w:val="001707A5"/>
    <w:rsid w:val="00170AD6"/>
    <w:rsid w:val="001735B8"/>
    <w:rsid w:val="00177AA7"/>
    <w:rsid w:val="00180917"/>
    <w:rsid w:val="001809BD"/>
    <w:rsid w:val="00180E53"/>
    <w:rsid w:val="001811F0"/>
    <w:rsid w:val="00181CB7"/>
    <w:rsid w:val="00183409"/>
    <w:rsid w:val="00184E55"/>
    <w:rsid w:val="001862A5"/>
    <w:rsid w:val="00186A70"/>
    <w:rsid w:val="00187337"/>
    <w:rsid w:val="00187651"/>
    <w:rsid w:val="00187B48"/>
    <w:rsid w:val="00191035"/>
    <w:rsid w:val="001918E5"/>
    <w:rsid w:val="00192A7A"/>
    <w:rsid w:val="0019469E"/>
    <w:rsid w:val="00194AB3"/>
    <w:rsid w:val="00195A38"/>
    <w:rsid w:val="001968F3"/>
    <w:rsid w:val="00197514"/>
    <w:rsid w:val="001976AD"/>
    <w:rsid w:val="00197AAF"/>
    <w:rsid w:val="001A1B54"/>
    <w:rsid w:val="001A1E4B"/>
    <w:rsid w:val="001A1EF4"/>
    <w:rsid w:val="001A3A70"/>
    <w:rsid w:val="001A3EF8"/>
    <w:rsid w:val="001A4E59"/>
    <w:rsid w:val="001A7046"/>
    <w:rsid w:val="001A710D"/>
    <w:rsid w:val="001A740F"/>
    <w:rsid w:val="001A7E6F"/>
    <w:rsid w:val="001B0A77"/>
    <w:rsid w:val="001B1727"/>
    <w:rsid w:val="001B1A3C"/>
    <w:rsid w:val="001B1B48"/>
    <w:rsid w:val="001B1E02"/>
    <w:rsid w:val="001B2151"/>
    <w:rsid w:val="001B3CFF"/>
    <w:rsid w:val="001B4824"/>
    <w:rsid w:val="001B4957"/>
    <w:rsid w:val="001B4996"/>
    <w:rsid w:val="001B4DB7"/>
    <w:rsid w:val="001B5553"/>
    <w:rsid w:val="001B5F1A"/>
    <w:rsid w:val="001B6517"/>
    <w:rsid w:val="001B7A83"/>
    <w:rsid w:val="001C05AA"/>
    <w:rsid w:val="001C0E59"/>
    <w:rsid w:val="001C118E"/>
    <w:rsid w:val="001C1B99"/>
    <w:rsid w:val="001C28AD"/>
    <w:rsid w:val="001C432D"/>
    <w:rsid w:val="001C469E"/>
    <w:rsid w:val="001C56C3"/>
    <w:rsid w:val="001C5D8C"/>
    <w:rsid w:val="001C7E0A"/>
    <w:rsid w:val="001D0112"/>
    <w:rsid w:val="001D19F5"/>
    <w:rsid w:val="001D1DF2"/>
    <w:rsid w:val="001D385A"/>
    <w:rsid w:val="001D3AC4"/>
    <w:rsid w:val="001D5239"/>
    <w:rsid w:val="001D5947"/>
    <w:rsid w:val="001D6B39"/>
    <w:rsid w:val="001D794A"/>
    <w:rsid w:val="001D7F63"/>
    <w:rsid w:val="001E0FA6"/>
    <w:rsid w:val="001E12CE"/>
    <w:rsid w:val="001E1ECD"/>
    <w:rsid w:val="001E31C8"/>
    <w:rsid w:val="001E3E0D"/>
    <w:rsid w:val="001E4A45"/>
    <w:rsid w:val="001E5AB6"/>
    <w:rsid w:val="001E5AB7"/>
    <w:rsid w:val="001E5E30"/>
    <w:rsid w:val="001E67FD"/>
    <w:rsid w:val="001F0479"/>
    <w:rsid w:val="001F122C"/>
    <w:rsid w:val="001F1F10"/>
    <w:rsid w:val="001F220A"/>
    <w:rsid w:val="001F23C9"/>
    <w:rsid w:val="001F2453"/>
    <w:rsid w:val="001F271F"/>
    <w:rsid w:val="001F3018"/>
    <w:rsid w:val="001F3999"/>
    <w:rsid w:val="001F3D9D"/>
    <w:rsid w:val="001F443B"/>
    <w:rsid w:val="001F4AC8"/>
    <w:rsid w:val="001F5127"/>
    <w:rsid w:val="001F5133"/>
    <w:rsid w:val="001F5D02"/>
    <w:rsid w:val="001F6982"/>
    <w:rsid w:val="00200894"/>
    <w:rsid w:val="00202333"/>
    <w:rsid w:val="00202FA8"/>
    <w:rsid w:val="002032FE"/>
    <w:rsid w:val="002034B8"/>
    <w:rsid w:val="00205922"/>
    <w:rsid w:val="00206FB8"/>
    <w:rsid w:val="00207031"/>
    <w:rsid w:val="0020766F"/>
    <w:rsid w:val="00207A07"/>
    <w:rsid w:val="00210181"/>
    <w:rsid w:val="00210498"/>
    <w:rsid w:val="0021147A"/>
    <w:rsid w:val="002131CF"/>
    <w:rsid w:val="00213BFB"/>
    <w:rsid w:val="00214F87"/>
    <w:rsid w:val="002156A3"/>
    <w:rsid w:val="00215F3B"/>
    <w:rsid w:val="002166A4"/>
    <w:rsid w:val="00217478"/>
    <w:rsid w:val="00220938"/>
    <w:rsid w:val="00220B4A"/>
    <w:rsid w:val="00221E09"/>
    <w:rsid w:val="00222314"/>
    <w:rsid w:val="00224806"/>
    <w:rsid w:val="00224F9A"/>
    <w:rsid w:val="002266DC"/>
    <w:rsid w:val="002273C9"/>
    <w:rsid w:val="00230DA2"/>
    <w:rsid w:val="00232F8E"/>
    <w:rsid w:val="00233071"/>
    <w:rsid w:val="00233E92"/>
    <w:rsid w:val="00235575"/>
    <w:rsid w:val="00235E99"/>
    <w:rsid w:val="00241246"/>
    <w:rsid w:val="0024299F"/>
    <w:rsid w:val="002449D8"/>
    <w:rsid w:val="00244B86"/>
    <w:rsid w:val="00244C97"/>
    <w:rsid w:val="0024512F"/>
    <w:rsid w:val="00245406"/>
    <w:rsid w:val="002455D7"/>
    <w:rsid w:val="00245D2E"/>
    <w:rsid w:val="00246C0A"/>
    <w:rsid w:val="00246E1D"/>
    <w:rsid w:val="002472F6"/>
    <w:rsid w:val="002473BA"/>
    <w:rsid w:val="0025020D"/>
    <w:rsid w:val="00251945"/>
    <w:rsid w:val="00254CC2"/>
    <w:rsid w:val="002573E2"/>
    <w:rsid w:val="002574D1"/>
    <w:rsid w:val="002605FC"/>
    <w:rsid w:val="00260B1C"/>
    <w:rsid w:val="00261CCB"/>
    <w:rsid w:val="00261DBE"/>
    <w:rsid w:val="0026234B"/>
    <w:rsid w:val="00262E56"/>
    <w:rsid w:val="002630C0"/>
    <w:rsid w:val="0026332A"/>
    <w:rsid w:val="002645A8"/>
    <w:rsid w:val="0026493B"/>
    <w:rsid w:val="00264F65"/>
    <w:rsid w:val="00265566"/>
    <w:rsid w:val="00265F44"/>
    <w:rsid w:val="002665E3"/>
    <w:rsid w:val="002709ED"/>
    <w:rsid w:val="0027199C"/>
    <w:rsid w:val="00272C4E"/>
    <w:rsid w:val="002751FC"/>
    <w:rsid w:val="002753BD"/>
    <w:rsid w:val="002771FE"/>
    <w:rsid w:val="0028267E"/>
    <w:rsid w:val="00282AB0"/>
    <w:rsid w:val="00282B3A"/>
    <w:rsid w:val="00282D38"/>
    <w:rsid w:val="00282FBE"/>
    <w:rsid w:val="0028448B"/>
    <w:rsid w:val="00284802"/>
    <w:rsid w:val="00284AF2"/>
    <w:rsid w:val="0028536B"/>
    <w:rsid w:val="00285CED"/>
    <w:rsid w:val="00285EB5"/>
    <w:rsid w:val="00287C50"/>
    <w:rsid w:val="00287C8F"/>
    <w:rsid w:val="00290893"/>
    <w:rsid w:val="002917B9"/>
    <w:rsid w:val="00291A55"/>
    <w:rsid w:val="0029394C"/>
    <w:rsid w:val="00293F0D"/>
    <w:rsid w:val="00295408"/>
    <w:rsid w:val="002A13B0"/>
    <w:rsid w:val="002A2C91"/>
    <w:rsid w:val="002A3023"/>
    <w:rsid w:val="002A4D81"/>
    <w:rsid w:val="002A5241"/>
    <w:rsid w:val="002A6C21"/>
    <w:rsid w:val="002A780E"/>
    <w:rsid w:val="002B045E"/>
    <w:rsid w:val="002B144C"/>
    <w:rsid w:val="002B53F3"/>
    <w:rsid w:val="002B5898"/>
    <w:rsid w:val="002B6F35"/>
    <w:rsid w:val="002B7EC8"/>
    <w:rsid w:val="002C03FD"/>
    <w:rsid w:val="002C044D"/>
    <w:rsid w:val="002C066B"/>
    <w:rsid w:val="002C0EEC"/>
    <w:rsid w:val="002C1AA5"/>
    <w:rsid w:val="002C2A46"/>
    <w:rsid w:val="002C3048"/>
    <w:rsid w:val="002C38C3"/>
    <w:rsid w:val="002C3B9F"/>
    <w:rsid w:val="002C5517"/>
    <w:rsid w:val="002C5C97"/>
    <w:rsid w:val="002C6280"/>
    <w:rsid w:val="002C6BC3"/>
    <w:rsid w:val="002C6FC3"/>
    <w:rsid w:val="002C76AE"/>
    <w:rsid w:val="002D2992"/>
    <w:rsid w:val="002D37A0"/>
    <w:rsid w:val="002D45AD"/>
    <w:rsid w:val="002D47FE"/>
    <w:rsid w:val="002D5AB5"/>
    <w:rsid w:val="002D6667"/>
    <w:rsid w:val="002D6CA9"/>
    <w:rsid w:val="002D761A"/>
    <w:rsid w:val="002D79F3"/>
    <w:rsid w:val="002E1149"/>
    <w:rsid w:val="002E1C11"/>
    <w:rsid w:val="002E1C7D"/>
    <w:rsid w:val="002E3D0B"/>
    <w:rsid w:val="002E3E7D"/>
    <w:rsid w:val="002E4FE0"/>
    <w:rsid w:val="002E5783"/>
    <w:rsid w:val="002E6A8E"/>
    <w:rsid w:val="002F15F4"/>
    <w:rsid w:val="002F1CC5"/>
    <w:rsid w:val="002F380D"/>
    <w:rsid w:val="002F5407"/>
    <w:rsid w:val="002F5B93"/>
    <w:rsid w:val="002F6279"/>
    <w:rsid w:val="002F73B5"/>
    <w:rsid w:val="00300F55"/>
    <w:rsid w:val="003013B7"/>
    <w:rsid w:val="00301532"/>
    <w:rsid w:val="00301993"/>
    <w:rsid w:val="00301E55"/>
    <w:rsid w:val="0030211B"/>
    <w:rsid w:val="0030436B"/>
    <w:rsid w:val="00304B3A"/>
    <w:rsid w:val="00305D22"/>
    <w:rsid w:val="00307397"/>
    <w:rsid w:val="003101EF"/>
    <w:rsid w:val="00312BDD"/>
    <w:rsid w:val="00313375"/>
    <w:rsid w:val="00314117"/>
    <w:rsid w:val="00315215"/>
    <w:rsid w:val="00316A65"/>
    <w:rsid w:val="00317EDF"/>
    <w:rsid w:val="0032134C"/>
    <w:rsid w:val="00321538"/>
    <w:rsid w:val="003222A2"/>
    <w:rsid w:val="00322B55"/>
    <w:rsid w:val="0032388A"/>
    <w:rsid w:val="003279E7"/>
    <w:rsid w:val="00327B62"/>
    <w:rsid w:val="00331FE9"/>
    <w:rsid w:val="0033324D"/>
    <w:rsid w:val="003352CF"/>
    <w:rsid w:val="0033587C"/>
    <w:rsid w:val="0033696D"/>
    <w:rsid w:val="00336BF9"/>
    <w:rsid w:val="00336D60"/>
    <w:rsid w:val="003371E8"/>
    <w:rsid w:val="00337470"/>
    <w:rsid w:val="00337471"/>
    <w:rsid w:val="0034151D"/>
    <w:rsid w:val="00341D4C"/>
    <w:rsid w:val="00342B5B"/>
    <w:rsid w:val="00343532"/>
    <w:rsid w:val="00343777"/>
    <w:rsid w:val="00345469"/>
    <w:rsid w:val="003454ED"/>
    <w:rsid w:val="00345EB9"/>
    <w:rsid w:val="00346931"/>
    <w:rsid w:val="00346BD5"/>
    <w:rsid w:val="0035030F"/>
    <w:rsid w:val="003503DD"/>
    <w:rsid w:val="003519DD"/>
    <w:rsid w:val="00351B68"/>
    <w:rsid w:val="00351C51"/>
    <w:rsid w:val="00351F68"/>
    <w:rsid w:val="00352E7F"/>
    <w:rsid w:val="00353C4B"/>
    <w:rsid w:val="00354130"/>
    <w:rsid w:val="003545A6"/>
    <w:rsid w:val="00356C60"/>
    <w:rsid w:val="003578D1"/>
    <w:rsid w:val="00363639"/>
    <w:rsid w:val="00366C56"/>
    <w:rsid w:val="00366D42"/>
    <w:rsid w:val="0036748C"/>
    <w:rsid w:val="003675FD"/>
    <w:rsid w:val="00370397"/>
    <w:rsid w:val="0037230D"/>
    <w:rsid w:val="00372615"/>
    <w:rsid w:val="00372977"/>
    <w:rsid w:val="00372EA3"/>
    <w:rsid w:val="0037311D"/>
    <w:rsid w:val="0037358E"/>
    <w:rsid w:val="00373A3C"/>
    <w:rsid w:val="00373AB8"/>
    <w:rsid w:val="00373FCF"/>
    <w:rsid w:val="00374986"/>
    <w:rsid w:val="00376233"/>
    <w:rsid w:val="003765A4"/>
    <w:rsid w:val="00380B30"/>
    <w:rsid w:val="00381445"/>
    <w:rsid w:val="00381784"/>
    <w:rsid w:val="00381EB0"/>
    <w:rsid w:val="00382A72"/>
    <w:rsid w:val="00382EBA"/>
    <w:rsid w:val="0038331A"/>
    <w:rsid w:val="0038546B"/>
    <w:rsid w:val="0038565B"/>
    <w:rsid w:val="00390FB5"/>
    <w:rsid w:val="0039135B"/>
    <w:rsid w:val="00394921"/>
    <w:rsid w:val="00396CDA"/>
    <w:rsid w:val="00397253"/>
    <w:rsid w:val="003A34E7"/>
    <w:rsid w:val="003A3CB1"/>
    <w:rsid w:val="003A3D55"/>
    <w:rsid w:val="003A73A4"/>
    <w:rsid w:val="003B102E"/>
    <w:rsid w:val="003B16E3"/>
    <w:rsid w:val="003B18CA"/>
    <w:rsid w:val="003B26BA"/>
    <w:rsid w:val="003B34A4"/>
    <w:rsid w:val="003B3C4A"/>
    <w:rsid w:val="003B4E3D"/>
    <w:rsid w:val="003B61B3"/>
    <w:rsid w:val="003B67AE"/>
    <w:rsid w:val="003B6CB5"/>
    <w:rsid w:val="003C0E10"/>
    <w:rsid w:val="003C167E"/>
    <w:rsid w:val="003C1CEC"/>
    <w:rsid w:val="003C279B"/>
    <w:rsid w:val="003C46B2"/>
    <w:rsid w:val="003C481D"/>
    <w:rsid w:val="003C4EB5"/>
    <w:rsid w:val="003C519E"/>
    <w:rsid w:val="003C6CCF"/>
    <w:rsid w:val="003C7C29"/>
    <w:rsid w:val="003D1099"/>
    <w:rsid w:val="003D1F7D"/>
    <w:rsid w:val="003D2CED"/>
    <w:rsid w:val="003D2F56"/>
    <w:rsid w:val="003D344A"/>
    <w:rsid w:val="003D3BB8"/>
    <w:rsid w:val="003D4F9A"/>
    <w:rsid w:val="003D623D"/>
    <w:rsid w:val="003D72F4"/>
    <w:rsid w:val="003D7C07"/>
    <w:rsid w:val="003E13FD"/>
    <w:rsid w:val="003E1C24"/>
    <w:rsid w:val="003E3ABF"/>
    <w:rsid w:val="003E409C"/>
    <w:rsid w:val="003E4531"/>
    <w:rsid w:val="003E5D51"/>
    <w:rsid w:val="003E61FC"/>
    <w:rsid w:val="003E77BC"/>
    <w:rsid w:val="003F0EDF"/>
    <w:rsid w:val="003F20C7"/>
    <w:rsid w:val="003F24C5"/>
    <w:rsid w:val="003F39B1"/>
    <w:rsid w:val="003F400E"/>
    <w:rsid w:val="003F7B1D"/>
    <w:rsid w:val="00400331"/>
    <w:rsid w:val="00400D9C"/>
    <w:rsid w:val="00400FBE"/>
    <w:rsid w:val="004022CF"/>
    <w:rsid w:val="004024C5"/>
    <w:rsid w:val="004029B1"/>
    <w:rsid w:val="0040376B"/>
    <w:rsid w:val="004038F1"/>
    <w:rsid w:val="00404282"/>
    <w:rsid w:val="00404DE8"/>
    <w:rsid w:val="00404ED5"/>
    <w:rsid w:val="00406E82"/>
    <w:rsid w:val="0040743A"/>
    <w:rsid w:val="00407623"/>
    <w:rsid w:val="00407A74"/>
    <w:rsid w:val="004114D5"/>
    <w:rsid w:val="00412E5E"/>
    <w:rsid w:val="00414210"/>
    <w:rsid w:val="004159DB"/>
    <w:rsid w:val="00415C79"/>
    <w:rsid w:val="00417B66"/>
    <w:rsid w:val="00420FD4"/>
    <w:rsid w:val="004211FB"/>
    <w:rsid w:val="004242B3"/>
    <w:rsid w:val="00424A4F"/>
    <w:rsid w:val="00426B1A"/>
    <w:rsid w:val="00426D62"/>
    <w:rsid w:val="00426D6B"/>
    <w:rsid w:val="00427A89"/>
    <w:rsid w:val="00427C7B"/>
    <w:rsid w:val="00430B67"/>
    <w:rsid w:val="00430C5B"/>
    <w:rsid w:val="00431968"/>
    <w:rsid w:val="00432F80"/>
    <w:rsid w:val="00433936"/>
    <w:rsid w:val="0043475E"/>
    <w:rsid w:val="00435275"/>
    <w:rsid w:val="00435FE9"/>
    <w:rsid w:val="00436279"/>
    <w:rsid w:val="00437132"/>
    <w:rsid w:val="0044199E"/>
    <w:rsid w:val="00441CEA"/>
    <w:rsid w:val="0044206D"/>
    <w:rsid w:val="00442EA4"/>
    <w:rsid w:val="00444803"/>
    <w:rsid w:val="00445696"/>
    <w:rsid w:val="004462EE"/>
    <w:rsid w:val="00446E5F"/>
    <w:rsid w:val="00447767"/>
    <w:rsid w:val="00450C4E"/>
    <w:rsid w:val="00452CC7"/>
    <w:rsid w:val="00453987"/>
    <w:rsid w:val="00455577"/>
    <w:rsid w:val="00456795"/>
    <w:rsid w:val="004578B3"/>
    <w:rsid w:val="0046150E"/>
    <w:rsid w:val="00461CC8"/>
    <w:rsid w:val="00462B2F"/>
    <w:rsid w:val="00462E09"/>
    <w:rsid w:val="004659D5"/>
    <w:rsid w:val="00465EAA"/>
    <w:rsid w:val="004661D9"/>
    <w:rsid w:val="004665EF"/>
    <w:rsid w:val="004708CA"/>
    <w:rsid w:val="004709E7"/>
    <w:rsid w:val="00470ADE"/>
    <w:rsid w:val="004712C7"/>
    <w:rsid w:val="00473CF2"/>
    <w:rsid w:val="004759EB"/>
    <w:rsid w:val="00475A3F"/>
    <w:rsid w:val="0047674E"/>
    <w:rsid w:val="0047787E"/>
    <w:rsid w:val="00477919"/>
    <w:rsid w:val="00482611"/>
    <w:rsid w:val="00482A27"/>
    <w:rsid w:val="0048329E"/>
    <w:rsid w:val="004850D6"/>
    <w:rsid w:val="004853DB"/>
    <w:rsid w:val="00485A3D"/>
    <w:rsid w:val="0048798A"/>
    <w:rsid w:val="00487DCE"/>
    <w:rsid w:val="004913B3"/>
    <w:rsid w:val="00492701"/>
    <w:rsid w:val="00492AF5"/>
    <w:rsid w:val="004950B7"/>
    <w:rsid w:val="0049534D"/>
    <w:rsid w:val="00497FEA"/>
    <w:rsid w:val="004A0A6B"/>
    <w:rsid w:val="004A67C5"/>
    <w:rsid w:val="004A6C76"/>
    <w:rsid w:val="004A75F5"/>
    <w:rsid w:val="004B07B2"/>
    <w:rsid w:val="004B0955"/>
    <w:rsid w:val="004B143D"/>
    <w:rsid w:val="004B1842"/>
    <w:rsid w:val="004B235A"/>
    <w:rsid w:val="004B25D0"/>
    <w:rsid w:val="004B3502"/>
    <w:rsid w:val="004B3553"/>
    <w:rsid w:val="004B396E"/>
    <w:rsid w:val="004B4858"/>
    <w:rsid w:val="004B5E44"/>
    <w:rsid w:val="004B5E92"/>
    <w:rsid w:val="004B6859"/>
    <w:rsid w:val="004B75CE"/>
    <w:rsid w:val="004C0A30"/>
    <w:rsid w:val="004C357C"/>
    <w:rsid w:val="004C3D18"/>
    <w:rsid w:val="004C5469"/>
    <w:rsid w:val="004C5613"/>
    <w:rsid w:val="004C621B"/>
    <w:rsid w:val="004C7A43"/>
    <w:rsid w:val="004D05B5"/>
    <w:rsid w:val="004D3247"/>
    <w:rsid w:val="004D42B1"/>
    <w:rsid w:val="004D4974"/>
    <w:rsid w:val="004D526F"/>
    <w:rsid w:val="004D5784"/>
    <w:rsid w:val="004D6464"/>
    <w:rsid w:val="004E052F"/>
    <w:rsid w:val="004E0583"/>
    <w:rsid w:val="004E1422"/>
    <w:rsid w:val="004E19C0"/>
    <w:rsid w:val="004E1C54"/>
    <w:rsid w:val="004E266F"/>
    <w:rsid w:val="004E2C37"/>
    <w:rsid w:val="004E3182"/>
    <w:rsid w:val="004E369B"/>
    <w:rsid w:val="004E3800"/>
    <w:rsid w:val="004E5285"/>
    <w:rsid w:val="004F0CF3"/>
    <w:rsid w:val="004F2A51"/>
    <w:rsid w:val="004F5740"/>
    <w:rsid w:val="004F58C9"/>
    <w:rsid w:val="004F6A49"/>
    <w:rsid w:val="005028B9"/>
    <w:rsid w:val="00502E5B"/>
    <w:rsid w:val="0050320B"/>
    <w:rsid w:val="00503A3F"/>
    <w:rsid w:val="00505E17"/>
    <w:rsid w:val="0050797C"/>
    <w:rsid w:val="00510D22"/>
    <w:rsid w:val="00511A59"/>
    <w:rsid w:val="00511C3B"/>
    <w:rsid w:val="00513DA2"/>
    <w:rsid w:val="00514440"/>
    <w:rsid w:val="00515175"/>
    <w:rsid w:val="005166C3"/>
    <w:rsid w:val="00517D7D"/>
    <w:rsid w:val="00520A81"/>
    <w:rsid w:val="00520F7C"/>
    <w:rsid w:val="005210C4"/>
    <w:rsid w:val="00522C9D"/>
    <w:rsid w:val="00523974"/>
    <w:rsid w:val="0052589E"/>
    <w:rsid w:val="00526016"/>
    <w:rsid w:val="00526E5D"/>
    <w:rsid w:val="00527517"/>
    <w:rsid w:val="00531432"/>
    <w:rsid w:val="00532BC8"/>
    <w:rsid w:val="005333E8"/>
    <w:rsid w:val="00534912"/>
    <w:rsid w:val="005370E7"/>
    <w:rsid w:val="005409B7"/>
    <w:rsid w:val="00541AE2"/>
    <w:rsid w:val="005458AB"/>
    <w:rsid w:val="00545E62"/>
    <w:rsid w:val="00547995"/>
    <w:rsid w:val="00547E8D"/>
    <w:rsid w:val="00551070"/>
    <w:rsid w:val="00551142"/>
    <w:rsid w:val="00552C8A"/>
    <w:rsid w:val="00555156"/>
    <w:rsid w:val="0055535B"/>
    <w:rsid w:val="00560A96"/>
    <w:rsid w:val="005619CB"/>
    <w:rsid w:val="00561B71"/>
    <w:rsid w:val="00561F98"/>
    <w:rsid w:val="00564607"/>
    <w:rsid w:val="00564629"/>
    <w:rsid w:val="00565193"/>
    <w:rsid w:val="005664AB"/>
    <w:rsid w:val="005725BD"/>
    <w:rsid w:val="005730B0"/>
    <w:rsid w:val="00575DCC"/>
    <w:rsid w:val="005767E7"/>
    <w:rsid w:val="0058103C"/>
    <w:rsid w:val="00581133"/>
    <w:rsid w:val="00581E5F"/>
    <w:rsid w:val="005821B0"/>
    <w:rsid w:val="00582AB4"/>
    <w:rsid w:val="00582F71"/>
    <w:rsid w:val="00583907"/>
    <w:rsid w:val="00587CDE"/>
    <w:rsid w:val="005903D9"/>
    <w:rsid w:val="0059175F"/>
    <w:rsid w:val="00591A11"/>
    <w:rsid w:val="00591AAC"/>
    <w:rsid w:val="0059231B"/>
    <w:rsid w:val="0059307E"/>
    <w:rsid w:val="00595451"/>
    <w:rsid w:val="00595F08"/>
    <w:rsid w:val="00595FBE"/>
    <w:rsid w:val="00597B54"/>
    <w:rsid w:val="005A01D4"/>
    <w:rsid w:val="005A1C55"/>
    <w:rsid w:val="005A38B6"/>
    <w:rsid w:val="005A6290"/>
    <w:rsid w:val="005B169D"/>
    <w:rsid w:val="005B1B4C"/>
    <w:rsid w:val="005B25DD"/>
    <w:rsid w:val="005B467C"/>
    <w:rsid w:val="005B4ACA"/>
    <w:rsid w:val="005B6B12"/>
    <w:rsid w:val="005C0357"/>
    <w:rsid w:val="005C19E9"/>
    <w:rsid w:val="005C1D2D"/>
    <w:rsid w:val="005C2921"/>
    <w:rsid w:val="005C2DBC"/>
    <w:rsid w:val="005C37AA"/>
    <w:rsid w:val="005C4849"/>
    <w:rsid w:val="005C5F13"/>
    <w:rsid w:val="005C65F9"/>
    <w:rsid w:val="005C6B0E"/>
    <w:rsid w:val="005C72B3"/>
    <w:rsid w:val="005C75AC"/>
    <w:rsid w:val="005C7E1F"/>
    <w:rsid w:val="005D1B9E"/>
    <w:rsid w:val="005D1F6B"/>
    <w:rsid w:val="005D243E"/>
    <w:rsid w:val="005D2DE7"/>
    <w:rsid w:val="005D331C"/>
    <w:rsid w:val="005D4005"/>
    <w:rsid w:val="005D45D3"/>
    <w:rsid w:val="005D4C6F"/>
    <w:rsid w:val="005D503B"/>
    <w:rsid w:val="005D6355"/>
    <w:rsid w:val="005D641F"/>
    <w:rsid w:val="005D7AAF"/>
    <w:rsid w:val="005E0C59"/>
    <w:rsid w:val="005E1143"/>
    <w:rsid w:val="005E18DE"/>
    <w:rsid w:val="005E1DA3"/>
    <w:rsid w:val="005E2127"/>
    <w:rsid w:val="005E2CD6"/>
    <w:rsid w:val="005E306B"/>
    <w:rsid w:val="005E3179"/>
    <w:rsid w:val="005E53D0"/>
    <w:rsid w:val="005E5785"/>
    <w:rsid w:val="005E6098"/>
    <w:rsid w:val="005E7969"/>
    <w:rsid w:val="005E7E17"/>
    <w:rsid w:val="005F0C93"/>
    <w:rsid w:val="005F2B56"/>
    <w:rsid w:val="005F3F22"/>
    <w:rsid w:val="005F4FC0"/>
    <w:rsid w:val="005F540F"/>
    <w:rsid w:val="005F5491"/>
    <w:rsid w:val="005F6144"/>
    <w:rsid w:val="005F6573"/>
    <w:rsid w:val="005F6634"/>
    <w:rsid w:val="00600CA4"/>
    <w:rsid w:val="00601541"/>
    <w:rsid w:val="00602E63"/>
    <w:rsid w:val="0060361E"/>
    <w:rsid w:val="00603784"/>
    <w:rsid w:val="006040AD"/>
    <w:rsid w:val="006049F5"/>
    <w:rsid w:val="00604A25"/>
    <w:rsid w:val="00605D94"/>
    <w:rsid w:val="00606683"/>
    <w:rsid w:val="00606857"/>
    <w:rsid w:val="006072C6"/>
    <w:rsid w:val="00607FEF"/>
    <w:rsid w:val="00613BF6"/>
    <w:rsid w:val="00616D27"/>
    <w:rsid w:val="006177B9"/>
    <w:rsid w:val="00620A68"/>
    <w:rsid w:val="00621349"/>
    <w:rsid w:val="00621975"/>
    <w:rsid w:val="00621C79"/>
    <w:rsid w:val="00621EDC"/>
    <w:rsid w:val="006234FE"/>
    <w:rsid w:val="00623840"/>
    <w:rsid w:val="00624498"/>
    <w:rsid w:val="006255EC"/>
    <w:rsid w:val="00625A25"/>
    <w:rsid w:val="00626E08"/>
    <w:rsid w:val="0062736A"/>
    <w:rsid w:val="006318D9"/>
    <w:rsid w:val="0063198B"/>
    <w:rsid w:val="00631BFF"/>
    <w:rsid w:val="006321C6"/>
    <w:rsid w:val="00634A4A"/>
    <w:rsid w:val="0063565E"/>
    <w:rsid w:val="0063643F"/>
    <w:rsid w:val="00636E02"/>
    <w:rsid w:val="006372FE"/>
    <w:rsid w:val="00640691"/>
    <w:rsid w:val="00641DB1"/>
    <w:rsid w:val="00642297"/>
    <w:rsid w:val="006434A7"/>
    <w:rsid w:val="00643E20"/>
    <w:rsid w:val="00644A34"/>
    <w:rsid w:val="00646A74"/>
    <w:rsid w:val="006472C2"/>
    <w:rsid w:val="00647430"/>
    <w:rsid w:val="0065119A"/>
    <w:rsid w:val="006518BB"/>
    <w:rsid w:val="0065412D"/>
    <w:rsid w:val="00654824"/>
    <w:rsid w:val="00655791"/>
    <w:rsid w:val="00657C55"/>
    <w:rsid w:val="00660070"/>
    <w:rsid w:val="00661766"/>
    <w:rsid w:val="00661E9F"/>
    <w:rsid w:val="00662882"/>
    <w:rsid w:val="0066298C"/>
    <w:rsid w:val="00663008"/>
    <w:rsid w:val="00663093"/>
    <w:rsid w:val="006658F1"/>
    <w:rsid w:val="00665A7C"/>
    <w:rsid w:val="00665AC0"/>
    <w:rsid w:val="00665B0B"/>
    <w:rsid w:val="00665F84"/>
    <w:rsid w:val="006674F7"/>
    <w:rsid w:val="006705CD"/>
    <w:rsid w:val="00671363"/>
    <w:rsid w:val="00672780"/>
    <w:rsid w:val="00672842"/>
    <w:rsid w:val="00676CFC"/>
    <w:rsid w:val="00677133"/>
    <w:rsid w:val="00681482"/>
    <w:rsid w:val="00682002"/>
    <w:rsid w:val="00682E09"/>
    <w:rsid w:val="00683A48"/>
    <w:rsid w:val="00685C88"/>
    <w:rsid w:val="00687BF0"/>
    <w:rsid w:val="006904CF"/>
    <w:rsid w:val="006912FB"/>
    <w:rsid w:val="0069147A"/>
    <w:rsid w:val="00691548"/>
    <w:rsid w:val="00692E5B"/>
    <w:rsid w:val="0069410E"/>
    <w:rsid w:val="00694CFA"/>
    <w:rsid w:val="00694D2B"/>
    <w:rsid w:val="00695AF2"/>
    <w:rsid w:val="00696A2B"/>
    <w:rsid w:val="00696BD5"/>
    <w:rsid w:val="006A04AE"/>
    <w:rsid w:val="006A0AE4"/>
    <w:rsid w:val="006A23F3"/>
    <w:rsid w:val="006A2CF3"/>
    <w:rsid w:val="006A5047"/>
    <w:rsid w:val="006A5E48"/>
    <w:rsid w:val="006A7A10"/>
    <w:rsid w:val="006A7F38"/>
    <w:rsid w:val="006B033A"/>
    <w:rsid w:val="006B0DA4"/>
    <w:rsid w:val="006B1B6B"/>
    <w:rsid w:val="006B2326"/>
    <w:rsid w:val="006B27E9"/>
    <w:rsid w:val="006B2C57"/>
    <w:rsid w:val="006B391B"/>
    <w:rsid w:val="006B69A6"/>
    <w:rsid w:val="006B79E0"/>
    <w:rsid w:val="006C0B2D"/>
    <w:rsid w:val="006C141A"/>
    <w:rsid w:val="006C1633"/>
    <w:rsid w:val="006C187A"/>
    <w:rsid w:val="006C1B34"/>
    <w:rsid w:val="006C1EC0"/>
    <w:rsid w:val="006C32EA"/>
    <w:rsid w:val="006C3D6B"/>
    <w:rsid w:val="006C5025"/>
    <w:rsid w:val="006C5BF8"/>
    <w:rsid w:val="006C7366"/>
    <w:rsid w:val="006C7CCB"/>
    <w:rsid w:val="006D198F"/>
    <w:rsid w:val="006D3F14"/>
    <w:rsid w:val="006D3FDF"/>
    <w:rsid w:val="006D6009"/>
    <w:rsid w:val="006D7D41"/>
    <w:rsid w:val="006D7FCA"/>
    <w:rsid w:val="006E2F4D"/>
    <w:rsid w:val="006E3FDD"/>
    <w:rsid w:val="006E42DB"/>
    <w:rsid w:val="006E5576"/>
    <w:rsid w:val="006E58FB"/>
    <w:rsid w:val="006E5D82"/>
    <w:rsid w:val="006E644A"/>
    <w:rsid w:val="006E66B2"/>
    <w:rsid w:val="006E6C50"/>
    <w:rsid w:val="006E7A69"/>
    <w:rsid w:val="006E7DE4"/>
    <w:rsid w:val="006F0CFD"/>
    <w:rsid w:val="006F1313"/>
    <w:rsid w:val="006F1F75"/>
    <w:rsid w:val="006F39B6"/>
    <w:rsid w:val="006F53E8"/>
    <w:rsid w:val="006F5FB8"/>
    <w:rsid w:val="0070017B"/>
    <w:rsid w:val="007012DE"/>
    <w:rsid w:val="0070427E"/>
    <w:rsid w:val="00704D53"/>
    <w:rsid w:val="00705124"/>
    <w:rsid w:val="007056C3"/>
    <w:rsid w:val="00706072"/>
    <w:rsid w:val="007135A7"/>
    <w:rsid w:val="00713644"/>
    <w:rsid w:val="00714329"/>
    <w:rsid w:val="007148CC"/>
    <w:rsid w:val="00715011"/>
    <w:rsid w:val="00715421"/>
    <w:rsid w:val="00715F08"/>
    <w:rsid w:val="007162A7"/>
    <w:rsid w:val="00721256"/>
    <w:rsid w:val="007217AD"/>
    <w:rsid w:val="007219A9"/>
    <w:rsid w:val="00721B44"/>
    <w:rsid w:val="00721E22"/>
    <w:rsid w:val="007224C6"/>
    <w:rsid w:val="00722964"/>
    <w:rsid w:val="00723BA1"/>
    <w:rsid w:val="007248DF"/>
    <w:rsid w:val="00724A1B"/>
    <w:rsid w:val="00725117"/>
    <w:rsid w:val="00725487"/>
    <w:rsid w:val="0072639D"/>
    <w:rsid w:val="007311A5"/>
    <w:rsid w:val="0073173E"/>
    <w:rsid w:val="007319C3"/>
    <w:rsid w:val="00732720"/>
    <w:rsid w:val="0073321E"/>
    <w:rsid w:val="0073454F"/>
    <w:rsid w:val="00734AFE"/>
    <w:rsid w:val="00735B9C"/>
    <w:rsid w:val="00735C00"/>
    <w:rsid w:val="007364C6"/>
    <w:rsid w:val="00736F72"/>
    <w:rsid w:val="00740BF3"/>
    <w:rsid w:val="007418C5"/>
    <w:rsid w:val="00741D5C"/>
    <w:rsid w:val="0074352F"/>
    <w:rsid w:val="0074437E"/>
    <w:rsid w:val="007453B5"/>
    <w:rsid w:val="00746106"/>
    <w:rsid w:val="007474A0"/>
    <w:rsid w:val="00747C5E"/>
    <w:rsid w:val="00750210"/>
    <w:rsid w:val="0075162F"/>
    <w:rsid w:val="00751C9C"/>
    <w:rsid w:val="00752C1B"/>
    <w:rsid w:val="00753622"/>
    <w:rsid w:val="00754844"/>
    <w:rsid w:val="00754B57"/>
    <w:rsid w:val="00756381"/>
    <w:rsid w:val="007565EB"/>
    <w:rsid w:val="0075671D"/>
    <w:rsid w:val="00757267"/>
    <w:rsid w:val="00757D12"/>
    <w:rsid w:val="0076002F"/>
    <w:rsid w:val="0076038B"/>
    <w:rsid w:val="00761744"/>
    <w:rsid w:val="00764582"/>
    <w:rsid w:val="00765FA3"/>
    <w:rsid w:val="007661AF"/>
    <w:rsid w:val="00766731"/>
    <w:rsid w:val="00766961"/>
    <w:rsid w:val="00766B5A"/>
    <w:rsid w:val="0077026A"/>
    <w:rsid w:val="00770C33"/>
    <w:rsid w:val="007741C3"/>
    <w:rsid w:val="00774742"/>
    <w:rsid w:val="00777BE0"/>
    <w:rsid w:val="00777CFF"/>
    <w:rsid w:val="00780923"/>
    <w:rsid w:val="00781265"/>
    <w:rsid w:val="0078131F"/>
    <w:rsid w:val="00783E50"/>
    <w:rsid w:val="007844C6"/>
    <w:rsid w:val="0078544B"/>
    <w:rsid w:val="00786513"/>
    <w:rsid w:val="007876EF"/>
    <w:rsid w:val="00790306"/>
    <w:rsid w:val="007918C7"/>
    <w:rsid w:val="00793288"/>
    <w:rsid w:val="0079364C"/>
    <w:rsid w:val="007942B9"/>
    <w:rsid w:val="0079437E"/>
    <w:rsid w:val="00794D2E"/>
    <w:rsid w:val="00796C7F"/>
    <w:rsid w:val="00797E0C"/>
    <w:rsid w:val="007A003A"/>
    <w:rsid w:val="007A160F"/>
    <w:rsid w:val="007A1B64"/>
    <w:rsid w:val="007A2A1D"/>
    <w:rsid w:val="007A32A4"/>
    <w:rsid w:val="007A35BC"/>
    <w:rsid w:val="007A45FB"/>
    <w:rsid w:val="007A48BC"/>
    <w:rsid w:val="007A60D3"/>
    <w:rsid w:val="007A75CD"/>
    <w:rsid w:val="007A7F62"/>
    <w:rsid w:val="007B0BC1"/>
    <w:rsid w:val="007B1E4C"/>
    <w:rsid w:val="007B222C"/>
    <w:rsid w:val="007B354B"/>
    <w:rsid w:val="007B3D1C"/>
    <w:rsid w:val="007B3F78"/>
    <w:rsid w:val="007B478A"/>
    <w:rsid w:val="007B485C"/>
    <w:rsid w:val="007B4FC3"/>
    <w:rsid w:val="007B6B2B"/>
    <w:rsid w:val="007B70C9"/>
    <w:rsid w:val="007B73F3"/>
    <w:rsid w:val="007B7EE5"/>
    <w:rsid w:val="007C0AD5"/>
    <w:rsid w:val="007C1C28"/>
    <w:rsid w:val="007C1FE5"/>
    <w:rsid w:val="007C2357"/>
    <w:rsid w:val="007C2A2C"/>
    <w:rsid w:val="007C3577"/>
    <w:rsid w:val="007C4656"/>
    <w:rsid w:val="007C5E08"/>
    <w:rsid w:val="007C5E8C"/>
    <w:rsid w:val="007C794D"/>
    <w:rsid w:val="007C7B57"/>
    <w:rsid w:val="007D0002"/>
    <w:rsid w:val="007D1460"/>
    <w:rsid w:val="007D19AD"/>
    <w:rsid w:val="007D3FB5"/>
    <w:rsid w:val="007D4058"/>
    <w:rsid w:val="007D4409"/>
    <w:rsid w:val="007D6941"/>
    <w:rsid w:val="007D73E9"/>
    <w:rsid w:val="007D771D"/>
    <w:rsid w:val="007D7A59"/>
    <w:rsid w:val="007E0A52"/>
    <w:rsid w:val="007E0E75"/>
    <w:rsid w:val="007E3602"/>
    <w:rsid w:val="007E404F"/>
    <w:rsid w:val="007E53F5"/>
    <w:rsid w:val="007E65A8"/>
    <w:rsid w:val="007E6A0E"/>
    <w:rsid w:val="007E6E74"/>
    <w:rsid w:val="007E6E9E"/>
    <w:rsid w:val="007E7637"/>
    <w:rsid w:val="007E7997"/>
    <w:rsid w:val="007F014A"/>
    <w:rsid w:val="007F04EF"/>
    <w:rsid w:val="007F0763"/>
    <w:rsid w:val="007F1DE9"/>
    <w:rsid w:val="007F25C2"/>
    <w:rsid w:val="007F4F88"/>
    <w:rsid w:val="007F5642"/>
    <w:rsid w:val="007F5822"/>
    <w:rsid w:val="007F5B86"/>
    <w:rsid w:val="007F6054"/>
    <w:rsid w:val="007F6362"/>
    <w:rsid w:val="0080093C"/>
    <w:rsid w:val="00800A7F"/>
    <w:rsid w:val="0080285D"/>
    <w:rsid w:val="00803C22"/>
    <w:rsid w:val="0081028F"/>
    <w:rsid w:val="008107D9"/>
    <w:rsid w:val="0081093B"/>
    <w:rsid w:val="008116D9"/>
    <w:rsid w:val="00811936"/>
    <w:rsid w:val="00812BE2"/>
    <w:rsid w:val="00813059"/>
    <w:rsid w:val="008157C8"/>
    <w:rsid w:val="00815C43"/>
    <w:rsid w:val="008173E2"/>
    <w:rsid w:val="00817CD3"/>
    <w:rsid w:val="008201C3"/>
    <w:rsid w:val="00820422"/>
    <w:rsid w:val="00820655"/>
    <w:rsid w:val="00822748"/>
    <w:rsid w:val="008227D7"/>
    <w:rsid w:val="008249A1"/>
    <w:rsid w:val="00824F9C"/>
    <w:rsid w:val="00825D43"/>
    <w:rsid w:val="0082632D"/>
    <w:rsid w:val="008279D3"/>
    <w:rsid w:val="0083094E"/>
    <w:rsid w:val="00832500"/>
    <w:rsid w:val="00832787"/>
    <w:rsid w:val="00833000"/>
    <w:rsid w:val="00835192"/>
    <w:rsid w:val="00835805"/>
    <w:rsid w:val="0083595F"/>
    <w:rsid w:val="008372B6"/>
    <w:rsid w:val="00840589"/>
    <w:rsid w:val="00842970"/>
    <w:rsid w:val="00843A1A"/>
    <w:rsid w:val="008452F7"/>
    <w:rsid w:val="00845538"/>
    <w:rsid w:val="00845D34"/>
    <w:rsid w:val="00846433"/>
    <w:rsid w:val="00846ED9"/>
    <w:rsid w:val="008472C2"/>
    <w:rsid w:val="00850B43"/>
    <w:rsid w:val="008510D9"/>
    <w:rsid w:val="00851EE3"/>
    <w:rsid w:val="00853121"/>
    <w:rsid w:val="00854A17"/>
    <w:rsid w:val="008555E4"/>
    <w:rsid w:val="00856708"/>
    <w:rsid w:val="00861334"/>
    <w:rsid w:val="00864124"/>
    <w:rsid w:val="00864BA5"/>
    <w:rsid w:val="00864E60"/>
    <w:rsid w:val="00864F6E"/>
    <w:rsid w:val="0086509D"/>
    <w:rsid w:val="00866877"/>
    <w:rsid w:val="00866A09"/>
    <w:rsid w:val="00867682"/>
    <w:rsid w:val="008700A4"/>
    <w:rsid w:val="00871163"/>
    <w:rsid w:val="008712BF"/>
    <w:rsid w:val="00872209"/>
    <w:rsid w:val="008731EB"/>
    <w:rsid w:val="00873656"/>
    <w:rsid w:val="00873E96"/>
    <w:rsid w:val="0087529F"/>
    <w:rsid w:val="00875F8E"/>
    <w:rsid w:val="00876162"/>
    <w:rsid w:val="00876CD0"/>
    <w:rsid w:val="00880140"/>
    <w:rsid w:val="00880AD5"/>
    <w:rsid w:val="0088174A"/>
    <w:rsid w:val="00882DD1"/>
    <w:rsid w:val="008842F7"/>
    <w:rsid w:val="00885B94"/>
    <w:rsid w:val="00886085"/>
    <w:rsid w:val="00886168"/>
    <w:rsid w:val="00886538"/>
    <w:rsid w:val="0089075A"/>
    <w:rsid w:val="00890F80"/>
    <w:rsid w:val="00892BFD"/>
    <w:rsid w:val="0089338A"/>
    <w:rsid w:val="00894199"/>
    <w:rsid w:val="008948BE"/>
    <w:rsid w:val="00895258"/>
    <w:rsid w:val="008A1E27"/>
    <w:rsid w:val="008A2C86"/>
    <w:rsid w:val="008A3B70"/>
    <w:rsid w:val="008A6000"/>
    <w:rsid w:val="008A60EE"/>
    <w:rsid w:val="008A70A8"/>
    <w:rsid w:val="008A7FAC"/>
    <w:rsid w:val="008B0614"/>
    <w:rsid w:val="008B06BF"/>
    <w:rsid w:val="008B1FD9"/>
    <w:rsid w:val="008B2AF1"/>
    <w:rsid w:val="008B2F0E"/>
    <w:rsid w:val="008B31C1"/>
    <w:rsid w:val="008B5191"/>
    <w:rsid w:val="008B710D"/>
    <w:rsid w:val="008B7CA1"/>
    <w:rsid w:val="008C0177"/>
    <w:rsid w:val="008C0389"/>
    <w:rsid w:val="008C27D3"/>
    <w:rsid w:val="008C3BAA"/>
    <w:rsid w:val="008C4B2B"/>
    <w:rsid w:val="008C5E91"/>
    <w:rsid w:val="008C61D0"/>
    <w:rsid w:val="008C686D"/>
    <w:rsid w:val="008C6B18"/>
    <w:rsid w:val="008C75E6"/>
    <w:rsid w:val="008C767A"/>
    <w:rsid w:val="008C7970"/>
    <w:rsid w:val="008C7A73"/>
    <w:rsid w:val="008D0569"/>
    <w:rsid w:val="008D0807"/>
    <w:rsid w:val="008D28FD"/>
    <w:rsid w:val="008D3015"/>
    <w:rsid w:val="008D59F9"/>
    <w:rsid w:val="008D5C28"/>
    <w:rsid w:val="008D6F18"/>
    <w:rsid w:val="008D7B18"/>
    <w:rsid w:val="008E00A6"/>
    <w:rsid w:val="008E2258"/>
    <w:rsid w:val="008E22AB"/>
    <w:rsid w:val="008E2D26"/>
    <w:rsid w:val="008E3C8E"/>
    <w:rsid w:val="008E4076"/>
    <w:rsid w:val="008E7DBA"/>
    <w:rsid w:val="008F0788"/>
    <w:rsid w:val="008F1993"/>
    <w:rsid w:val="008F3386"/>
    <w:rsid w:val="008F37A5"/>
    <w:rsid w:val="008F3AD9"/>
    <w:rsid w:val="008F4642"/>
    <w:rsid w:val="008F4C29"/>
    <w:rsid w:val="008F4E00"/>
    <w:rsid w:val="008F6163"/>
    <w:rsid w:val="008F761D"/>
    <w:rsid w:val="00900D44"/>
    <w:rsid w:val="00902520"/>
    <w:rsid w:val="0090509E"/>
    <w:rsid w:val="00905EB3"/>
    <w:rsid w:val="0090643C"/>
    <w:rsid w:val="00906C2B"/>
    <w:rsid w:val="00906CA7"/>
    <w:rsid w:val="00906DC4"/>
    <w:rsid w:val="00907123"/>
    <w:rsid w:val="0091099D"/>
    <w:rsid w:val="00911A61"/>
    <w:rsid w:val="009121C4"/>
    <w:rsid w:val="0091457F"/>
    <w:rsid w:val="0091484A"/>
    <w:rsid w:val="00915A52"/>
    <w:rsid w:val="00916C50"/>
    <w:rsid w:val="0091729E"/>
    <w:rsid w:val="00921FE2"/>
    <w:rsid w:val="00923EE1"/>
    <w:rsid w:val="0093261E"/>
    <w:rsid w:val="009351F4"/>
    <w:rsid w:val="00936A98"/>
    <w:rsid w:val="0094008E"/>
    <w:rsid w:val="00941C0C"/>
    <w:rsid w:val="009437F2"/>
    <w:rsid w:val="00944AE9"/>
    <w:rsid w:val="0094528B"/>
    <w:rsid w:val="0095142F"/>
    <w:rsid w:val="0095279F"/>
    <w:rsid w:val="009570E5"/>
    <w:rsid w:val="00957FF8"/>
    <w:rsid w:val="00960A8B"/>
    <w:rsid w:val="00961CF2"/>
    <w:rsid w:val="009626E3"/>
    <w:rsid w:val="00964425"/>
    <w:rsid w:val="00965128"/>
    <w:rsid w:val="0096620B"/>
    <w:rsid w:val="00967068"/>
    <w:rsid w:val="00967D3E"/>
    <w:rsid w:val="009701D9"/>
    <w:rsid w:val="0097079B"/>
    <w:rsid w:val="009711B9"/>
    <w:rsid w:val="009725AE"/>
    <w:rsid w:val="00972C1E"/>
    <w:rsid w:val="00973F43"/>
    <w:rsid w:val="009773AF"/>
    <w:rsid w:val="0097785D"/>
    <w:rsid w:val="00977E42"/>
    <w:rsid w:val="0098011D"/>
    <w:rsid w:val="00980C49"/>
    <w:rsid w:val="00981912"/>
    <w:rsid w:val="009819C0"/>
    <w:rsid w:val="00982C6F"/>
    <w:rsid w:val="00982E42"/>
    <w:rsid w:val="009835AD"/>
    <w:rsid w:val="00984F7E"/>
    <w:rsid w:val="0098609D"/>
    <w:rsid w:val="00986862"/>
    <w:rsid w:val="00986C26"/>
    <w:rsid w:val="00987A75"/>
    <w:rsid w:val="00990C72"/>
    <w:rsid w:val="00991704"/>
    <w:rsid w:val="00991A8A"/>
    <w:rsid w:val="00992611"/>
    <w:rsid w:val="00994303"/>
    <w:rsid w:val="0099526D"/>
    <w:rsid w:val="00996C8B"/>
    <w:rsid w:val="009977A7"/>
    <w:rsid w:val="009A0054"/>
    <w:rsid w:val="009A0F6E"/>
    <w:rsid w:val="009A29E7"/>
    <w:rsid w:val="009A2D9C"/>
    <w:rsid w:val="009A38D9"/>
    <w:rsid w:val="009A5548"/>
    <w:rsid w:val="009A6F4E"/>
    <w:rsid w:val="009B02CC"/>
    <w:rsid w:val="009B1949"/>
    <w:rsid w:val="009B2199"/>
    <w:rsid w:val="009B25C1"/>
    <w:rsid w:val="009B325D"/>
    <w:rsid w:val="009B4504"/>
    <w:rsid w:val="009B688F"/>
    <w:rsid w:val="009B7158"/>
    <w:rsid w:val="009B75F4"/>
    <w:rsid w:val="009B7B72"/>
    <w:rsid w:val="009B7B79"/>
    <w:rsid w:val="009C0383"/>
    <w:rsid w:val="009C145B"/>
    <w:rsid w:val="009C2ED4"/>
    <w:rsid w:val="009C3696"/>
    <w:rsid w:val="009C3E04"/>
    <w:rsid w:val="009C466F"/>
    <w:rsid w:val="009C4FB0"/>
    <w:rsid w:val="009C50DD"/>
    <w:rsid w:val="009C75D1"/>
    <w:rsid w:val="009C7694"/>
    <w:rsid w:val="009D0570"/>
    <w:rsid w:val="009D2397"/>
    <w:rsid w:val="009D3157"/>
    <w:rsid w:val="009D3E5C"/>
    <w:rsid w:val="009D409A"/>
    <w:rsid w:val="009D495C"/>
    <w:rsid w:val="009D570F"/>
    <w:rsid w:val="009D5E88"/>
    <w:rsid w:val="009D612F"/>
    <w:rsid w:val="009D6E1A"/>
    <w:rsid w:val="009D7294"/>
    <w:rsid w:val="009E15A6"/>
    <w:rsid w:val="009E1690"/>
    <w:rsid w:val="009E18AF"/>
    <w:rsid w:val="009E2C9D"/>
    <w:rsid w:val="009E2CDD"/>
    <w:rsid w:val="009E3545"/>
    <w:rsid w:val="009E4FCE"/>
    <w:rsid w:val="009E522E"/>
    <w:rsid w:val="009E5C58"/>
    <w:rsid w:val="009F0ABA"/>
    <w:rsid w:val="009F0AF5"/>
    <w:rsid w:val="009F1818"/>
    <w:rsid w:val="009F63A4"/>
    <w:rsid w:val="009F659F"/>
    <w:rsid w:val="009F7004"/>
    <w:rsid w:val="009F7315"/>
    <w:rsid w:val="00A00BD3"/>
    <w:rsid w:val="00A02199"/>
    <w:rsid w:val="00A026A4"/>
    <w:rsid w:val="00A04044"/>
    <w:rsid w:val="00A05399"/>
    <w:rsid w:val="00A05488"/>
    <w:rsid w:val="00A055DD"/>
    <w:rsid w:val="00A05850"/>
    <w:rsid w:val="00A05C3E"/>
    <w:rsid w:val="00A07750"/>
    <w:rsid w:val="00A1000F"/>
    <w:rsid w:val="00A11D0C"/>
    <w:rsid w:val="00A12F55"/>
    <w:rsid w:val="00A15D95"/>
    <w:rsid w:val="00A16579"/>
    <w:rsid w:val="00A17DF4"/>
    <w:rsid w:val="00A20090"/>
    <w:rsid w:val="00A2077D"/>
    <w:rsid w:val="00A20FA1"/>
    <w:rsid w:val="00A226F0"/>
    <w:rsid w:val="00A24843"/>
    <w:rsid w:val="00A256D2"/>
    <w:rsid w:val="00A25AB7"/>
    <w:rsid w:val="00A26D48"/>
    <w:rsid w:val="00A318DF"/>
    <w:rsid w:val="00A31C7C"/>
    <w:rsid w:val="00A33E01"/>
    <w:rsid w:val="00A367AA"/>
    <w:rsid w:val="00A378DF"/>
    <w:rsid w:val="00A37AC6"/>
    <w:rsid w:val="00A409C2"/>
    <w:rsid w:val="00A410CC"/>
    <w:rsid w:val="00A42B43"/>
    <w:rsid w:val="00A42BD0"/>
    <w:rsid w:val="00A433DC"/>
    <w:rsid w:val="00A460CD"/>
    <w:rsid w:val="00A50761"/>
    <w:rsid w:val="00A51560"/>
    <w:rsid w:val="00A5181B"/>
    <w:rsid w:val="00A51DF2"/>
    <w:rsid w:val="00A5282F"/>
    <w:rsid w:val="00A52E82"/>
    <w:rsid w:val="00A535FD"/>
    <w:rsid w:val="00A53AF0"/>
    <w:rsid w:val="00A54ED7"/>
    <w:rsid w:val="00A553F4"/>
    <w:rsid w:val="00A61561"/>
    <w:rsid w:val="00A6181C"/>
    <w:rsid w:val="00A62B27"/>
    <w:rsid w:val="00A63249"/>
    <w:rsid w:val="00A651B5"/>
    <w:rsid w:val="00A6691F"/>
    <w:rsid w:val="00A66DB5"/>
    <w:rsid w:val="00A67B79"/>
    <w:rsid w:val="00A67E6A"/>
    <w:rsid w:val="00A70F49"/>
    <w:rsid w:val="00A71E83"/>
    <w:rsid w:val="00A72203"/>
    <w:rsid w:val="00A7281F"/>
    <w:rsid w:val="00A73299"/>
    <w:rsid w:val="00A73691"/>
    <w:rsid w:val="00A73949"/>
    <w:rsid w:val="00A75455"/>
    <w:rsid w:val="00A76707"/>
    <w:rsid w:val="00A7697E"/>
    <w:rsid w:val="00A76C98"/>
    <w:rsid w:val="00A76E20"/>
    <w:rsid w:val="00A8284E"/>
    <w:rsid w:val="00A83439"/>
    <w:rsid w:val="00A86001"/>
    <w:rsid w:val="00A870EE"/>
    <w:rsid w:val="00A917C8"/>
    <w:rsid w:val="00A91CE3"/>
    <w:rsid w:val="00A91D91"/>
    <w:rsid w:val="00A93D7D"/>
    <w:rsid w:val="00A94F9E"/>
    <w:rsid w:val="00A96F81"/>
    <w:rsid w:val="00A9709D"/>
    <w:rsid w:val="00A9765D"/>
    <w:rsid w:val="00AA041C"/>
    <w:rsid w:val="00AA054E"/>
    <w:rsid w:val="00AA0A10"/>
    <w:rsid w:val="00AA0D29"/>
    <w:rsid w:val="00AA2094"/>
    <w:rsid w:val="00AA2947"/>
    <w:rsid w:val="00AA400A"/>
    <w:rsid w:val="00AA5E6B"/>
    <w:rsid w:val="00AA64D6"/>
    <w:rsid w:val="00AA7461"/>
    <w:rsid w:val="00AB08B8"/>
    <w:rsid w:val="00AB1894"/>
    <w:rsid w:val="00AB200F"/>
    <w:rsid w:val="00AB22DF"/>
    <w:rsid w:val="00AB2C3F"/>
    <w:rsid w:val="00AB30EA"/>
    <w:rsid w:val="00AB458B"/>
    <w:rsid w:val="00AB45E4"/>
    <w:rsid w:val="00AB6157"/>
    <w:rsid w:val="00AB7542"/>
    <w:rsid w:val="00AB76C9"/>
    <w:rsid w:val="00AB7970"/>
    <w:rsid w:val="00AB7D80"/>
    <w:rsid w:val="00AC022D"/>
    <w:rsid w:val="00AC0629"/>
    <w:rsid w:val="00AC2CAB"/>
    <w:rsid w:val="00AC310A"/>
    <w:rsid w:val="00AC4C69"/>
    <w:rsid w:val="00AC70C7"/>
    <w:rsid w:val="00AC7132"/>
    <w:rsid w:val="00AC79E0"/>
    <w:rsid w:val="00AD1E25"/>
    <w:rsid w:val="00AD283E"/>
    <w:rsid w:val="00AD32CE"/>
    <w:rsid w:val="00AD5187"/>
    <w:rsid w:val="00AD6B11"/>
    <w:rsid w:val="00AD6B34"/>
    <w:rsid w:val="00AD6F90"/>
    <w:rsid w:val="00AD6FFE"/>
    <w:rsid w:val="00AE0286"/>
    <w:rsid w:val="00AE247F"/>
    <w:rsid w:val="00AE3A81"/>
    <w:rsid w:val="00AE4A24"/>
    <w:rsid w:val="00AE4FC7"/>
    <w:rsid w:val="00AF01E3"/>
    <w:rsid w:val="00AF0E47"/>
    <w:rsid w:val="00AF23AE"/>
    <w:rsid w:val="00AF2B53"/>
    <w:rsid w:val="00AF2EF7"/>
    <w:rsid w:val="00AF3741"/>
    <w:rsid w:val="00AF3B5C"/>
    <w:rsid w:val="00AF6046"/>
    <w:rsid w:val="00B0014A"/>
    <w:rsid w:val="00B008A9"/>
    <w:rsid w:val="00B00B50"/>
    <w:rsid w:val="00B00DB2"/>
    <w:rsid w:val="00B016E3"/>
    <w:rsid w:val="00B01A33"/>
    <w:rsid w:val="00B02B0B"/>
    <w:rsid w:val="00B03817"/>
    <w:rsid w:val="00B04283"/>
    <w:rsid w:val="00B04807"/>
    <w:rsid w:val="00B055DE"/>
    <w:rsid w:val="00B05BA8"/>
    <w:rsid w:val="00B06788"/>
    <w:rsid w:val="00B06875"/>
    <w:rsid w:val="00B0689C"/>
    <w:rsid w:val="00B0741D"/>
    <w:rsid w:val="00B07AD8"/>
    <w:rsid w:val="00B07B20"/>
    <w:rsid w:val="00B1081B"/>
    <w:rsid w:val="00B11D69"/>
    <w:rsid w:val="00B14406"/>
    <w:rsid w:val="00B14F01"/>
    <w:rsid w:val="00B15525"/>
    <w:rsid w:val="00B15C0B"/>
    <w:rsid w:val="00B16706"/>
    <w:rsid w:val="00B174BA"/>
    <w:rsid w:val="00B17AF3"/>
    <w:rsid w:val="00B21B33"/>
    <w:rsid w:val="00B223B5"/>
    <w:rsid w:val="00B229AD"/>
    <w:rsid w:val="00B23473"/>
    <w:rsid w:val="00B237BC"/>
    <w:rsid w:val="00B251B2"/>
    <w:rsid w:val="00B26EBB"/>
    <w:rsid w:val="00B27499"/>
    <w:rsid w:val="00B32739"/>
    <w:rsid w:val="00B335C4"/>
    <w:rsid w:val="00B3369E"/>
    <w:rsid w:val="00B33D9A"/>
    <w:rsid w:val="00B40D81"/>
    <w:rsid w:val="00B41C0F"/>
    <w:rsid w:val="00B424F5"/>
    <w:rsid w:val="00B42A6B"/>
    <w:rsid w:val="00B43050"/>
    <w:rsid w:val="00B43167"/>
    <w:rsid w:val="00B435BE"/>
    <w:rsid w:val="00B43801"/>
    <w:rsid w:val="00B43A9D"/>
    <w:rsid w:val="00B43C9E"/>
    <w:rsid w:val="00B44102"/>
    <w:rsid w:val="00B467B0"/>
    <w:rsid w:val="00B47F9B"/>
    <w:rsid w:val="00B50403"/>
    <w:rsid w:val="00B50534"/>
    <w:rsid w:val="00B51FCB"/>
    <w:rsid w:val="00B5289B"/>
    <w:rsid w:val="00B52E10"/>
    <w:rsid w:val="00B5331D"/>
    <w:rsid w:val="00B543D6"/>
    <w:rsid w:val="00B54601"/>
    <w:rsid w:val="00B556B0"/>
    <w:rsid w:val="00B55B26"/>
    <w:rsid w:val="00B56736"/>
    <w:rsid w:val="00B56F6C"/>
    <w:rsid w:val="00B5763B"/>
    <w:rsid w:val="00B57687"/>
    <w:rsid w:val="00B578E3"/>
    <w:rsid w:val="00B57CE5"/>
    <w:rsid w:val="00B60D25"/>
    <w:rsid w:val="00B61F09"/>
    <w:rsid w:val="00B61F85"/>
    <w:rsid w:val="00B62D41"/>
    <w:rsid w:val="00B63379"/>
    <w:rsid w:val="00B648F2"/>
    <w:rsid w:val="00B64E35"/>
    <w:rsid w:val="00B655D1"/>
    <w:rsid w:val="00B661B8"/>
    <w:rsid w:val="00B72AE0"/>
    <w:rsid w:val="00B73FF2"/>
    <w:rsid w:val="00B74CBA"/>
    <w:rsid w:val="00B74ED3"/>
    <w:rsid w:val="00B768CF"/>
    <w:rsid w:val="00B77FE9"/>
    <w:rsid w:val="00B81A44"/>
    <w:rsid w:val="00B82567"/>
    <w:rsid w:val="00B830F1"/>
    <w:rsid w:val="00B85F14"/>
    <w:rsid w:val="00B86BB5"/>
    <w:rsid w:val="00B87E3F"/>
    <w:rsid w:val="00B90AD8"/>
    <w:rsid w:val="00B91072"/>
    <w:rsid w:val="00B91B6E"/>
    <w:rsid w:val="00B91D76"/>
    <w:rsid w:val="00B923EC"/>
    <w:rsid w:val="00B92AA4"/>
    <w:rsid w:val="00B94B2C"/>
    <w:rsid w:val="00B95447"/>
    <w:rsid w:val="00B96F7D"/>
    <w:rsid w:val="00B970D0"/>
    <w:rsid w:val="00B97595"/>
    <w:rsid w:val="00BA0A3F"/>
    <w:rsid w:val="00BA3554"/>
    <w:rsid w:val="00BA49F4"/>
    <w:rsid w:val="00BA5C41"/>
    <w:rsid w:val="00BA6938"/>
    <w:rsid w:val="00BA6ACA"/>
    <w:rsid w:val="00BA7232"/>
    <w:rsid w:val="00BA7809"/>
    <w:rsid w:val="00BA7CED"/>
    <w:rsid w:val="00BB098A"/>
    <w:rsid w:val="00BB1280"/>
    <w:rsid w:val="00BB29AA"/>
    <w:rsid w:val="00BB3C3B"/>
    <w:rsid w:val="00BB3F19"/>
    <w:rsid w:val="00BB449C"/>
    <w:rsid w:val="00BB44D7"/>
    <w:rsid w:val="00BB783C"/>
    <w:rsid w:val="00BC06F2"/>
    <w:rsid w:val="00BC2561"/>
    <w:rsid w:val="00BC3E3E"/>
    <w:rsid w:val="00BC422A"/>
    <w:rsid w:val="00BC5128"/>
    <w:rsid w:val="00BC5608"/>
    <w:rsid w:val="00BC5898"/>
    <w:rsid w:val="00BC5AD8"/>
    <w:rsid w:val="00BC642E"/>
    <w:rsid w:val="00BC6CBB"/>
    <w:rsid w:val="00BC7E43"/>
    <w:rsid w:val="00BD04C9"/>
    <w:rsid w:val="00BD0CEB"/>
    <w:rsid w:val="00BD33D1"/>
    <w:rsid w:val="00BD3536"/>
    <w:rsid w:val="00BD37FD"/>
    <w:rsid w:val="00BD3AAC"/>
    <w:rsid w:val="00BD453A"/>
    <w:rsid w:val="00BD6739"/>
    <w:rsid w:val="00BD73CE"/>
    <w:rsid w:val="00BE0B46"/>
    <w:rsid w:val="00BE225E"/>
    <w:rsid w:val="00BE237E"/>
    <w:rsid w:val="00BE3703"/>
    <w:rsid w:val="00BE4090"/>
    <w:rsid w:val="00BE4320"/>
    <w:rsid w:val="00BE567F"/>
    <w:rsid w:val="00BF0A29"/>
    <w:rsid w:val="00BF1B9F"/>
    <w:rsid w:val="00BF25CD"/>
    <w:rsid w:val="00BF27CF"/>
    <w:rsid w:val="00BF2806"/>
    <w:rsid w:val="00BF4947"/>
    <w:rsid w:val="00BF5553"/>
    <w:rsid w:val="00BF75CD"/>
    <w:rsid w:val="00BF7A17"/>
    <w:rsid w:val="00C00429"/>
    <w:rsid w:val="00C00D4F"/>
    <w:rsid w:val="00C00F1C"/>
    <w:rsid w:val="00C0346D"/>
    <w:rsid w:val="00C0358F"/>
    <w:rsid w:val="00C03BB0"/>
    <w:rsid w:val="00C041CF"/>
    <w:rsid w:val="00C04D35"/>
    <w:rsid w:val="00C04FC4"/>
    <w:rsid w:val="00C063D7"/>
    <w:rsid w:val="00C0696A"/>
    <w:rsid w:val="00C10EE5"/>
    <w:rsid w:val="00C114AA"/>
    <w:rsid w:val="00C11CFA"/>
    <w:rsid w:val="00C12034"/>
    <w:rsid w:val="00C1357A"/>
    <w:rsid w:val="00C1396B"/>
    <w:rsid w:val="00C1647B"/>
    <w:rsid w:val="00C16775"/>
    <w:rsid w:val="00C1698A"/>
    <w:rsid w:val="00C17150"/>
    <w:rsid w:val="00C17731"/>
    <w:rsid w:val="00C17E6C"/>
    <w:rsid w:val="00C20F9A"/>
    <w:rsid w:val="00C210C7"/>
    <w:rsid w:val="00C213CB"/>
    <w:rsid w:val="00C22182"/>
    <w:rsid w:val="00C249CC"/>
    <w:rsid w:val="00C24AAE"/>
    <w:rsid w:val="00C24E5F"/>
    <w:rsid w:val="00C255B6"/>
    <w:rsid w:val="00C262E7"/>
    <w:rsid w:val="00C26F3A"/>
    <w:rsid w:val="00C2770B"/>
    <w:rsid w:val="00C30296"/>
    <w:rsid w:val="00C3170E"/>
    <w:rsid w:val="00C31947"/>
    <w:rsid w:val="00C338E8"/>
    <w:rsid w:val="00C354D9"/>
    <w:rsid w:val="00C35CDE"/>
    <w:rsid w:val="00C36A1E"/>
    <w:rsid w:val="00C40053"/>
    <w:rsid w:val="00C4011E"/>
    <w:rsid w:val="00C40149"/>
    <w:rsid w:val="00C40512"/>
    <w:rsid w:val="00C40B46"/>
    <w:rsid w:val="00C4206C"/>
    <w:rsid w:val="00C4294D"/>
    <w:rsid w:val="00C444C8"/>
    <w:rsid w:val="00C452DD"/>
    <w:rsid w:val="00C45856"/>
    <w:rsid w:val="00C46046"/>
    <w:rsid w:val="00C46603"/>
    <w:rsid w:val="00C479A2"/>
    <w:rsid w:val="00C507D7"/>
    <w:rsid w:val="00C50DD0"/>
    <w:rsid w:val="00C51831"/>
    <w:rsid w:val="00C535DA"/>
    <w:rsid w:val="00C54316"/>
    <w:rsid w:val="00C548DE"/>
    <w:rsid w:val="00C55208"/>
    <w:rsid w:val="00C5527D"/>
    <w:rsid w:val="00C5560D"/>
    <w:rsid w:val="00C557CD"/>
    <w:rsid w:val="00C55884"/>
    <w:rsid w:val="00C57621"/>
    <w:rsid w:val="00C5789C"/>
    <w:rsid w:val="00C61B1A"/>
    <w:rsid w:val="00C62A53"/>
    <w:rsid w:val="00C6698E"/>
    <w:rsid w:val="00C700BB"/>
    <w:rsid w:val="00C709F9"/>
    <w:rsid w:val="00C71FBB"/>
    <w:rsid w:val="00C72241"/>
    <w:rsid w:val="00C7224A"/>
    <w:rsid w:val="00C73A00"/>
    <w:rsid w:val="00C73A70"/>
    <w:rsid w:val="00C76054"/>
    <w:rsid w:val="00C76B50"/>
    <w:rsid w:val="00C779A2"/>
    <w:rsid w:val="00C80546"/>
    <w:rsid w:val="00C81742"/>
    <w:rsid w:val="00C83CAD"/>
    <w:rsid w:val="00C8419E"/>
    <w:rsid w:val="00C851D7"/>
    <w:rsid w:val="00C85C8B"/>
    <w:rsid w:val="00C867AD"/>
    <w:rsid w:val="00C86C5F"/>
    <w:rsid w:val="00C8794C"/>
    <w:rsid w:val="00C87F9F"/>
    <w:rsid w:val="00C90490"/>
    <w:rsid w:val="00C90D44"/>
    <w:rsid w:val="00C9545D"/>
    <w:rsid w:val="00C9625C"/>
    <w:rsid w:val="00C978C6"/>
    <w:rsid w:val="00C97F2A"/>
    <w:rsid w:val="00C97F9B"/>
    <w:rsid w:val="00CA0987"/>
    <w:rsid w:val="00CA0E64"/>
    <w:rsid w:val="00CA112D"/>
    <w:rsid w:val="00CA1670"/>
    <w:rsid w:val="00CA1F9F"/>
    <w:rsid w:val="00CA2179"/>
    <w:rsid w:val="00CA2F2F"/>
    <w:rsid w:val="00CA337B"/>
    <w:rsid w:val="00CA3D8A"/>
    <w:rsid w:val="00CA4000"/>
    <w:rsid w:val="00CA4A87"/>
    <w:rsid w:val="00CA5FB3"/>
    <w:rsid w:val="00CA6DDB"/>
    <w:rsid w:val="00CB0483"/>
    <w:rsid w:val="00CB0C0C"/>
    <w:rsid w:val="00CB12FE"/>
    <w:rsid w:val="00CB4B3E"/>
    <w:rsid w:val="00CB50EF"/>
    <w:rsid w:val="00CB623F"/>
    <w:rsid w:val="00CB639B"/>
    <w:rsid w:val="00CB6612"/>
    <w:rsid w:val="00CB791A"/>
    <w:rsid w:val="00CB7D1B"/>
    <w:rsid w:val="00CC11DF"/>
    <w:rsid w:val="00CC18F8"/>
    <w:rsid w:val="00CC1A6E"/>
    <w:rsid w:val="00CC3F62"/>
    <w:rsid w:val="00CC536E"/>
    <w:rsid w:val="00CC59DD"/>
    <w:rsid w:val="00CC6F7C"/>
    <w:rsid w:val="00CC7FC6"/>
    <w:rsid w:val="00CD21B1"/>
    <w:rsid w:val="00CD373A"/>
    <w:rsid w:val="00CD3AC1"/>
    <w:rsid w:val="00CD47B2"/>
    <w:rsid w:val="00CD5AFD"/>
    <w:rsid w:val="00CD74EB"/>
    <w:rsid w:val="00CE1CCE"/>
    <w:rsid w:val="00CE28EF"/>
    <w:rsid w:val="00CE49F8"/>
    <w:rsid w:val="00CE4E1E"/>
    <w:rsid w:val="00CE66B5"/>
    <w:rsid w:val="00CE7729"/>
    <w:rsid w:val="00CF1E32"/>
    <w:rsid w:val="00CF52DF"/>
    <w:rsid w:val="00CF55DC"/>
    <w:rsid w:val="00CF5832"/>
    <w:rsid w:val="00CF5911"/>
    <w:rsid w:val="00CF5C2D"/>
    <w:rsid w:val="00CF7221"/>
    <w:rsid w:val="00CF724E"/>
    <w:rsid w:val="00D0415B"/>
    <w:rsid w:val="00D059F5"/>
    <w:rsid w:val="00D11736"/>
    <w:rsid w:val="00D117F5"/>
    <w:rsid w:val="00D11B30"/>
    <w:rsid w:val="00D12529"/>
    <w:rsid w:val="00D13661"/>
    <w:rsid w:val="00D142BD"/>
    <w:rsid w:val="00D146DE"/>
    <w:rsid w:val="00D154E9"/>
    <w:rsid w:val="00D163BB"/>
    <w:rsid w:val="00D16C5D"/>
    <w:rsid w:val="00D17FEC"/>
    <w:rsid w:val="00D200E7"/>
    <w:rsid w:val="00D20E8F"/>
    <w:rsid w:val="00D20F02"/>
    <w:rsid w:val="00D21427"/>
    <w:rsid w:val="00D21C03"/>
    <w:rsid w:val="00D22164"/>
    <w:rsid w:val="00D2222A"/>
    <w:rsid w:val="00D22B86"/>
    <w:rsid w:val="00D22F2F"/>
    <w:rsid w:val="00D24194"/>
    <w:rsid w:val="00D2460F"/>
    <w:rsid w:val="00D2590F"/>
    <w:rsid w:val="00D26321"/>
    <w:rsid w:val="00D268BE"/>
    <w:rsid w:val="00D268D4"/>
    <w:rsid w:val="00D27150"/>
    <w:rsid w:val="00D27EB3"/>
    <w:rsid w:val="00D347BE"/>
    <w:rsid w:val="00D34ADB"/>
    <w:rsid w:val="00D35E02"/>
    <w:rsid w:val="00D378AA"/>
    <w:rsid w:val="00D378C9"/>
    <w:rsid w:val="00D37B9F"/>
    <w:rsid w:val="00D407A6"/>
    <w:rsid w:val="00D40F11"/>
    <w:rsid w:val="00D41425"/>
    <w:rsid w:val="00D4270D"/>
    <w:rsid w:val="00D44816"/>
    <w:rsid w:val="00D46275"/>
    <w:rsid w:val="00D467CA"/>
    <w:rsid w:val="00D4759B"/>
    <w:rsid w:val="00D500A4"/>
    <w:rsid w:val="00D50B5F"/>
    <w:rsid w:val="00D51205"/>
    <w:rsid w:val="00D516FC"/>
    <w:rsid w:val="00D518B0"/>
    <w:rsid w:val="00D51F2D"/>
    <w:rsid w:val="00D522F4"/>
    <w:rsid w:val="00D535EE"/>
    <w:rsid w:val="00D54FC4"/>
    <w:rsid w:val="00D56540"/>
    <w:rsid w:val="00D56A54"/>
    <w:rsid w:val="00D57019"/>
    <w:rsid w:val="00D574C1"/>
    <w:rsid w:val="00D57615"/>
    <w:rsid w:val="00D577C9"/>
    <w:rsid w:val="00D606B7"/>
    <w:rsid w:val="00D60C71"/>
    <w:rsid w:val="00D60DF0"/>
    <w:rsid w:val="00D61A94"/>
    <w:rsid w:val="00D62282"/>
    <w:rsid w:val="00D6356C"/>
    <w:rsid w:val="00D64A32"/>
    <w:rsid w:val="00D64F80"/>
    <w:rsid w:val="00D6553A"/>
    <w:rsid w:val="00D657CA"/>
    <w:rsid w:val="00D65CEE"/>
    <w:rsid w:val="00D665C0"/>
    <w:rsid w:val="00D66ED1"/>
    <w:rsid w:val="00D6788E"/>
    <w:rsid w:val="00D71B92"/>
    <w:rsid w:val="00D73338"/>
    <w:rsid w:val="00D74EE6"/>
    <w:rsid w:val="00D7525C"/>
    <w:rsid w:val="00D763FD"/>
    <w:rsid w:val="00D771DC"/>
    <w:rsid w:val="00D775F3"/>
    <w:rsid w:val="00D775FC"/>
    <w:rsid w:val="00D77868"/>
    <w:rsid w:val="00D77F25"/>
    <w:rsid w:val="00D80E94"/>
    <w:rsid w:val="00D819CD"/>
    <w:rsid w:val="00D82A14"/>
    <w:rsid w:val="00D83CDA"/>
    <w:rsid w:val="00D84C2A"/>
    <w:rsid w:val="00D8601C"/>
    <w:rsid w:val="00D86ECE"/>
    <w:rsid w:val="00D8798E"/>
    <w:rsid w:val="00D9064B"/>
    <w:rsid w:val="00D90958"/>
    <w:rsid w:val="00D91BFD"/>
    <w:rsid w:val="00D93C51"/>
    <w:rsid w:val="00D95D17"/>
    <w:rsid w:val="00D978C6"/>
    <w:rsid w:val="00DA03F6"/>
    <w:rsid w:val="00DA134A"/>
    <w:rsid w:val="00DA1A2E"/>
    <w:rsid w:val="00DA3413"/>
    <w:rsid w:val="00DA409B"/>
    <w:rsid w:val="00DA426E"/>
    <w:rsid w:val="00DA4339"/>
    <w:rsid w:val="00DA462C"/>
    <w:rsid w:val="00DA4B1B"/>
    <w:rsid w:val="00DA4EFC"/>
    <w:rsid w:val="00DA648D"/>
    <w:rsid w:val="00DA6A7B"/>
    <w:rsid w:val="00DA726D"/>
    <w:rsid w:val="00DB1B8D"/>
    <w:rsid w:val="00DB2404"/>
    <w:rsid w:val="00DB2693"/>
    <w:rsid w:val="00DB3DEA"/>
    <w:rsid w:val="00DB40BD"/>
    <w:rsid w:val="00DB4AA5"/>
    <w:rsid w:val="00DB4B8E"/>
    <w:rsid w:val="00DB4F4B"/>
    <w:rsid w:val="00DB7251"/>
    <w:rsid w:val="00DC070F"/>
    <w:rsid w:val="00DC2E81"/>
    <w:rsid w:val="00DC3462"/>
    <w:rsid w:val="00DC3858"/>
    <w:rsid w:val="00DC3A57"/>
    <w:rsid w:val="00DC46CB"/>
    <w:rsid w:val="00DC4861"/>
    <w:rsid w:val="00DC5986"/>
    <w:rsid w:val="00DC7A95"/>
    <w:rsid w:val="00DD00FC"/>
    <w:rsid w:val="00DD1143"/>
    <w:rsid w:val="00DD1DAF"/>
    <w:rsid w:val="00DD28A4"/>
    <w:rsid w:val="00DD53D5"/>
    <w:rsid w:val="00DD55C2"/>
    <w:rsid w:val="00DD5A9F"/>
    <w:rsid w:val="00DD759E"/>
    <w:rsid w:val="00DE314E"/>
    <w:rsid w:val="00DE4CFB"/>
    <w:rsid w:val="00DE5A18"/>
    <w:rsid w:val="00DF045B"/>
    <w:rsid w:val="00DF15A1"/>
    <w:rsid w:val="00DF17E4"/>
    <w:rsid w:val="00DF1ED8"/>
    <w:rsid w:val="00DF3785"/>
    <w:rsid w:val="00DF3D27"/>
    <w:rsid w:val="00DF4C5B"/>
    <w:rsid w:val="00DF5757"/>
    <w:rsid w:val="00DF5B8C"/>
    <w:rsid w:val="00DF6074"/>
    <w:rsid w:val="00DF7957"/>
    <w:rsid w:val="00E02239"/>
    <w:rsid w:val="00E02D34"/>
    <w:rsid w:val="00E02F5A"/>
    <w:rsid w:val="00E02FF3"/>
    <w:rsid w:val="00E03C04"/>
    <w:rsid w:val="00E047EC"/>
    <w:rsid w:val="00E04A42"/>
    <w:rsid w:val="00E060B2"/>
    <w:rsid w:val="00E06FF8"/>
    <w:rsid w:val="00E07D42"/>
    <w:rsid w:val="00E101E1"/>
    <w:rsid w:val="00E1432D"/>
    <w:rsid w:val="00E14B50"/>
    <w:rsid w:val="00E1631C"/>
    <w:rsid w:val="00E163E9"/>
    <w:rsid w:val="00E2263C"/>
    <w:rsid w:val="00E22FEB"/>
    <w:rsid w:val="00E23870"/>
    <w:rsid w:val="00E240F5"/>
    <w:rsid w:val="00E25536"/>
    <w:rsid w:val="00E25FFD"/>
    <w:rsid w:val="00E26C80"/>
    <w:rsid w:val="00E30004"/>
    <w:rsid w:val="00E31A5B"/>
    <w:rsid w:val="00E31E30"/>
    <w:rsid w:val="00E31E50"/>
    <w:rsid w:val="00E333AC"/>
    <w:rsid w:val="00E3456B"/>
    <w:rsid w:val="00E3480D"/>
    <w:rsid w:val="00E348AA"/>
    <w:rsid w:val="00E35B8B"/>
    <w:rsid w:val="00E35C16"/>
    <w:rsid w:val="00E36085"/>
    <w:rsid w:val="00E36813"/>
    <w:rsid w:val="00E37C93"/>
    <w:rsid w:val="00E400EB"/>
    <w:rsid w:val="00E42382"/>
    <w:rsid w:val="00E44569"/>
    <w:rsid w:val="00E45846"/>
    <w:rsid w:val="00E475EC"/>
    <w:rsid w:val="00E603DF"/>
    <w:rsid w:val="00E60C55"/>
    <w:rsid w:val="00E61B5E"/>
    <w:rsid w:val="00E6224F"/>
    <w:rsid w:val="00E62B94"/>
    <w:rsid w:val="00E63745"/>
    <w:rsid w:val="00E6699F"/>
    <w:rsid w:val="00E67146"/>
    <w:rsid w:val="00E67845"/>
    <w:rsid w:val="00E67B40"/>
    <w:rsid w:val="00E703AE"/>
    <w:rsid w:val="00E7183A"/>
    <w:rsid w:val="00E71EC6"/>
    <w:rsid w:val="00E72373"/>
    <w:rsid w:val="00E7280B"/>
    <w:rsid w:val="00E734E5"/>
    <w:rsid w:val="00E74641"/>
    <w:rsid w:val="00E74A40"/>
    <w:rsid w:val="00E75F06"/>
    <w:rsid w:val="00E76AF9"/>
    <w:rsid w:val="00E80254"/>
    <w:rsid w:val="00E820A5"/>
    <w:rsid w:val="00E84401"/>
    <w:rsid w:val="00E8447A"/>
    <w:rsid w:val="00E84EF0"/>
    <w:rsid w:val="00E85B0D"/>
    <w:rsid w:val="00E8649C"/>
    <w:rsid w:val="00E87780"/>
    <w:rsid w:val="00E87886"/>
    <w:rsid w:val="00E87AB0"/>
    <w:rsid w:val="00E87CDE"/>
    <w:rsid w:val="00E90BD8"/>
    <w:rsid w:val="00E9120D"/>
    <w:rsid w:val="00E91FC1"/>
    <w:rsid w:val="00E923D3"/>
    <w:rsid w:val="00E92D54"/>
    <w:rsid w:val="00E9323C"/>
    <w:rsid w:val="00E93833"/>
    <w:rsid w:val="00E953FA"/>
    <w:rsid w:val="00E956DA"/>
    <w:rsid w:val="00E95FD8"/>
    <w:rsid w:val="00EA0283"/>
    <w:rsid w:val="00EA357E"/>
    <w:rsid w:val="00EA4759"/>
    <w:rsid w:val="00EA5DE1"/>
    <w:rsid w:val="00EA6CC4"/>
    <w:rsid w:val="00EA6E04"/>
    <w:rsid w:val="00EA75C4"/>
    <w:rsid w:val="00EB01C9"/>
    <w:rsid w:val="00EB0744"/>
    <w:rsid w:val="00EB0C86"/>
    <w:rsid w:val="00EB0E16"/>
    <w:rsid w:val="00EB1A57"/>
    <w:rsid w:val="00EB233A"/>
    <w:rsid w:val="00EB236F"/>
    <w:rsid w:val="00EB237E"/>
    <w:rsid w:val="00EB3121"/>
    <w:rsid w:val="00EB3E55"/>
    <w:rsid w:val="00EB7EBF"/>
    <w:rsid w:val="00EC074C"/>
    <w:rsid w:val="00EC1546"/>
    <w:rsid w:val="00EC15D5"/>
    <w:rsid w:val="00EC3304"/>
    <w:rsid w:val="00EC4942"/>
    <w:rsid w:val="00EC4D18"/>
    <w:rsid w:val="00EC4FEC"/>
    <w:rsid w:val="00EC5B23"/>
    <w:rsid w:val="00EC5DED"/>
    <w:rsid w:val="00EC6BD8"/>
    <w:rsid w:val="00EC6D16"/>
    <w:rsid w:val="00ED0356"/>
    <w:rsid w:val="00ED0D71"/>
    <w:rsid w:val="00ED194B"/>
    <w:rsid w:val="00ED1AF8"/>
    <w:rsid w:val="00ED252E"/>
    <w:rsid w:val="00ED2CB2"/>
    <w:rsid w:val="00ED3DCD"/>
    <w:rsid w:val="00ED3DD5"/>
    <w:rsid w:val="00ED43CC"/>
    <w:rsid w:val="00ED43EE"/>
    <w:rsid w:val="00ED4C88"/>
    <w:rsid w:val="00ED4FDB"/>
    <w:rsid w:val="00ED510B"/>
    <w:rsid w:val="00ED5354"/>
    <w:rsid w:val="00ED56BE"/>
    <w:rsid w:val="00ED650C"/>
    <w:rsid w:val="00ED74D7"/>
    <w:rsid w:val="00EE311A"/>
    <w:rsid w:val="00EE364B"/>
    <w:rsid w:val="00EE40F8"/>
    <w:rsid w:val="00EE4CED"/>
    <w:rsid w:val="00EE6DD6"/>
    <w:rsid w:val="00EF0867"/>
    <w:rsid w:val="00EF0E7F"/>
    <w:rsid w:val="00EF18CB"/>
    <w:rsid w:val="00EF1A10"/>
    <w:rsid w:val="00EF1A9F"/>
    <w:rsid w:val="00EF1B27"/>
    <w:rsid w:val="00EF4370"/>
    <w:rsid w:val="00EF5AD7"/>
    <w:rsid w:val="00F0146E"/>
    <w:rsid w:val="00F01517"/>
    <w:rsid w:val="00F01572"/>
    <w:rsid w:val="00F03FA7"/>
    <w:rsid w:val="00F048EF"/>
    <w:rsid w:val="00F0614A"/>
    <w:rsid w:val="00F06AAD"/>
    <w:rsid w:val="00F0703A"/>
    <w:rsid w:val="00F12107"/>
    <w:rsid w:val="00F146BE"/>
    <w:rsid w:val="00F22013"/>
    <w:rsid w:val="00F22356"/>
    <w:rsid w:val="00F226E0"/>
    <w:rsid w:val="00F23232"/>
    <w:rsid w:val="00F241E1"/>
    <w:rsid w:val="00F248CB"/>
    <w:rsid w:val="00F24C47"/>
    <w:rsid w:val="00F2522F"/>
    <w:rsid w:val="00F26B18"/>
    <w:rsid w:val="00F26D45"/>
    <w:rsid w:val="00F27BEF"/>
    <w:rsid w:val="00F30180"/>
    <w:rsid w:val="00F31A29"/>
    <w:rsid w:val="00F326DB"/>
    <w:rsid w:val="00F3279A"/>
    <w:rsid w:val="00F34FD9"/>
    <w:rsid w:val="00F35B80"/>
    <w:rsid w:val="00F37236"/>
    <w:rsid w:val="00F37576"/>
    <w:rsid w:val="00F419B9"/>
    <w:rsid w:val="00F43E0C"/>
    <w:rsid w:val="00F44634"/>
    <w:rsid w:val="00F45473"/>
    <w:rsid w:val="00F466C7"/>
    <w:rsid w:val="00F4759E"/>
    <w:rsid w:val="00F505EC"/>
    <w:rsid w:val="00F5088F"/>
    <w:rsid w:val="00F50A55"/>
    <w:rsid w:val="00F51657"/>
    <w:rsid w:val="00F5223C"/>
    <w:rsid w:val="00F550B2"/>
    <w:rsid w:val="00F55F69"/>
    <w:rsid w:val="00F57787"/>
    <w:rsid w:val="00F577B9"/>
    <w:rsid w:val="00F61DD8"/>
    <w:rsid w:val="00F61E82"/>
    <w:rsid w:val="00F6243A"/>
    <w:rsid w:val="00F63323"/>
    <w:rsid w:val="00F636FE"/>
    <w:rsid w:val="00F648B2"/>
    <w:rsid w:val="00F649D9"/>
    <w:rsid w:val="00F67071"/>
    <w:rsid w:val="00F67397"/>
    <w:rsid w:val="00F67EBD"/>
    <w:rsid w:val="00F70EA4"/>
    <w:rsid w:val="00F71C70"/>
    <w:rsid w:val="00F72C31"/>
    <w:rsid w:val="00F7524B"/>
    <w:rsid w:val="00F75533"/>
    <w:rsid w:val="00F756F7"/>
    <w:rsid w:val="00F77851"/>
    <w:rsid w:val="00F80FAB"/>
    <w:rsid w:val="00F816F0"/>
    <w:rsid w:val="00F81AAC"/>
    <w:rsid w:val="00F81E3B"/>
    <w:rsid w:val="00F827E1"/>
    <w:rsid w:val="00F83820"/>
    <w:rsid w:val="00F83928"/>
    <w:rsid w:val="00F86A43"/>
    <w:rsid w:val="00F927B5"/>
    <w:rsid w:val="00F92F9C"/>
    <w:rsid w:val="00F94BD0"/>
    <w:rsid w:val="00F94DB9"/>
    <w:rsid w:val="00F95403"/>
    <w:rsid w:val="00F95848"/>
    <w:rsid w:val="00F96705"/>
    <w:rsid w:val="00F96750"/>
    <w:rsid w:val="00F9704D"/>
    <w:rsid w:val="00F97840"/>
    <w:rsid w:val="00F97C12"/>
    <w:rsid w:val="00FA0166"/>
    <w:rsid w:val="00FA0326"/>
    <w:rsid w:val="00FA0431"/>
    <w:rsid w:val="00FA2400"/>
    <w:rsid w:val="00FA2E98"/>
    <w:rsid w:val="00FA33E9"/>
    <w:rsid w:val="00FA55C8"/>
    <w:rsid w:val="00FA5CAB"/>
    <w:rsid w:val="00FA64BE"/>
    <w:rsid w:val="00FA74C6"/>
    <w:rsid w:val="00FB24ED"/>
    <w:rsid w:val="00FB29AF"/>
    <w:rsid w:val="00FB313D"/>
    <w:rsid w:val="00FB4003"/>
    <w:rsid w:val="00FB4489"/>
    <w:rsid w:val="00FB4521"/>
    <w:rsid w:val="00FB4EBA"/>
    <w:rsid w:val="00FB614E"/>
    <w:rsid w:val="00FB62C9"/>
    <w:rsid w:val="00FB7086"/>
    <w:rsid w:val="00FC1B94"/>
    <w:rsid w:val="00FC2342"/>
    <w:rsid w:val="00FC3B26"/>
    <w:rsid w:val="00FC4102"/>
    <w:rsid w:val="00FC49D3"/>
    <w:rsid w:val="00FC6384"/>
    <w:rsid w:val="00FC6733"/>
    <w:rsid w:val="00FC6E9E"/>
    <w:rsid w:val="00FD05AF"/>
    <w:rsid w:val="00FD2677"/>
    <w:rsid w:val="00FD28B8"/>
    <w:rsid w:val="00FD486D"/>
    <w:rsid w:val="00FD4D00"/>
    <w:rsid w:val="00FD5292"/>
    <w:rsid w:val="00FD5806"/>
    <w:rsid w:val="00FE080A"/>
    <w:rsid w:val="00FE0BD8"/>
    <w:rsid w:val="00FE1709"/>
    <w:rsid w:val="00FE1FC9"/>
    <w:rsid w:val="00FE2E87"/>
    <w:rsid w:val="00FE3E2A"/>
    <w:rsid w:val="00FE43ED"/>
    <w:rsid w:val="00FE518D"/>
    <w:rsid w:val="00FE5A94"/>
    <w:rsid w:val="00FE62E8"/>
    <w:rsid w:val="00FF1A8D"/>
    <w:rsid w:val="00FF32DE"/>
    <w:rsid w:val="00FF4205"/>
    <w:rsid w:val="00FF5858"/>
    <w:rsid w:val="00FF5909"/>
    <w:rsid w:val="00FF5F9F"/>
    <w:rsid w:val="00FF6930"/>
    <w:rsid w:val="00FF7469"/>
    <w:rsid w:val="1CE4372C"/>
    <w:rsid w:val="2912970A"/>
    <w:rsid w:val="36725D5C"/>
    <w:rsid w:val="3CFE2AD9"/>
    <w:rsid w:val="3EC79034"/>
    <w:rsid w:val="4119874D"/>
    <w:rsid w:val="42EC885E"/>
    <w:rsid w:val="43B5B80E"/>
    <w:rsid w:val="440F045F"/>
    <w:rsid w:val="4652F571"/>
    <w:rsid w:val="4B92F631"/>
    <w:rsid w:val="563EF20D"/>
    <w:rsid w:val="6233BE84"/>
    <w:rsid w:val="66483359"/>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812FE8A-6422-4B87-9BE3-806B653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table" w:customStyle="1" w:styleId="TableGrid5">
    <w:name w:val="Table Grid5"/>
    <w:basedOn w:val="TableNormal"/>
    <w:next w:val="TableGrid"/>
    <w:uiPriority w:val="39"/>
    <w:rsid w:val="003B18CA"/>
    <w:pPr>
      <w:spacing w:after="0" w:line="240" w:lineRule="auto"/>
    </w:pPr>
    <w:rPr>
      <w:kern w:val="2"/>
      <w:sz w:val="24"/>
      <w:szCs w:val="24"/>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122C"/>
    <w:pPr>
      <w:spacing w:after="0" w:line="240" w:lineRule="auto"/>
    </w:pPr>
    <w:rPr>
      <w:kern w:val="2"/>
      <w:sz w:val="24"/>
      <w:szCs w:val="24"/>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24498"/>
    <w:pPr>
      <w:spacing w:after="0" w:line="240" w:lineRule="auto"/>
    </w:pPr>
    <w:rPr>
      <w:kern w:val="2"/>
      <w:sz w:val="24"/>
      <w:szCs w:val="24"/>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74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10</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14703</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Kamile Miskinyte (Moody's)</cp:lastModifiedBy>
  <cp:revision>5</cp:revision>
  <cp:lastPrinted>2017-07-24T16:47:00Z</cp:lastPrinted>
  <dcterms:created xsi:type="dcterms:W3CDTF">2025-06-20T09:38:00Z</dcterms:created>
  <dcterms:modified xsi:type="dcterms:W3CDTF">2025-06-20T10:13:00Z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