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le"/>
                  <w:rPr>
                    <w:sz w:val="48"/>
                    <w:szCs w:val="48"/>
                  </w:rPr>
                </w:pPr>
                <w:r w:rsidRPr="00FA64BE">
                  <w:rPr>
                    <w:sz w:val="48"/>
                    <w:szCs w:val="48"/>
                  </w:rPr>
                  <w:t xml:space="preserve">Reply form </w:t>
                </w:r>
              </w:p>
              <w:p w14:paraId="2F2A3347" w14:textId="77777777" w:rsidR="000310AB" w:rsidRPr="00FA64BE" w:rsidRDefault="000310AB" w:rsidP="000310AB"/>
              <w:p w14:paraId="00FE0097" w14:textId="77777777" w:rsidR="000310AB" w:rsidRPr="00FA64BE" w:rsidRDefault="000310AB" w:rsidP="000310AB">
                <w:pPr>
                  <w:pStyle w:val="Title"/>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the Consultation Paper</w:t>
                </w:r>
                <w:r>
                  <w:rPr>
                    <w:rFonts w:cs="Arial"/>
                    <w:bCs/>
                    <w:color w:val="auto"/>
                    <w:sz w:val="24"/>
                    <w:szCs w:val="24"/>
                  </w:rPr>
                  <w:t xml:space="preserve"> on Technical Standards under the Regulation on transparency and integrity of Environmental, Social and Governance (ESG) rating activities</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Heading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5"/>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2F1635BF">
                  <v:shape id="Freeform: Shape 8"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spid="_x0000_s1026" o:allowoverlap="f" stroked="f" strokeweight="1pt" path="m2939613,926867c5038819,-714379,6826523,267027,7569200,545025r,2628099l7569200,9779055r,l,9779055r,l,3173124,2939613,926867x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w14:anchorId="5557849C">
                    <v:fill type="frame" o:title="" recolor="t" rotate="t" r:id="rId17"/>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7"/>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7"/>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7"/>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7"/>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01E1EA5"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D11B30">
            <w:rPr>
              <w:rFonts w:asciiTheme="minorHAnsi" w:eastAsiaTheme="minorEastAsia" w:hAnsiTheme="minorHAnsi" w:cstheme="minorBidi"/>
              <w:b/>
              <w:sz w:val="18"/>
              <w:szCs w:val="16"/>
              <w:lang w:eastAsia="en-US"/>
            </w:rPr>
            <w:t>20</w:t>
          </w:r>
          <w:r w:rsidR="00C17150">
            <w:rPr>
              <w:rFonts w:asciiTheme="minorHAnsi" w:eastAsiaTheme="minorEastAsia" w:hAnsiTheme="minorHAnsi" w:cstheme="minorBidi"/>
              <w:b/>
              <w:sz w:val="18"/>
              <w:szCs w:val="16"/>
              <w:lang w:eastAsia="en-US"/>
            </w:rPr>
            <w:t xml:space="preserve"> </w:t>
          </w:r>
          <w:r w:rsidR="00D11B30">
            <w:rPr>
              <w:rFonts w:asciiTheme="minorHAnsi" w:eastAsiaTheme="minorEastAsia" w:hAnsiTheme="minorHAnsi" w:cstheme="minorBidi"/>
              <w:b/>
              <w:sz w:val="18"/>
              <w:szCs w:val="16"/>
              <w:lang w:eastAsia="en-US"/>
            </w:rPr>
            <w:t>June</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31"/>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31"/>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1F3ED354" w:rsidR="00B16706" w:rsidRPr="00A409C2" w:rsidRDefault="00B16706" w:rsidP="00A409C2">
          <w:pPr>
            <w:pStyle w:val="ListParagraph"/>
            <w:numPr>
              <w:ilvl w:val="0"/>
              <w:numId w:val="31"/>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B26BA">
            <w:rPr>
              <w:rFonts w:eastAsiaTheme="minorEastAsia" w:cstheme="minorBidi"/>
              <w:sz w:val="18"/>
              <w:szCs w:val="16"/>
              <w:lang w:eastAsia="en-US"/>
            </w:rPr>
            <w:t>E</w:t>
          </w:r>
          <w:r w:rsidR="004578B3">
            <w:rPr>
              <w:rFonts w:eastAsiaTheme="minorEastAsia" w:cstheme="minorBidi"/>
              <w:sz w:val="18"/>
              <w:szCs w:val="16"/>
              <w:lang w:eastAsia="en-US"/>
            </w:rPr>
            <w:t>SGR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31"/>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5318C045" w:rsidR="00B16706" w:rsidRPr="00A409C2" w:rsidRDefault="00B16706" w:rsidP="00A409C2">
          <w:pPr>
            <w:pStyle w:val="ListParagraph"/>
            <w:numPr>
              <w:ilvl w:val="0"/>
              <w:numId w:val="31"/>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B26BA">
            <w:rPr>
              <w:rFonts w:eastAsiaTheme="minorEastAsia" w:cstheme="minorBidi"/>
              <w:sz w:val="18"/>
              <w:szCs w:val="16"/>
              <w:lang w:eastAsia="en-US"/>
            </w:rPr>
            <w:t>EUGB</w:t>
          </w:r>
          <w:r w:rsidRPr="00A409C2">
            <w:rPr>
              <w:rFonts w:eastAsiaTheme="minorEastAsia" w:cstheme="minorBidi"/>
              <w:sz w:val="18"/>
              <w:szCs w:val="16"/>
              <w:lang w:eastAsia="en-US"/>
            </w:rPr>
            <w:t>_nameofrespondent_RESPONSEFORM. For example, for a respondent named ABCD, the response form would be entitled ESMA_</w:t>
          </w:r>
          <w:r w:rsidR="0037311D">
            <w:rPr>
              <w:rFonts w:eastAsiaTheme="minorEastAsia" w:cstheme="minorBidi"/>
              <w:sz w:val="18"/>
              <w:szCs w:val="16"/>
              <w:lang w:eastAsia="en-US"/>
            </w:rPr>
            <w:t>E</w:t>
          </w:r>
          <w:r w:rsidR="001522DD">
            <w:rPr>
              <w:rFonts w:eastAsiaTheme="minorEastAsia" w:cstheme="minorBidi"/>
              <w:sz w:val="18"/>
              <w:szCs w:val="16"/>
              <w:lang w:eastAsia="en-US"/>
            </w:rPr>
            <w:t>SGR</w:t>
          </w:r>
          <w:r w:rsidRPr="00A409C2">
            <w:rPr>
              <w:rFonts w:eastAsiaTheme="minorEastAsia" w:cstheme="minorBidi"/>
              <w:sz w:val="18"/>
              <w:szCs w:val="16"/>
              <w:lang w:eastAsia="en-US"/>
            </w:rPr>
            <w:t>_ABCD_RESPONSEFORM.</w:t>
          </w:r>
        </w:p>
        <w:p w14:paraId="28EEA743" w14:textId="2B8D6968" w:rsidR="00A02199" w:rsidRPr="00A409C2" w:rsidRDefault="00B16706" w:rsidP="00AF2EF7">
          <w:pPr>
            <w:pStyle w:val="ListParagraph"/>
            <w:numPr>
              <w:ilvl w:val="0"/>
              <w:numId w:val="31"/>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Consultation Paper </w:t>
          </w:r>
          <w:r w:rsidR="003B26BA" w:rsidRPr="003B26BA">
            <w:rPr>
              <w:rFonts w:eastAsiaTheme="minorEastAsia" w:cstheme="minorBidi"/>
              <w:sz w:val="18"/>
              <w:szCs w:val="16"/>
              <w:lang w:eastAsia="en-US"/>
            </w:rPr>
            <w:t>on technical standards on the European Green Bonds Regulation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4C9C01EB" w:rsidR="00C85C8B" w:rsidRDefault="00C17150" w:rsidP="008279D3">
      <w:pPr>
        <w:pStyle w:val="Heading1"/>
        <w:numPr>
          <w:ilvl w:val="0"/>
          <w:numId w:val="0"/>
        </w:numPr>
        <w:spacing w:line="276" w:lineRule="auto"/>
        <w:rPr>
          <w:rFonts w:asciiTheme="minorHAnsi" w:hAnsiTheme="minorHAnsi" w:cstheme="minorHAnsi"/>
          <w:sz w:val="20"/>
          <w:szCs w:val="20"/>
        </w:rPr>
      </w:pPr>
      <w:r w:rsidRPr="00C17150">
        <w:rPr>
          <w:rFonts w:ascii="Arial" w:eastAsia="Times New Roman" w:hAnsi="Arial" w:cs="Arial"/>
          <w:b w:val="0"/>
          <w:sz w:val="18"/>
          <w:szCs w:val="18"/>
          <w:lang w:eastAsia="it-IT"/>
        </w:rPr>
        <w:t>All interested stakeholders are invited to respond to this Consultation Paper. In particular, ESMA encourages entities that intend to apply for registration as external reviewers of European Green Bonds, as well as financial market participants who have or intend to issue or invest in green bonds or sustainability-linked bonds, to participate</w:t>
      </w:r>
      <w:r w:rsidR="00FA64BE" w:rsidRPr="00FA64BE">
        <w:rPr>
          <w:rFonts w:ascii="Arial" w:eastAsia="Times New Roman" w:hAnsi="Arial" w:cs="Arial"/>
          <w:b w:val="0"/>
          <w:sz w:val="18"/>
          <w:szCs w:val="18"/>
          <w:lang w:eastAsia="it-IT"/>
        </w:rPr>
        <w:t xml:space="preserve">.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4818ADFD">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rPr>
              <w:color w:val="808080" w:themeColor="background1" w:themeShade="80"/>
              <w:szCs w:val="16"/>
            </w:rPr>
          </w:sdtEndPr>
          <w:sdtContent>
            <w:tc>
              <w:tcPr>
                <w:tcW w:w="5595" w:type="dxa"/>
                <w:shd w:val="clear" w:color="auto" w:fill="auto"/>
              </w:tcPr>
              <w:p w14:paraId="1B67440D" w14:textId="0A815CE1" w:rsidR="00C85C8B" w:rsidRPr="00B16706" w:rsidRDefault="00007BFC" w:rsidP="00C85C8B">
                <w:pPr>
                  <w:rPr>
                    <w:rFonts w:ascii="Arial" w:hAnsi="Arial" w:cs="Arial"/>
                    <w:color w:val="808080"/>
                    <w:sz w:val="16"/>
                    <w:szCs w:val="16"/>
                    <w:lang w:eastAsia="de-DE"/>
                  </w:rPr>
                </w:pPr>
                <w:r w:rsidRPr="4818ADFD">
                  <w:rPr>
                    <w:rFonts w:ascii="Arial" w:hAnsi="Arial" w:cs="Arial"/>
                    <w:color w:val="808080" w:themeColor="background1" w:themeShade="80"/>
                    <w:sz w:val="16"/>
                    <w:szCs w:val="16"/>
                    <w:lang w:eastAsia="de-DE"/>
                  </w:rPr>
                  <w:t>ESG Book Gm</w:t>
                </w:r>
                <w:r>
                  <w:rPr>
                    <w:rFonts w:ascii="Arial" w:hAnsi="Arial" w:cs="Arial"/>
                    <w:color w:val="808080" w:themeColor="background1" w:themeShade="80"/>
                    <w:sz w:val="16"/>
                    <w:szCs w:val="16"/>
                    <w:lang w:eastAsia="de-DE"/>
                  </w:rPr>
                  <w:t>b</w:t>
                </w:r>
                <w:r w:rsidRPr="4818ADFD">
                  <w:rPr>
                    <w:rFonts w:ascii="Arial" w:hAnsi="Arial" w:cs="Arial"/>
                    <w:color w:val="808080" w:themeColor="background1" w:themeShade="80"/>
                    <w:sz w:val="16"/>
                    <w:szCs w:val="16"/>
                    <w:lang w:eastAsia="de-DE"/>
                  </w:rPr>
                  <w:t>H</w:t>
                </w:r>
              </w:p>
            </w:tc>
          </w:sdtContent>
        </w:sdt>
      </w:tr>
      <w:tr w:rsidR="00C85C8B" w:rsidRPr="00B16706" w14:paraId="216F3E57" w14:textId="77777777" w:rsidTr="4818ADFD">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3721E21E" w:rsidR="00C85C8B" w:rsidRPr="00B16706" w:rsidRDefault="008F2E17" w:rsidP="00C85C8B">
            <w:pPr>
              <w:rPr>
                <w:rFonts w:ascii="Arial" w:hAnsi="Arial" w:cs="Arial"/>
                <w:sz w:val="16"/>
                <w:szCs w:val="16"/>
                <w:lang w:eastAsia="de-DE"/>
              </w:rPr>
            </w:pPr>
            <w:sdt>
              <w:sdtPr>
                <w:rPr>
                  <w:rFonts w:ascii="Arial" w:hAnsi="Arial" w:cs="Arial"/>
                  <w:sz w:val="16"/>
                  <w:szCs w:val="16"/>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337213A5" w:rsidRPr="4818ADFD">
                  <w:rPr>
                    <w:rFonts w:ascii="Arial" w:hAnsi="Arial" w:cs="Arial"/>
                    <w:sz w:val="16"/>
                    <w:szCs w:val="16"/>
                    <w:lang w:eastAsia="de-DE"/>
                  </w:rPr>
                  <w:t>Other Financial service providers</w:t>
                </w:r>
              </w:sdtContent>
            </w:sdt>
          </w:p>
        </w:tc>
      </w:tr>
      <w:tr w:rsidR="00C85C8B" w:rsidRPr="00B16706" w14:paraId="0D216581" w14:textId="77777777" w:rsidTr="4818ADFD">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rPr>
              <w:szCs w:val="16"/>
            </w:rPr>
          </w:sdtEndPr>
          <w:sdtContent>
            <w:tc>
              <w:tcPr>
                <w:tcW w:w="5595" w:type="dxa"/>
                <w:shd w:val="clear" w:color="auto" w:fill="auto"/>
              </w:tcPr>
              <w:p w14:paraId="6C4423E1" w14:textId="511A3048" w:rsidR="00C85C8B" w:rsidRPr="00B16706" w:rsidRDefault="0037311D"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4818ADFD">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rPr>
              <w:szCs w:val="16"/>
            </w:rPr>
          </w:sdtEndPr>
          <w:sdtContent>
            <w:tc>
              <w:tcPr>
                <w:tcW w:w="5595" w:type="dxa"/>
                <w:shd w:val="clear" w:color="auto" w:fill="auto"/>
              </w:tcPr>
              <w:p w14:paraId="082656BF" w14:textId="71B73DA5" w:rsidR="00C85C8B" w:rsidRPr="00B16706" w:rsidRDefault="59151DEF" w:rsidP="00C85C8B">
                <w:pPr>
                  <w:rPr>
                    <w:rFonts w:ascii="Arial" w:hAnsi="Arial" w:cs="Arial"/>
                    <w:sz w:val="16"/>
                    <w:szCs w:val="16"/>
                    <w:lang w:eastAsia="de-DE"/>
                  </w:rPr>
                </w:pPr>
                <w:r w:rsidRPr="4818ADFD">
                  <w:rPr>
                    <w:rFonts w:ascii="Arial" w:hAnsi="Arial" w:cs="Arial"/>
                    <w:sz w:val="16"/>
                    <w:szCs w:val="16"/>
                    <w:lang w:eastAsia="de-DE"/>
                  </w:rPr>
                  <w:t>Europe</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t>Questions</w:t>
      </w:r>
    </w:p>
    <w:p w14:paraId="14C3989A" w14:textId="77777777" w:rsidR="001B1B48" w:rsidRDefault="001B1B48">
      <w:pPr>
        <w:spacing w:after="120" w:line="264" w:lineRule="auto"/>
        <w:rPr>
          <w:rFonts w:ascii="Arial" w:hAnsi="Arial" w:cs="Arial"/>
          <w:b/>
          <w:sz w:val="22"/>
          <w:szCs w:val="22"/>
          <w:lang w:val="en-US" w:eastAsia="en-US"/>
        </w:rPr>
      </w:pPr>
    </w:p>
    <w:bookmarkEnd w:id="0"/>
    <w:p w14:paraId="3C026390" w14:textId="12EA4653" w:rsidR="763C3277" w:rsidRDefault="00CB0C0C" w:rsidP="27D78D99">
      <w:pPr>
        <w:pStyle w:val="Paragraph"/>
        <w:numPr>
          <w:ilvl w:val="0"/>
          <w:numId w:val="0"/>
        </w:numPr>
        <w:ind w:left="708" w:hanging="708"/>
      </w:pPr>
      <w:r w:rsidRPr="71C25300">
        <w:rPr>
          <w:b/>
          <w:bCs/>
        </w:rPr>
        <w:t>Q1</w:t>
      </w:r>
      <w:r>
        <w:t xml:space="preserve"> </w:t>
      </w:r>
      <w:r>
        <w:tab/>
      </w:r>
      <w:r w:rsidRPr="71C25300">
        <w:rPr>
          <w:rFonts w:eastAsia="Times New Roman"/>
          <w:b/>
          <w:bCs/>
          <w:color w:val="auto"/>
          <w:lang w:eastAsia="en-US"/>
        </w:rPr>
        <w:t>Do you agree with ESMA’s proposals for the draft technical standard under Articles 6(3) and 12(9)?</w:t>
      </w:r>
      <w:r w:rsidR="00BB29AA" w:rsidRPr="71C25300">
        <w:rPr>
          <w:b/>
          <w:bCs/>
          <w:lang w:eastAsia="en-US"/>
        </w:rPr>
        <w:t xml:space="preserve"> </w:t>
      </w:r>
    </w:p>
    <w:p w14:paraId="034DFB41" w14:textId="7ABA3DFE"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Pr>
          <w:rFonts w:ascii="Calibri" w:eastAsia="Calibri" w:hAnsi="Calibri"/>
          <w:kern w:val="2"/>
          <w:sz w:val="22"/>
          <w:szCs w:val="22"/>
          <w:lang w:eastAsia="en-US"/>
          <w14:ligatures w14:val="standardContextual"/>
        </w:rPr>
        <w:t>E</w:t>
      </w:r>
      <w:r w:rsidR="004578B3">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_1&gt;</w:t>
      </w:r>
    </w:p>
    <w:p w14:paraId="7A302D3F" w14:textId="6C14642C" w:rsidR="45A8AE5D" w:rsidRDefault="00F20E11" w:rsidP="71C25300">
      <w:pPr>
        <w:rPr>
          <w:rFonts w:asciiTheme="minorHAnsi" w:eastAsiaTheme="minorEastAsia" w:hAnsiTheme="minorHAnsi" w:cstheme="minorBidi"/>
          <w:sz w:val="22"/>
          <w:szCs w:val="22"/>
        </w:rPr>
      </w:pPr>
      <w:permStart w:id="1765354918" w:edGrp="everyone"/>
      <w:r w:rsidRPr="71C25300">
        <w:rPr>
          <w:rFonts w:asciiTheme="majorHAnsi" w:eastAsiaTheme="majorEastAsia" w:hAnsiTheme="majorHAnsi" w:cstheme="majorBidi"/>
          <w:sz w:val="22"/>
          <w:szCs w:val="22"/>
        </w:rPr>
        <w:t xml:space="preserve">As a </w:t>
      </w:r>
      <w:r w:rsidR="00DE1CD8" w:rsidRPr="71C25300">
        <w:rPr>
          <w:rFonts w:asciiTheme="majorHAnsi" w:eastAsiaTheme="majorEastAsia" w:hAnsiTheme="majorHAnsi" w:cstheme="majorBidi"/>
          <w:sz w:val="22"/>
          <w:szCs w:val="22"/>
        </w:rPr>
        <w:t xml:space="preserve">boutique </w:t>
      </w:r>
      <w:r w:rsidRPr="71C25300">
        <w:rPr>
          <w:rFonts w:asciiTheme="majorHAnsi" w:eastAsiaTheme="majorEastAsia" w:hAnsiTheme="majorHAnsi" w:cstheme="majorBidi"/>
          <w:sz w:val="22"/>
          <w:szCs w:val="22"/>
        </w:rPr>
        <w:t xml:space="preserve">provider, we would like to confirm whether the full scope of the authorisation/recognition requirements as laid out in the Draft RTS would apply to us. Specifically, we would appreciate further clarity on the thresholds and criteria for applying the derogation under Article 16(3), and whether simplified or proportionate reporting obligations will be developed for small providers. </w:t>
      </w:r>
      <w:permEnd w:id="1765354918"/>
      <w:r w:rsidR="45A8AE5D" w:rsidRPr="71C25300">
        <w:rPr>
          <w:rFonts w:asciiTheme="minorHAnsi" w:eastAsiaTheme="minorEastAsia" w:hAnsiTheme="minorHAnsi" w:cstheme="minorBidi"/>
          <w:sz w:val="22"/>
          <w:szCs w:val="22"/>
        </w:rPr>
        <w:t>As a smaller ESG ratings provider, while we are exempt from the full-scale requirements set out in the draft technical standards, implementing</w:t>
      </w:r>
      <w:r w:rsidR="003C5691" w:rsidRPr="71C25300">
        <w:rPr>
          <w:rFonts w:asciiTheme="minorHAnsi" w:eastAsiaTheme="minorEastAsia" w:hAnsiTheme="minorHAnsi" w:cstheme="minorBidi"/>
          <w:sz w:val="22"/>
          <w:szCs w:val="22"/>
        </w:rPr>
        <w:t xml:space="preserve"> and disclosing</w:t>
      </w:r>
      <w:r w:rsidR="45A8AE5D" w:rsidRPr="71C25300">
        <w:rPr>
          <w:rFonts w:asciiTheme="minorHAnsi" w:eastAsiaTheme="minorEastAsia" w:hAnsiTheme="minorHAnsi" w:cstheme="minorBidi"/>
          <w:sz w:val="22"/>
          <w:szCs w:val="22"/>
        </w:rPr>
        <w:t xml:space="preserve"> </w:t>
      </w:r>
      <w:r w:rsidR="007E1D71" w:rsidRPr="71C25300">
        <w:rPr>
          <w:rFonts w:asciiTheme="minorHAnsi" w:eastAsiaTheme="minorEastAsia" w:hAnsiTheme="minorHAnsi" w:cstheme="minorBidi"/>
          <w:sz w:val="22"/>
          <w:szCs w:val="22"/>
        </w:rPr>
        <w:t>prohibitive</w:t>
      </w:r>
      <w:r w:rsidR="45A8AE5D" w:rsidRPr="71C25300">
        <w:rPr>
          <w:rFonts w:asciiTheme="minorHAnsi" w:eastAsiaTheme="minorEastAsia" w:hAnsiTheme="minorHAnsi" w:cstheme="minorBidi"/>
          <w:sz w:val="22"/>
          <w:szCs w:val="22"/>
        </w:rPr>
        <w:t xml:space="preserve"> conflict of interest </w:t>
      </w:r>
      <w:r w:rsidR="00727CE3" w:rsidRPr="71C25300">
        <w:rPr>
          <w:rFonts w:asciiTheme="minorHAnsi" w:eastAsiaTheme="minorEastAsia" w:hAnsiTheme="minorHAnsi" w:cstheme="minorBidi"/>
          <w:sz w:val="22"/>
          <w:szCs w:val="22"/>
        </w:rPr>
        <w:t xml:space="preserve">prevention </w:t>
      </w:r>
      <w:r w:rsidR="007E1D71" w:rsidRPr="71C25300">
        <w:rPr>
          <w:rFonts w:asciiTheme="minorHAnsi" w:eastAsiaTheme="minorEastAsia" w:hAnsiTheme="minorHAnsi" w:cstheme="minorBidi"/>
          <w:sz w:val="22"/>
          <w:szCs w:val="22"/>
        </w:rPr>
        <w:t>measures</w:t>
      </w:r>
      <w:r w:rsidR="45A8AE5D" w:rsidRPr="71C25300">
        <w:rPr>
          <w:rFonts w:asciiTheme="minorHAnsi" w:eastAsiaTheme="minorEastAsia" w:hAnsiTheme="minorHAnsi" w:cstheme="minorBidi"/>
          <w:sz w:val="22"/>
          <w:szCs w:val="22"/>
        </w:rPr>
        <w:t xml:space="preserve">—such as </w:t>
      </w:r>
      <w:r w:rsidR="00867425" w:rsidRPr="71C25300">
        <w:rPr>
          <w:rFonts w:asciiTheme="minorHAnsi" w:eastAsiaTheme="minorEastAsia" w:hAnsiTheme="minorHAnsi" w:cstheme="minorBidi"/>
          <w:sz w:val="22"/>
          <w:szCs w:val="22"/>
        </w:rPr>
        <w:t xml:space="preserve">operational </w:t>
      </w:r>
      <w:r w:rsidR="00524F83" w:rsidRPr="71C25300">
        <w:rPr>
          <w:rFonts w:asciiTheme="minorHAnsi" w:eastAsiaTheme="minorEastAsia" w:hAnsiTheme="minorHAnsi" w:cstheme="minorBidi"/>
          <w:sz w:val="22"/>
          <w:szCs w:val="22"/>
        </w:rPr>
        <w:t>separation of business activities</w:t>
      </w:r>
      <w:r w:rsidR="45A8AE5D" w:rsidRPr="71C25300">
        <w:rPr>
          <w:rFonts w:asciiTheme="minorHAnsi" w:eastAsiaTheme="minorEastAsia" w:hAnsiTheme="minorHAnsi" w:cstheme="minorBidi"/>
          <w:sz w:val="22"/>
          <w:szCs w:val="22"/>
        </w:rPr>
        <w:t>—can be challenging</w:t>
      </w:r>
      <w:r w:rsidR="00405388" w:rsidRPr="71C25300">
        <w:rPr>
          <w:rFonts w:asciiTheme="minorHAnsi" w:eastAsiaTheme="minorEastAsia" w:hAnsiTheme="minorHAnsi" w:cstheme="minorBidi"/>
          <w:sz w:val="22"/>
          <w:szCs w:val="22"/>
        </w:rPr>
        <w:t>,</w:t>
      </w:r>
      <w:r w:rsidR="45A8AE5D" w:rsidRPr="71C25300">
        <w:rPr>
          <w:rFonts w:asciiTheme="minorHAnsi" w:eastAsiaTheme="minorEastAsia" w:hAnsiTheme="minorHAnsi" w:cstheme="minorBidi"/>
          <w:sz w:val="22"/>
          <w:szCs w:val="22"/>
        </w:rPr>
        <w:t xml:space="preserve"> given our size and structure. In this context, principles-based voluntary codes of conduct, such as ICMA, offer a more practical and flexible approach to ensuring good governance and ethical standards. </w:t>
      </w:r>
      <w:r w:rsidR="00405388" w:rsidRPr="71C25300">
        <w:rPr>
          <w:rFonts w:asciiTheme="minorHAnsi" w:eastAsiaTheme="minorEastAsia" w:hAnsiTheme="minorHAnsi" w:cstheme="minorBidi"/>
          <w:sz w:val="22"/>
          <w:szCs w:val="22"/>
        </w:rPr>
        <w:t xml:space="preserve">Therefore, we </w:t>
      </w:r>
      <w:r w:rsidR="007F3E5A" w:rsidRPr="71C25300">
        <w:rPr>
          <w:rFonts w:asciiTheme="minorHAnsi" w:eastAsiaTheme="minorEastAsia" w:hAnsiTheme="minorHAnsi" w:cstheme="minorBidi"/>
          <w:sz w:val="22"/>
          <w:szCs w:val="22"/>
        </w:rPr>
        <w:t xml:space="preserve">would like to recommend an approach that balances the requirements of </w:t>
      </w:r>
      <w:bookmarkStart w:id="1" w:name="_Int_xXtVlrjd"/>
      <w:r w:rsidR="007F3E5A" w:rsidRPr="71C25300">
        <w:rPr>
          <w:rFonts w:asciiTheme="minorHAnsi" w:eastAsiaTheme="minorEastAsia" w:hAnsiTheme="minorHAnsi" w:cstheme="minorBidi"/>
          <w:sz w:val="22"/>
          <w:szCs w:val="22"/>
        </w:rPr>
        <w:t>conflict of interest</w:t>
      </w:r>
      <w:bookmarkEnd w:id="1"/>
      <w:r w:rsidR="007F3E5A" w:rsidRPr="71C25300">
        <w:rPr>
          <w:rFonts w:asciiTheme="minorHAnsi" w:eastAsiaTheme="minorEastAsia" w:hAnsiTheme="minorHAnsi" w:cstheme="minorBidi"/>
          <w:sz w:val="22"/>
          <w:szCs w:val="22"/>
        </w:rPr>
        <w:t xml:space="preserve"> prevention with the </w:t>
      </w:r>
      <w:r w:rsidR="00C50DC7" w:rsidRPr="71C25300">
        <w:rPr>
          <w:rFonts w:asciiTheme="minorHAnsi" w:eastAsiaTheme="minorEastAsia" w:hAnsiTheme="minorHAnsi" w:cstheme="minorBidi"/>
          <w:sz w:val="22"/>
          <w:szCs w:val="22"/>
        </w:rPr>
        <w:t>needs and compliance capacity</w:t>
      </w:r>
      <w:r w:rsidR="007F3E5A" w:rsidRPr="71C25300">
        <w:rPr>
          <w:rFonts w:asciiTheme="minorHAnsi" w:eastAsiaTheme="minorEastAsia" w:hAnsiTheme="minorHAnsi" w:cstheme="minorBidi"/>
          <w:sz w:val="22"/>
          <w:szCs w:val="22"/>
        </w:rPr>
        <w:t xml:space="preserve"> </w:t>
      </w:r>
      <w:r w:rsidR="00AD6E4A" w:rsidRPr="71C25300">
        <w:rPr>
          <w:rFonts w:asciiTheme="minorHAnsi" w:eastAsiaTheme="minorEastAsia" w:hAnsiTheme="minorHAnsi" w:cstheme="minorBidi"/>
          <w:sz w:val="22"/>
          <w:szCs w:val="22"/>
        </w:rPr>
        <w:t xml:space="preserve">of less complex </w:t>
      </w:r>
      <w:r w:rsidR="00C50DC7" w:rsidRPr="71C25300">
        <w:rPr>
          <w:rFonts w:asciiTheme="minorHAnsi" w:eastAsiaTheme="minorEastAsia" w:hAnsiTheme="minorHAnsi" w:cstheme="minorBidi"/>
          <w:sz w:val="22"/>
          <w:szCs w:val="22"/>
        </w:rPr>
        <w:t>data and ratings providers.</w:t>
      </w:r>
      <w:r w:rsidR="007F3E5A" w:rsidRPr="71C25300">
        <w:rPr>
          <w:rFonts w:asciiTheme="minorHAnsi" w:eastAsiaTheme="minorEastAsia" w:hAnsiTheme="minorHAnsi" w:cstheme="minorBidi"/>
          <w:sz w:val="22"/>
          <w:szCs w:val="22"/>
        </w:rPr>
        <w:t xml:space="preserve"> </w:t>
      </w:r>
      <w:r w:rsidR="45A8AE5D" w:rsidRPr="71C25300">
        <w:rPr>
          <w:rFonts w:asciiTheme="minorHAnsi" w:eastAsiaTheme="minorEastAsia" w:hAnsiTheme="minorHAnsi" w:cstheme="minorBidi"/>
          <w:sz w:val="22"/>
          <w:szCs w:val="22"/>
        </w:rPr>
        <w:t>We also support efforts to promote interoperability and reduce compliance burdens through the recognition of equivalence between different ESG ratings regimes.</w:t>
      </w:r>
    </w:p>
    <w:p w14:paraId="7601B00F" w14:textId="0AAB40FC" w:rsidR="6048749A" w:rsidRDefault="6048749A" w:rsidP="6048749A">
      <w:pPr>
        <w:rPr>
          <w:rFonts w:ascii="Helvetica Neue" w:eastAsia="Helvetica Neue" w:hAnsi="Helvetica Neue" w:cs="Helvetica Neue"/>
          <w:sz w:val="19"/>
          <w:szCs w:val="19"/>
        </w:rPr>
      </w:pPr>
    </w:p>
    <w:p w14:paraId="48BA7F71" w14:textId="12DC62D2"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Pr>
          <w:rFonts w:ascii="Calibri" w:eastAsia="Calibri" w:hAnsi="Calibri"/>
          <w:kern w:val="2"/>
          <w:sz w:val="22"/>
          <w:szCs w:val="22"/>
          <w:lang w:eastAsia="en-US"/>
          <w14:ligatures w14:val="standardContextual"/>
        </w:rPr>
        <w:t>E</w:t>
      </w:r>
      <w:r w:rsidR="00AB2C3F">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_1&gt;</w:t>
      </w:r>
    </w:p>
    <w:p w14:paraId="24F487CD" w14:textId="70EDC2F9" w:rsidR="4F3A7535" w:rsidRPr="00007BFC" w:rsidRDefault="00ED4FDB" w:rsidP="5C0F4DAE">
      <w:pPr>
        <w:pStyle w:val="Paragraph"/>
        <w:numPr>
          <w:ilvl w:val="0"/>
          <w:numId w:val="0"/>
        </w:numPr>
        <w:ind w:left="708" w:hanging="708"/>
        <w:rPr>
          <w:rFonts w:asciiTheme="majorHAnsi" w:eastAsiaTheme="majorEastAsia" w:hAnsiTheme="majorHAnsi" w:cstheme="majorBidi"/>
          <w:b/>
          <w:bCs/>
        </w:rPr>
      </w:pPr>
      <w:r w:rsidRPr="27D78D99">
        <w:rPr>
          <w:b/>
          <w:bCs/>
        </w:rPr>
        <w:t>Q2</w:t>
      </w:r>
      <w:r>
        <w:t xml:space="preserve"> </w:t>
      </w:r>
      <w:r>
        <w:tab/>
      </w:r>
      <w:r w:rsidRPr="27D78D99">
        <w:rPr>
          <w:b/>
          <w:bCs/>
        </w:rPr>
        <w:t>Do you agree with ESMA’s proposals for the draft technical standard under Article 16(5)?</w:t>
      </w:r>
    </w:p>
    <w:p w14:paraId="6C03D9F2" w14:textId="65FA1CA4"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ED4FDB">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_2&gt;</w:t>
      </w:r>
    </w:p>
    <w:p w14:paraId="0507FFDB" w14:textId="6951087B" w:rsidR="01D6A664" w:rsidRDefault="01D6A664" w:rsidP="27D78D99">
      <w:pPr>
        <w:rPr>
          <w:rFonts w:asciiTheme="minorHAnsi" w:eastAsiaTheme="minorEastAsia" w:hAnsiTheme="minorHAnsi" w:cstheme="minorBidi"/>
          <w:sz w:val="22"/>
          <w:szCs w:val="22"/>
        </w:rPr>
      </w:pPr>
      <w:permStart w:id="1667529024" w:edGrp="everyone"/>
      <w:permEnd w:id="1667529024"/>
      <w:r w:rsidRPr="27D78D99">
        <w:rPr>
          <w:rFonts w:asciiTheme="minorHAnsi" w:eastAsiaTheme="minorEastAsia" w:hAnsiTheme="minorHAnsi" w:cstheme="minorBidi"/>
          <w:sz w:val="22"/>
          <w:szCs w:val="22"/>
        </w:rPr>
        <w:t>We support the proposed measures aimed at enhancing transparency and reinforcing checks and balances to prevent undue influence in ESG rating activities. As a smaller provider, we recognise the importance of clear organisational separation and safeguards to uphold the integrity of the rating process. While the full suite of structural measures—such as physical separation or digital access controls—may present operational challenges, especially for smaller entities, we believe the regulation strikes an appropriate balance by allowing for proportionate implementation. We welcome a principles-based approach that preserves independence and builds trust, while also ensuring flexibility through equivalence and interoperability across regulatory regimes.</w:t>
      </w:r>
    </w:p>
    <w:p w14:paraId="4618F734" w14:textId="2B521375" w:rsidR="2EE49609" w:rsidRDefault="2EE49609" w:rsidP="2EE49609">
      <w:pPr>
        <w:rPr>
          <w:rFonts w:ascii="Helvetica Neue" w:eastAsia="Helvetica Neue" w:hAnsi="Helvetica Neue" w:cs="Helvetica Neue"/>
          <w:sz w:val="19"/>
          <w:szCs w:val="19"/>
        </w:rPr>
      </w:pPr>
    </w:p>
    <w:p w14:paraId="19719837" w14:textId="459174C9"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AB2C3F">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_2&gt;</w:t>
      </w:r>
    </w:p>
    <w:p w14:paraId="70F13EEA" w14:textId="4DA185E0" w:rsidR="328574AB" w:rsidRPr="00007BFC" w:rsidRDefault="006372FE" w:rsidP="0AC265D0">
      <w:pPr>
        <w:pStyle w:val="Paragraph"/>
        <w:numPr>
          <w:ilvl w:val="0"/>
          <w:numId w:val="0"/>
        </w:numPr>
        <w:ind w:left="708" w:hanging="708"/>
        <w:rPr>
          <w:b/>
          <w:bCs/>
        </w:rPr>
      </w:pPr>
      <w:r w:rsidRPr="0AC265D0">
        <w:rPr>
          <w:b/>
          <w:bCs/>
        </w:rPr>
        <w:t xml:space="preserve">Q3. </w:t>
      </w:r>
      <w:r w:rsidR="328574AB">
        <w:tab/>
      </w:r>
      <w:r w:rsidRPr="0AC265D0">
        <w:rPr>
          <w:b/>
          <w:bCs/>
        </w:rPr>
        <w:t>Do you agree with ESMA’s proposals for the draft technical standard under Articles 23(4) and 24(3)?</w:t>
      </w:r>
    </w:p>
    <w:p w14:paraId="4E720D75" w14:textId="47BCF34E"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322B55">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_3&gt;</w:t>
      </w:r>
    </w:p>
    <w:p w14:paraId="49206ADB" w14:textId="4B74ABC9" w:rsidR="53815F4C" w:rsidRDefault="53815F4C" w:rsidP="2EE49609">
      <w:pPr>
        <w:rPr>
          <w:rFonts w:asciiTheme="minorHAnsi" w:eastAsiaTheme="minorEastAsia" w:hAnsiTheme="minorHAnsi" w:cstheme="minorBidi"/>
          <w:sz w:val="22"/>
          <w:szCs w:val="22"/>
        </w:rPr>
      </w:pPr>
      <w:permStart w:id="669658389" w:edGrp="everyone"/>
      <w:permEnd w:id="669658389"/>
      <w:r w:rsidRPr="2EE49609">
        <w:rPr>
          <w:rFonts w:asciiTheme="minorHAnsi" w:eastAsiaTheme="minorEastAsia" w:hAnsiTheme="minorHAnsi" w:cstheme="minorBidi"/>
          <w:sz w:val="22"/>
          <w:szCs w:val="22"/>
        </w:rPr>
        <w:t>We welcome the enhanced transparency provisions set out in the draft Delegated Regulation and fully support efforts to improve the comparability and clarity of ESG ratings. We already disclose our methodologies in full to rated entities and strongly support the move toward public disclosure to foster greater market trust and informed use of ESG ratings.</w:t>
      </w:r>
    </w:p>
    <w:p w14:paraId="01477390" w14:textId="2A53592C" w:rsidR="53815F4C" w:rsidRDefault="53815F4C">
      <w:r w:rsidRPr="71C25300">
        <w:rPr>
          <w:rFonts w:asciiTheme="minorHAnsi" w:eastAsiaTheme="minorEastAsia" w:hAnsiTheme="minorHAnsi" w:cstheme="minorBidi"/>
          <w:sz w:val="22"/>
          <w:szCs w:val="22"/>
        </w:rPr>
        <w:t>While we note that the underlying source data is not currently required to be made publicly available—consistent with the scope outlined in Annex III of the draft RTS—we maintain a high standard of transparency.</w:t>
      </w:r>
      <w:r w:rsidR="00E61A4D" w:rsidRPr="71C25300">
        <w:rPr>
          <w:rFonts w:asciiTheme="minorHAnsi" w:eastAsiaTheme="minorEastAsia" w:hAnsiTheme="minorHAnsi" w:cstheme="minorBidi"/>
          <w:sz w:val="22"/>
          <w:szCs w:val="22"/>
        </w:rPr>
        <w:t xml:space="preserve"> Indeed, all of ESG Book’s scoring products </w:t>
      </w:r>
      <w:r w:rsidR="00181FBE" w:rsidRPr="71C25300">
        <w:rPr>
          <w:rFonts w:asciiTheme="minorHAnsi" w:eastAsiaTheme="minorEastAsia" w:hAnsiTheme="minorHAnsi" w:cstheme="minorBidi"/>
          <w:sz w:val="22"/>
          <w:szCs w:val="22"/>
        </w:rPr>
        <w:t xml:space="preserve">can be fully disaggregated into the underlying data components that influence a given score or calculation. Moreover, each data point is itself always supplemented by the original </w:t>
      </w:r>
      <w:r w:rsidR="005A0186" w:rsidRPr="71C25300">
        <w:rPr>
          <w:rFonts w:asciiTheme="minorHAnsi" w:eastAsiaTheme="minorEastAsia" w:hAnsiTheme="minorHAnsi" w:cstheme="minorBidi"/>
          <w:sz w:val="22"/>
          <w:szCs w:val="22"/>
        </w:rPr>
        <w:t>reference in the form of source documentation, page number and text snippet. This ensures that both rated entities and the end users of the data can have full transparency, traceability and auditability of the scoring products and their underlying components.</w:t>
      </w:r>
      <w:r w:rsidRPr="71C25300">
        <w:rPr>
          <w:rFonts w:asciiTheme="minorHAnsi" w:eastAsiaTheme="minorEastAsia" w:hAnsiTheme="minorHAnsi" w:cstheme="minorBidi"/>
          <w:sz w:val="22"/>
          <w:szCs w:val="22"/>
        </w:rPr>
        <w:t xml:space="preserve"> </w:t>
      </w:r>
      <w:r w:rsidR="005A0186" w:rsidRPr="71C25300">
        <w:rPr>
          <w:rFonts w:asciiTheme="minorHAnsi" w:eastAsiaTheme="minorEastAsia" w:hAnsiTheme="minorHAnsi" w:cstheme="minorBidi"/>
          <w:sz w:val="22"/>
          <w:szCs w:val="22"/>
        </w:rPr>
        <w:t xml:space="preserve">Although ESG Book is </w:t>
      </w:r>
      <w:r w:rsidRPr="71C25300">
        <w:rPr>
          <w:rFonts w:asciiTheme="minorHAnsi" w:eastAsiaTheme="minorEastAsia" w:hAnsiTheme="minorHAnsi" w:cstheme="minorBidi"/>
          <w:sz w:val="22"/>
          <w:szCs w:val="22"/>
        </w:rPr>
        <w:t xml:space="preserve">a smaller provider subject to </w:t>
      </w:r>
      <w:r w:rsidR="005A0186" w:rsidRPr="71C25300">
        <w:rPr>
          <w:rFonts w:asciiTheme="minorHAnsi" w:eastAsiaTheme="minorEastAsia" w:hAnsiTheme="minorHAnsi" w:cstheme="minorBidi"/>
          <w:sz w:val="22"/>
          <w:szCs w:val="22"/>
        </w:rPr>
        <w:t xml:space="preserve">less onerous </w:t>
      </w:r>
      <w:r w:rsidRPr="71C25300">
        <w:rPr>
          <w:rFonts w:asciiTheme="minorHAnsi" w:eastAsiaTheme="minorEastAsia" w:hAnsiTheme="minorHAnsi" w:cstheme="minorBidi"/>
          <w:sz w:val="22"/>
          <w:szCs w:val="22"/>
        </w:rPr>
        <w:t>regulatory treatment, we strive to be best-in-class in our disclosure practices, particularly regarding methodological clarity and analytical assumptions.</w:t>
      </w:r>
      <w:r w:rsidR="005A0186" w:rsidRPr="71C25300">
        <w:rPr>
          <w:rFonts w:asciiTheme="minorHAnsi" w:eastAsiaTheme="minorEastAsia" w:hAnsiTheme="minorHAnsi" w:cstheme="minorBidi"/>
          <w:sz w:val="22"/>
          <w:szCs w:val="22"/>
        </w:rPr>
        <w:t xml:space="preserve"> </w:t>
      </w:r>
      <w:r w:rsidRPr="71C25300">
        <w:rPr>
          <w:rFonts w:asciiTheme="minorHAnsi" w:eastAsiaTheme="minorEastAsia" w:hAnsiTheme="minorHAnsi" w:cstheme="minorBidi"/>
          <w:sz w:val="22"/>
          <w:szCs w:val="22"/>
        </w:rPr>
        <w:t>We believe that this approach—balancing methodological transparency with flexibility around proprietary data—strikes the right equilibrium between user needs and feasibility for smaller actors in the ESG ratings market</w:t>
      </w:r>
      <w:r w:rsidRPr="71C25300">
        <w:rPr>
          <w:rFonts w:ascii="Helvetica Neue" w:eastAsia="Helvetica Neue" w:hAnsi="Helvetica Neue" w:cs="Helvetica Neue"/>
          <w:sz w:val="19"/>
          <w:szCs w:val="19"/>
        </w:rPr>
        <w:t>.</w:t>
      </w:r>
    </w:p>
    <w:p w14:paraId="2766D898" w14:textId="1BB180AD" w:rsidR="6E4770AE" w:rsidRDefault="6E4770AE" w:rsidP="6E4770AE">
      <w:pPr>
        <w:rPr>
          <w:rFonts w:ascii="Helvetica Neue" w:eastAsia="Helvetica Neue" w:hAnsi="Helvetica Neue" w:cs="Helvetica Neue"/>
          <w:sz w:val="19"/>
          <w:szCs w:val="19"/>
        </w:rPr>
      </w:pPr>
    </w:p>
    <w:p w14:paraId="77645EA9" w14:textId="67311EC5"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322B55">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_3&gt;</w:t>
      </w:r>
    </w:p>
    <w:p w14:paraId="4493DB34" w14:textId="607905CA" w:rsidR="00655791" w:rsidRDefault="00655791" w:rsidP="27D78D99">
      <w:pPr>
        <w:pStyle w:val="Paragraph"/>
        <w:numPr>
          <w:ilvl w:val="0"/>
          <w:numId w:val="0"/>
        </w:numPr>
        <w:ind w:left="708" w:hanging="708"/>
        <w:rPr>
          <w:b/>
          <w:bCs/>
        </w:rPr>
      </w:pPr>
      <w:r w:rsidRPr="27D78D99">
        <w:rPr>
          <w:b/>
          <w:bCs/>
        </w:rPr>
        <w:t>Q4.</w:t>
      </w:r>
      <w:r>
        <w:tab/>
      </w:r>
      <w:r w:rsidR="00513DA2" w:rsidRPr="27D78D99">
        <w:rPr>
          <w:b/>
          <w:bCs/>
        </w:rPr>
        <w:t>Do you consider that the draft technical standards under Articles 23(4) or 24(3) should instead provide an expanded table in Annex proposing a sequence and structure for all disclosures to be made under parts 1 and 2 of Annex III? If yes, please explain the benefits of such an approach.</w:t>
      </w:r>
    </w:p>
    <w:p w14:paraId="052AF9D6" w14:textId="43D4216A"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655791">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_4&gt;</w:t>
      </w:r>
    </w:p>
    <w:p w14:paraId="6D192950" w14:textId="427C153E" w:rsidR="382FF82C" w:rsidRDefault="382FF82C" w:rsidP="1BF42B67">
      <w:pPr>
        <w:spacing w:before="240" w:after="240"/>
        <w:rPr>
          <w:rFonts w:asciiTheme="minorHAnsi" w:eastAsiaTheme="minorEastAsia" w:hAnsiTheme="minorHAnsi" w:cstheme="minorBidi"/>
          <w:sz w:val="22"/>
          <w:szCs w:val="22"/>
        </w:rPr>
      </w:pPr>
      <w:permStart w:id="1645309941" w:edGrp="everyone"/>
      <w:permEnd w:id="1645309941"/>
      <w:r w:rsidRPr="1BF42B67">
        <w:rPr>
          <w:rFonts w:asciiTheme="minorHAnsi" w:eastAsiaTheme="minorEastAsia" w:hAnsiTheme="minorHAnsi" w:cstheme="minorBidi"/>
          <w:sz w:val="22"/>
          <w:szCs w:val="22"/>
        </w:rPr>
        <w:t xml:space="preserve">A standardised disclosure sequence </w:t>
      </w:r>
      <w:r w:rsidR="005A0186" w:rsidRPr="1BF42B67">
        <w:rPr>
          <w:rFonts w:asciiTheme="minorHAnsi" w:eastAsiaTheme="minorEastAsia" w:hAnsiTheme="minorHAnsi" w:cstheme="minorBidi"/>
          <w:sz w:val="22"/>
          <w:szCs w:val="22"/>
        </w:rPr>
        <w:t xml:space="preserve">would </w:t>
      </w:r>
      <w:r w:rsidRPr="1BF42B67">
        <w:rPr>
          <w:rFonts w:asciiTheme="minorHAnsi" w:eastAsiaTheme="minorEastAsia" w:hAnsiTheme="minorHAnsi" w:cstheme="minorBidi"/>
          <w:sz w:val="22"/>
          <w:szCs w:val="22"/>
        </w:rPr>
        <w:t xml:space="preserve">ensure that all providers present key information (methodologies, data sources, limitations, etc.) in a uniform order and format. This directly supports comparability across ESG ratings. ESG rating providers will be less likely to misinterpret disclosure expectations or omit required information if a clear, ordered template is provided. </w:t>
      </w:r>
      <w:r w:rsidR="00332A09" w:rsidRPr="1BF42B67">
        <w:rPr>
          <w:rFonts w:asciiTheme="minorHAnsi" w:eastAsiaTheme="minorEastAsia" w:hAnsiTheme="minorHAnsi" w:cstheme="minorBidi"/>
          <w:sz w:val="22"/>
          <w:szCs w:val="22"/>
        </w:rPr>
        <w:t xml:space="preserve">This can be particularly </w:t>
      </w:r>
      <w:r w:rsidRPr="1BF42B67">
        <w:rPr>
          <w:rFonts w:asciiTheme="minorHAnsi" w:eastAsiaTheme="minorEastAsia" w:hAnsiTheme="minorHAnsi" w:cstheme="minorBidi"/>
          <w:sz w:val="22"/>
          <w:szCs w:val="22"/>
        </w:rPr>
        <w:t xml:space="preserve">important for </w:t>
      </w:r>
      <w:r w:rsidRPr="00007BFC">
        <w:rPr>
          <w:rFonts w:asciiTheme="minorHAnsi" w:eastAsiaTheme="minorEastAsia" w:hAnsiTheme="minorHAnsi" w:cstheme="minorBidi"/>
          <w:sz w:val="22"/>
          <w:szCs w:val="22"/>
        </w:rPr>
        <w:t>s</w:t>
      </w:r>
      <w:r w:rsidRPr="1BF42B67">
        <w:rPr>
          <w:rFonts w:asciiTheme="minorHAnsi" w:eastAsiaTheme="minorEastAsia" w:hAnsiTheme="minorHAnsi" w:cstheme="minorBidi"/>
          <w:sz w:val="22"/>
          <w:szCs w:val="22"/>
        </w:rPr>
        <w:t>maller providers that may not have a compliance team.</w:t>
      </w:r>
      <w:r w:rsidR="3DB1A8AD" w:rsidRPr="1BF42B67">
        <w:rPr>
          <w:rFonts w:asciiTheme="minorHAnsi" w:eastAsiaTheme="minorEastAsia" w:hAnsiTheme="minorHAnsi" w:cstheme="minorBidi"/>
          <w:sz w:val="22"/>
          <w:szCs w:val="22"/>
        </w:rPr>
        <w:t xml:space="preserve"> For users of ESG ratings (investors, rated entities, public) a consistent structure </w:t>
      </w:r>
      <w:r w:rsidR="5914E537" w:rsidRPr="1BF42B67">
        <w:rPr>
          <w:rFonts w:asciiTheme="minorHAnsi" w:eastAsiaTheme="minorEastAsia" w:hAnsiTheme="minorHAnsi" w:cstheme="minorBidi"/>
          <w:sz w:val="22"/>
          <w:szCs w:val="22"/>
        </w:rPr>
        <w:t>optimizes efficiency</w:t>
      </w:r>
      <w:r w:rsidR="3DB1A8AD" w:rsidRPr="1BF42B67">
        <w:rPr>
          <w:rFonts w:asciiTheme="minorHAnsi" w:eastAsiaTheme="minorEastAsia" w:hAnsiTheme="minorHAnsi" w:cstheme="minorBidi"/>
          <w:sz w:val="22"/>
          <w:szCs w:val="22"/>
        </w:rPr>
        <w:t xml:space="preserve">. For example, knowing that Section 1 will always contain methodology, Section 2 data limitations, etc., increases transparency and trust in the ratings ecosystem. </w:t>
      </w:r>
    </w:p>
    <w:p w14:paraId="2D473CFE" w14:textId="1CE05C8A" w:rsidR="70DAB62D" w:rsidRDefault="70DAB62D" w:rsidP="6E4770AE">
      <w:pPr>
        <w:spacing w:before="240" w:after="240"/>
      </w:pPr>
      <w:r w:rsidRPr="6E4770AE">
        <w:rPr>
          <w:rFonts w:ascii="Arial" w:eastAsia="Arial" w:hAnsi="Arial" w:cs="Arial"/>
          <w:sz w:val="22"/>
          <w:szCs w:val="22"/>
        </w:rPr>
        <w:t xml:space="preserve">Providing a sequenced and structured table for disclosures under Annex III would </w:t>
      </w:r>
      <w:r w:rsidRPr="00007BFC">
        <w:rPr>
          <w:rFonts w:ascii="Arial" w:eastAsia="Arial" w:hAnsi="Arial" w:cs="Arial"/>
          <w:sz w:val="22"/>
          <w:szCs w:val="22"/>
        </w:rPr>
        <w:t>prevent the use of opaque or “black box” methodologies</w:t>
      </w:r>
      <w:r w:rsidRPr="6E4770AE">
        <w:rPr>
          <w:rFonts w:ascii="Arial" w:eastAsia="Arial" w:hAnsi="Arial" w:cs="Arial"/>
          <w:sz w:val="22"/>
          <w:szCs w:val="22"/>
        </w:rPr>
        <w:t xml:space="preserve"> by ensuring all ESG rating providers disclose key assumptions, data inputs, and processes in a </w:t>
      </w:r>
      <w:r w:rsidRPr="00007BFC">
        <w:rPr>
          <w:rFonts w:ascii="Arial" w:eastAsia="Arial" w:hAnsi="Arial" w:cs="Arial"/>
          <w:sz w:val="22"/>
          <w:szCs w:val="22"/>
        </w:rPr>
        <w:t>transparent, standardised manner</w:t>
      </w:r>
      <w:r w:rsidRPr="6E4770AE">
        <w:rPr>
          <w:rFonts w:ascii="Arial" w:eastAsia="Arial" w:hAnsi="Arial" w:cs="Arial"/>
          <w:sz w:val="22"/>
          <w:szCs w:val="22"/>
        </w:rPr>
        <w:t>.</w:t>
      </w:r>
    </w:p>
    <w:p w14:paraId="5B1E345B" w14:textId="22F071C3" w:rsidR="70DAB62D" w:rsidRDefault="70DAB62D" w:rsidP="6E4770AE">
      <w:pPr>
        <w:spacing w:before="240" w:after="240"/>
        <w:rPr>
          <w:rFonts w:ascii="Arial" w:eastAsia="Arial" w:hAnsi="Arial" w:cs="Arial"/>
          <w:sz w:val="22"/>
          <w:szCs w:val="22"/>
        </w:rPr>
      </w:pPr>
      <w:r w:rsidRPr="27D78D99">
        <w:rPr>
          <w:rFonts w:ascii="Arial" w:eastAsia="Arial" w:hAnsi="Arial" w:cs="Arial"/>
          <w:sz w:val="22"/>
          <w:szCs w:val="22"/>
        </w:rPr>
        <w:t xml:space="preserve">A uniform structure forces disclosure of methodological choices and data limitations in a comparable format. It makes it harder for providers to hide behind proprietary language or vague explanations. This approach </w:t>
      </w:r>
      <w:r w:rsidR="00332A09" w:rsidRPr="27D78D99">
        <w:rPr>
          <w:rFonts w:ascii="Arial" w:eastAsia="Arial" w:hAnsi="Arial" w:cs="Arial"/>
          <w:sz w:val="22"/>
          <w:szCs w:val="22"/>
        </w:rPr>
        <w:t>i</w:t>
      </w:r>
      <w:r w:rsidRPr="27D78D99">
        <w:rPr>
          <w:rFonts w:ascii="Arial" w:eastAsia="Arial" w:hAnsi="Arial" w:cs="Arial"/>
          <w:sz w:val="22"/>
          <w:szCs w:val="22"/>
        </w:rPr>
        <w:t>ncreases accountability by ensuring stakeholders can trace how scores are derived and understand the rationale behind them.</w:t>
      </w:r>
    </w:p>
    <w:p w14:paraId="0EFC77F0" w14:textId="7301DC4E"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655791">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_4&gt;</w:t>
      </w:r>
    </w:p>
    <w:p w14:paraId="0691FCAC" w14:textId="5B24CD2A" w:rsidR="001B1B48" w:rsidRPr="00EA357E" w:rsidRDefault="00EA357E" w:rsidP="00EA357E">
      <w:pPr>
        <w:pStyle w:val="Paragraph"/>
        <w:numPr>
          <w:ilvl w:val="0"/>
          <w:numId w:val="0"/>
        </w:numPr>
        <w:rPr>
          <w:b/>
          <w:bCs/>
        </w:rPr>
      </w:pPr>
      <w:r w:rsidRPr="00EA357E">
        <w:rPr>
          <w:b/>
          <w:bCs/>
        </w:rPr>
        <w:t xml:space="preserve">Q5 </w:t>
      </w:r>
      <w:r w:rsidRPr="00EA357E">
        <w:rPr>
          <w:b/>
          <w:bCs/>
        </w:rPr>
        <w:tab/>
        <w:t>Do you agree with ESMA’s proposed cost benefit analysis? If not, please explain.</w:t>
      </w:r>
    </w:p>
    <w:p w14:paraId="2996F4BA" w14:textId="36938C88"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EA357E">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_5&gt;</w:t>
      </w:r>
    </w:p>
    <w:p w14:paraId="62852FF2" w14:textId="270B3FD7" w:rsidR="5E70AC40" w:rsidRDefault="5E70AC40" w:rsidP="6E4770AE">
      <w:pPr>
        <w:rPr>
          <w:rFonts w:asciiTheme="minorHAnsi" w:eastAsiaTheme="minorEastAsia" w:hAnsiTheme="minorHAnsi" w:cstheme="minorBidi"/>
          <w:sz w:val="22"/>
          <w:szCs w:val="22"/>
        </w:rPr>
      </w:pPr>
      <w:permStart w:id="159149139" w:edGrp="everyone"/>
      <w:permEnd w:id="159149139"/>
      <w:r w:rsidRPr="6E4770AE">
        <w:rPr>
          <w:rFonts w:asciiTheme="minorHAnsi" w:eastAsiaTheme="minorEastAsia" w:hAnsiTheme="minorHAnsi" w:cstheme="minorBidi"/>
          <w:sz w:val="22"/>
          <w:szCs w:val="22"/>
        </w:rPr>
        <w:t xml:space="preserve">1. </w:t>
      </w:r>
      <w:r w:rsidRPr="6E4770AE">
        <w:rPr>
          <w:rFonts w:asciiTheme="minorHAnsi" w:eastAsiaTheme="minorEastAsia" w:hAnsiTheme="minorHAnsi" w:cstheme="minorBidi"/>
          <w:b/>
          <w:bCs/>
          <w:sz w:val="22"/>
          <w:szCs w:val="22"/>
        </w:rPr>
        <w:t>Underestimation of Operational and Technical Costs for Smaller Providers</w:t>
      </w:r>
    </w:p>
    <w:p w14:paraId="527E398A" w14:textId="33517B8C" w:rsidR="6E4770AE" w:rsidRDefault="6E4770AE" w:rsidP="6E4770AE">
      <w:pPr>
        <w:rPr>
          <w:rFonts w:asciiTheme="minorHAnsi" w:eastAsiaTheme="minorEastAsia" w:hAnsiTheme="minorHAnsi" w:cstheme="minorBidi"/>
          <w:sz w:val="22"/>
          <w:szCs w:val="22"/>
        </w:rPr>
      </w:pPr>
    </w:p>
    <w:p w14:paraId="1111CEEA" w14:textId="39FAB770" w:rsidR="5E70AC40" w:rsidRDefault="5E70AC40" w:rsidP="27D78D99">
      <w:pPr>
        <w:rPr>
          <w:rFonts w:asciiTheme="minorHAnsi" w:eastAsiaTheme="minorEastAsia" w:hAnsiTheme="minorHAnsi" w:cstheme="minorBidi"/>
          <w:sz w:val="22"/>
          <w:szCs w:val="22"/>
        </w:rPr>
      </w:pPr>
      <w:r w:rsidRPr="27D78D99">
        <w:rPr>
          <w:rFonts w:asciiTheme="minorHAnsi" w:eastAsiaTheme="minorEastAsia" w:hAnsiTheme="minorHAnsi" w:cstheme="minorBidi"/>
          <w:sz w:val="22"/>
          <w:szCs w:val="22"/>
        </w:rPr>
        <w:t xml:space="preserve">The CBA assumes that many disclosure, organisational, and IT compliance measures are already in place or trivial to implement. For smaller ESG rating providers, establishing separate operational structures, physical and IT firewalls, and additional compliance monitoring introduces material fixed costs—these may not be proportionate to </w:t>
      </w:r>
      <w:r w:rsidR="00971451" w:rsidRPr="27D78D99">
        <w:rPr>
          <w:rFonts w:asciiTheme="minorHAnsi" w:eastAsiaTheme="minorEastAsia" w:hAnsiTheme="minorHAnsi" w:cstheme="minorBidi"/>
          <w:sz w:val="22"/>
          <w:szCs w:val="22"/>
        </w:rPr>
        <w:t xml:space="preserve">some organisations’ </w:t>
      </w:r>
      <w:r w:rsidRPr="27D78D99">
        <w:rPr>
          <w:rFonts w:asciiTheme="minorHAnsi" w:eastAsiaTheme="minorEastAsia" w:hAnsiTheme="minorHAnsi" w:cstheme="minorBidi"/>
          <w:sz w:val="22"/>
          <w:szCs w:val="22"/>
        </w:rPr>
        <w:t>size or business model.</w:t>
      </w:r>
    </w:p>
    <w:p w14:paraId="7C53A4AA" w14:textId="6A2CBCBD" w:rsidR="6E4770AE" w:rsidRDefault="6E4770AE" w:rsidP="6E4770AE">
      <w:pPr>
        <w:rPr>
          <w:rFonts w:asciiTheme="minorHAnsi" w:eastAsiaTheme="minorEastAsia" w:hAnsiTheme="minorHAnsi" w:cstheme="minorBidi"/>
          <w:sz w:val="22"/>
          <w:szCs w:val="22"/>
        </w:rPr>
      </w:pPr>
    </w:p>
    <w:p w14:paraId="39695BEA" w14:textId="7E9FECC5" w:rsidR="5E70AC40" w:rsidRDefault="3B6DBE3D" w:rsidP="6E4770AE">
      <w:pPr>
        <w:rPr>
          <w:rFonts w:asciiTheme="minorHAnsi" w:eastAsiaTheme="minorEastAsia" w:hAnsiTheme="minorHAnsi" w:cstheme="minorBidi"/>
          <w:sz w:val="22"/>
          <w:szCs w:val="22"/>
        </w:rPr>
      </w:pPr>
      <w:r w:rsidRPr="5C0F4DAE">
        <w:rPr>
          <w:rFonts w:asciiTheme="minorHAnsi" w:eastAsiaTheme="minorEastAsia" w:hAnsiTheme="minorHAnsi" w:cstheme="minorBidi"/>
          <w:sz w:val="22"/>
          <w:szCs w:val="22"/>
        </w:rPr>
        <w:t>2.</w:t>
      </w:r>
      <w:r w:rsidR="5E70AC40" w:rsidRPr="6E4770AE">
        <w:rPr>
          <w:rFonts w:asciiTheme="minorHAnsi" w:eastAsiaTheme="minorEastAsia" w:hAnsiTheme="minorHAnsi" w:cstheme="minorBidi"/>
          <w:sz w:val="22"/>
          <w:szCs w:val="22"/>
        </w:rPr>
        <w:t xml:space="preserve"> </w:t>
      </w:r>
      <w:r w:rsidR="5E70AC40" w:rsidRPr="6E4770AE">
        <w:rPr>
          <w:rFonts w:asciiTheme="minorHAnsi" w:eastAsiaTheme="minorEastAsia" w:hAnsiTheme="minorHAnsi" w:cstheme="minorBidi"/>
          <w:b/>
          <w:bCs/>
          <w:sz w:val="22"/>
          <w:szCs w:val="22"/>
        </w:rPr>
        <w:t>Disproportionate Burden of Separation of Activities RTS</w:t>
      </w:r>
    </w:p>
    <w:p w14:paraId="285B9474" w14:textId="138F4866" w:rsidR="5E70AC40" w:rsidRDefault="5E70AC40" w:rsidP="27D78D99">
      <w:pPr>
        <w:rPr>
          <w:rFonts w:asciiTheme="minorHAnsi" w:eastAsiaTheme="minorEastAsia" w:hAnsiTheme="minorHAnsi" w:cstheme="minorBidi"/>
          <w:sz w:val="22"/>
          <w:szCs w:val="22"/>
        </w:rPr>
      </w:pPr>
      <w:r w:rsidRPr="27D78D99">
        <w:rPr>
          <w:rFonts w:asciiTheme="minorHAnsi" w:eastAsiaTheme="minorEastAsia" w:hAnsiTheme="minorHAnsi" w:cstheme="minorBidi"/>
          <w:sz w:val="22"/>
          <w:szCs w:val="22"/>
        </w:rPr>
        <w:t xml:space="preserve">The requirement to set up separate office spaces, technical infrastructure, internal control functions, and training procedures to comply with Article 16(1)(c)(d)(f) creates a disproportionate cost for </w:t>
      </w:r>
      <w:r w:rsidR="002F1E3D" w:rsidRPr="27D78D99">
        <w:rPr>
          <w:rFonts w:asciiTheme="minorHAnsi" w:eastAsiaTheme="minorEastAsia" w:hAnsiTheme="minorHAnsi" w:cstheme="minorBidi"/>
          <w:sz w:val="22"/>
          <w:szCs w:val="22"/>
        </w:rPr>
        <w:t xml:space="preserve">boutique </w:t>
      </w:r>
      <w:r w:rsidRPr="27D78D99">
        <w:rPr>
          <w:rFonts w:asciiTheme="minorHAnsi" w:eastAsiaTheme="minorEastAsia" w:hAnsiTheme="minorHAnsi" w:cstheme="minorBidi"/>
          <w:sz w:val="22"/>
          <w:szCs w:val="22"/>
        </w:rPr>
        <w:t>or specialist providers. This may discourage innovation, limit market entry, or force smaller firms to reduce their service scope to remain compliant.</w:t>
      </w:r>
    </w:p>
    <w:p w14:paraId="5044B77C" w14:textId="2D54818A" w:rsidR="6E4770AE" w:rsidRDefault="6E4770AE" w:rsidP="6E4770AE">
      <w:pPr>
        <w:rPr>
          <w:rFonts w:asciiTheme="minorHAnsi" w:eastAsiaTheme="minorEastAsia" w:hAnsiTheme="minorHAnsi" w:cstheme="minorBidi"/>
          <w:sz w:val="22"/>
          <w:szCs w:val="22"/>
        </w:rPr>
      </w:pPr>
    </w:p>
    <w:p w14:paraId="5A29D6A0" w14:textId="6796302D" w:rsidR="5E70AC40" w:rsidRDefault="00A45675" w:rsidP="71C25300">
      <w:pPr>
        <w:rPr>
          <w:rFonts w:asciiTheme="minorHAnsi" w:eastAsiaTheme="minorEastAsia" w:hAnsiTheme="minorHAnsi" w:cstheme="minorBidi"/>
          <w:sz w:val="22"/>
          <w:szCs w:val="22"/>
        </w:rPr>
      </w:pPr>
      <w:r w:rsidRPr="71C25300">
        <w:rPr>
          <w:rFonts w:asciiTheme="minorHAnsi" w:eastAsiaTheme="minorEastAsia" w:hAnsiTheme="minorHAnsi" w:cstheme="minorBidi"/>
          <w:sz w:val="22"/>
          <w:szCs w:val="22"/>
        </w:rPr>
        <w:t xml:space="preserve">ESG Book wholeheartedly </w:t>
      </w:r>
      <w:r w:rsidR="5E70AC40" w:rsidRPr="71C25300">
        <w:rPr>
          <w:rFonts w:asciiTheme="minorHAnsi" w:eastAsiaTheme="minorEastAsia" w:hAnsiTheme="minorHAnsi" w:cstheme="minorBidi"/>
          <w:sz w:val="22"/>
          <w:szCs w:val="22"/>
        </w:rPr>
        <w:t>support</w:t>
      </w:r>
      <w:r w:rsidRPr="71C25300">
        <w:rPr>
          <w:rFonts w:asciiTheme="minorHAnsi" w:eastAsiaTheme="minorEastAsia" w:hAnsiTheme="minorHAnsi" w:cstheme="minorBidi"/>
          <w:sz w:val="22"/>
          <w:szCs w:val="22"/>
        </w:rPr>
        <w:t>s</w:t>
      </w:r>
      <w:r w:rsidR="5E70AC40" w:rsidRPr="71C25300">
        <w:rPr>
          <w:rFonts w:asciiTheme="minorHAnsi" w:eastAsiaTheme="minorEastAsia" w:hAnsiTheme="minorHAnsi" w:cstheme="minorBidi"/>
          <w:sz w:val="22"/>
          <w:szCs w:val="22"/>
        </w:rPr>
        <w:t xml:space="preserve"> the goal of increased transparency, comparability, and conflict of interest mitigation in the ESG ratings market. We encourage ESMA to:</w:t>
      </w:r>
    </w:p>
    <w:p w14:paraId="071489A7" w14:textId="16319157" w:rsidR="5E70AC40" w:rsidRDefault="5E70AC40" w:rsidP="6E4770AE">
      <w:pPr>
        <w:pStyle w:val="ListParagraph"/>
        <w:rPr>
          <w:rFonts w:eastAsiaTheme="minorEastAsia" w:cstheme="minorBidi"/>
        </w:rPr>
      </w:pPr>
      <w:r w:rsidRPr="6E4770AE">
        <w:rPr>
          <w:rFonts w:eastAsiaTheme="minorEastAsia" w:cstheme="minorBidi"/>
        </w:rPr>
        <w:t>Clarify proportionality mechanisms for smaller providers, possibly through thresholds or simplified templates.</w:t>
      </w:r>
    </w:p>
    <w:p w14:paraId="7DC4CC80" w14:textId="54E572DE" w:rsidR="5E70AC40" w:rsidRDefault="5E70AC40" w:rsidP="27D78D99">
      <w:pPr>
        <w:pStyle w:val="ListParagraph"/>
        <w:rPr>
          <w:rFonts w:eastAsiaTheme="minorEastAsia" w:cstheme="minorBidi"/>
        </w:rPr>
      </w:pPr>
      <w:r w:rsidRPr="27D78D99">
        <w:rPr>
          <w:rFonts w:eastAsiaTheme="minorEastAsia" w:cstheme="minorBidi"/>
        </w:rPr>
        <w:t xml:space="preserve">Introduce transitional periods or phased compliance </w:t>
      </w:r>
      <w:r w:rsidR="00677A55" w:rsidRPr="27D78D99">
        <w:rPr>
          <w:rFonts w:eastAsiaTheme="minorEastAsia" w:cstheme="minorBidi"/>
        </w:rPr>
        <w:t xml:space="preserve">mechanisms </w:t>
      </w:r>
      <w:r w:rsidRPr="27D78D99">
        <w:rPr>
          <w:rFonts w:eastAsiaTheme="minorEastAsia" w:cstheme="minorBidi"/>
        </w:rPr>
        <w:t>for smaller firms.</w:t>
      </w:r>
    </w:p>
    <w:p w14:paraId="23376A0C" w14:textId="0104C4F0" w:rsidR="5E70AC40" w:rsidRDefault="5E70AC40" w:rsidP="27D78D99">
      <w:pPr>
        <w:pStyle w:val="ListParagraph"/>
        <w:rPr>
          <w:rFonts w:eastAsiaTheme="minorEastAsia" w:cstheme="minorBidi"/>
        </w:rPr>
      </w:pPr>
      <w:r w:rsidRPr="27D78D99">
        <w:rPr>
          <w:rFonts w:eastAsiaTheme="minorEastAsia" w:cstheme="minorBidi"/>
        </w:rPr>
        <w:t xml:space="preserve">Provide technical guidance and </w:t>
      </w:r>
      <w:r w:rsidR="00677A55" w:rsidRPr="27D78D99">
        <w:rPr>
          <w:rFonts w:eastAsiaTheme="minorEastAsia" w:cstheme="minorBidi"/>
        </w:rPr>
        <w:t xml:space="preserve">standardised </w:t>
      </w:r>
      <w:r w:rsidRPr="27D78D99">
        <w:rPr>
          <w:rFonts w:eastAsiaTheme="minorEastAsia" w:cstheme="minorBidi"/>
        </w:rPr>
        <w:t>templates to reduce the burden of interpretation and implementation.</w:t>
      </w:r>
    </w:p>
    <w:p w14:paraId="3C4BCE88" w14:textId="0BB50188" w:rsidR="5E70AC40" w:rsidRDefault="5E70AC40" w:rsidP="6E4770AE">
      <w:pPr>
        <w:pStyle w:val="ListParagraph"/>
        <w:rPr>
          <w:rFonts w:eastAsiaTheme="minorEastAsia" w:cstheme="minorBidi"/>
        </w:rPr>
      </w:pPr>
      <w:r w:rsidRPr="6E4770AE">
        <w:rPr>
          <w:rFonts w:eastAsiaTheme="minorEastAsia" w:cstheme="minorBidi"/>
        </w:rPr>
        <w:t>Engage in targeted consultation with SME ESG providers to better understand operational realities and calibrate expectations accordingly.</w:t>
      </w:r>
    </w:p>
    <w:p w14:paraId="3875ED23" w14:textId="71710C75" w:rsidR="6E4770AE" w:rsidRDefault="6E4770AE" w:rsidP="6E4770AE">
      <w:pPr>
        <w:pStyle w:val="ListParagraph"/>
        <w:numPr>
          <w:ilvl w:val="0"/>
          <w:numId w:val="0"/>
        </w:numPr>
        <w:ind w:left="720"/>
        <w:rPr>
          <w:rFonts w:ascii="Helvetica Neue" w:eastAsia="Helvetica Neue" w:hAnsi="Helvetica Neue" w:cs="Helvetica Neue"/>
          <w:sz w:val="19"/>
          <w:szCs w:val="19"/>
        </w:rPr>
      </w:pPr>
    </w:p>
    <w:p w14:paraId="2A15B62C" w14:textId="1A40E171"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EA357E">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_5&gt;</w:t>
      </w:r>
    </w:p>
    <w:sectPr w:rsidR="001B1B48" w:rsidRPr="001B1B48"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9DF1E" w14:textId="77777777" w:rsidR="001C7A6A" w:rsidRDefault="001C7A6A" w:rsidP="007E7997">
      <w:r>
        <w:separator/>
      </w:r>
    </w:p>
  </w:endnote>
  <w:endnote w:type="continuationSeparator" w:id="0">
    <w:p w14:paraId="69126607" w14:textId="77777777" w:rsidR="001C7A6A" w:rsidRDefault="001C7A6A" w:rsidP="007E7997">
      <w:r>
        <w:continuationSeparator/>
      </w:r>
    </w:p>
  </w:endnote>
  <w:endnote w:type="continuationNotice" w:id="1">
    <w:p w14:paraId="320E571B" w14:textId="77777777" w:rsidR="001C7A6A" w:rsidRDefault="001C7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69566" w14:textId="77777777" w:rsidR="001C7A6A" w:rsidRDefault="001C7A6A" w:rsidP="007E7997">
      <w:r>
        <w:separator/>
      </w:r>
    </w:p>
  </w:footnote>
  <w:footnote w:type="continuationSeparator" w:id="0">
    <w:p w14:paraId="00308F7B" w14:textId="77777777" w:rsidR="001C7A6A" w:rsidRDefault="001C7A6A" w:rsidP="007E7997">
      <w:r>
        <w:continuationSeparator/>
      </w:r>
    </w:p>
  </w:footnote>
  <w:footnote w:type="continuationNotice" w:id="1">
    <w:p w14:paraId="45B710D8" w14:textId="77777777" w:rsidR="001C7A6A" w:rsidRDefault="001C7A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11D11F90"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 May 2025</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w:t>
    </w:r>
    <w:r w:rsidR="00373AB8">
      <w:rPr>
        <w:rFonts w:asciiTheme="minorHAnsi" w:eastAsiaTheme="minorEastAsia" w:hAnsiTheme="minorHAnsi" w:cstheme="minorBidi"/>
        <w:color w:val="000000" w:themeColor="text1" w:themeShade="80"/>
        <w:sz w:val="16"/>
        <w:szCs w:val="20"/>
        <w:lang w:eastAsia="en-US"/>
      </w:rPr>
      <w:t>84</w:t>
    </w:r>
    <w:r w:rsidR="0013090E" w:rsidRPr="0013090E">
      <w:rPr>
        <w:rFonts w:asciiTheme="minorHAnsi" w:eastAsiaTheme="minorEastAsia" w:hAnsiTheme="minorHAnsi" w:cstheme="minorBidi"/>
        <w:color w:val="000000" w:themeColor="text1" w:themeShade="80"/>
        <w:sz w:val="16"/>
        <w:szCs w:val="20"/>
        <w:lang w:eastAsia="en-US"/>
      </w:rPr>
      <w:t>-</w:t>
    </w:r>
    <w:r w:rsidR="00373AB8">
      <w:rPr>
        <w:rFonts w:asciiTheme="minorHAnsi" w:eastAsiaTheme="minorEastAsia" w:hAnsiTheme="minorHAnsi" w:cstheme="minorBidi"/>
        <w:color w:val="000000" w:themeColor="text1" w:themeShade="80"/>
        <w:sz w:val="16"/>
        <w:szCs w:val="20"/>
        <w:lang w:eastAsia="en-US"/>
      </w:rPr>
      <w:t>858037815-6</w:t>
    </w:r>
    <w:r w:rsidR="006072C6">
      <w:rPr>
        <w:rFonts w:asciiTheme="minorHAnsi" w:eastAsiaTheme="minorEastAsia" w:hAnsiTheme="minorHAnsi" w:cstheme="minorBidi"/>
        <w:color w:val="000000" w:themeColor="text1" w:themeShade="80"/>
        <w:sz w:val="16"/>
        <w:szCs w:val="20"/>
        <w:lang w:eastAsia="en-US"/>
      </w:rPr>
      <w:t>83</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210E4DEB">
            <v:shape id="Freeform: Shape 7"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spid="_x0000_s1026" o:allowoverlap="f" stroked="f" strokeweight="1pt" path="m2939613,926867c5038819,-714379,6826523,267027,7569200,545025r,2628099l7569200,9779055r,l,9779055r,l,3173124,2939613,926867x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w14:anchorId="236AFB6F">
              <v:fill type="frame" o:title="" recolor="t" rotate="t" r:id="rId3"/>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intelligence2.xml><?xml version="1.0" encoding="utf-8"?>
<int2:intelligence xmlns:int2="http://schemas.microsoft.com/office/intelligence/2020/intelligence" xmlns:oel="http://schemas.microsoft.com/office/2019/extlst">
  <int2:observations>
    <int2:bookmark int2:bookmarkName="_Int_xXtVlrjd" int2:invalidationBookmarkName="" int2:hashCode="NARSKtUqeupvey" int2:id="f5sXJ5aK">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7F7C"/>
    <w:multiLevelType w:val="hybridMultilevel"/>
    <w:tmpl w:val="2AB0FEB6"/>
    <w:lvl w:ilvl="0" w:tplc="161CAD24">
      <w:start w:val="1"/>
      <w:numFmt w:val="bullet"/>
      <w:lvlText w:val=""/>
      <w:lvlJc w:val="left"/>
      <w:pPr>
        <w:ind w:left="720" w:hanging="360"/>
      </w:pPr>
      <w:rPr>
        <w:rFonts w:ascii="Symbol" w:hAnsi="Symbol" w:hint="default"/>
      </w:rPr>
    </w:lvl>
    <w:lvl w:ilvl="1" w:tplc="D6760E40">
      <w:start w:val="1"/>
      <w:numFmt w:val="bullet"/>
      <w:lvlText w:val="o"/>
      <w:lvlJc w:val="left"/>
      <w:pPr>
        <w:ind w:left="1440" w:hanging="360"/>
      </w:pPr>
      <w:rPr>
        <w:rFonts w:ascii="Courier New" w:hAnsi="Courier New" w:hint="default"/>
      </w:rPr>
    </w:lvl>
    <w:lvl w:ilvl="2" w:tplc="FA9E4CC8">
      <w:start w:val="1"/>
      <w:numFmt w:val="bullet"/>
      <w:lvlText w:val=""/>
      <w:lvlJc w:val="left"/>
      <w:pPr>
        <w:ind w:left="2160" w:hanging="360"/>
      </w:pPr>
      <w:rPr>
        <w:rFonts w:ascii="Wingdings" w:hAnsi="Wingdings" w:hint="default"/>
      </w:rPr>
    </w:lvl>
    <w:lvl w:ilvl="3" w:tplc="134EDB70">
      <w:start w:val="1"/>
      <w:numFmt w:val="bullet"/>
      <w:lvlText w:val=""/>
      <w:lvlJc w:val="left"/>
      <w:pPr>
        <w:ind w:left="2880" w:hanging="360"/>
      </w:pPr>
      <w:rPr>
        <w:rFonts w:ascii="Symbol" w:hAnsi="Symbol" w:hint="default"/>
      </w:rPr>
    </w:lvl>
    <w:lvl w:ilvl="4" w:tplc="EA404FCA">
      <w:start w:val="1"/>
      <w:numFmt w:val="bullet"/>
      <w:lvlText w:val="o"/>
      <w:lvlJc w:val="left"/>
      <w:pPr>
        <w:ind w:left="3600" w:hanging="360"/>
      </w:pPr>
      <w:rPr>
        <w:rFonts w:ascii="Courier New" w:hAnsi="Courier New" w:hint="default"/>
      </w:rPr>
    </w:lvl>
    <w:lvl w:ilvl="5" w:tplc="6D56DF50">
      <w:start w:val="1"/>
      <w:numFmt w:val="bullet"/>
      <w:lvlText w:val=""/>
      <w:lvlJc w:val="left"/>
      <w:pPr>
        <w:ind w:left="4320" w:hanging="360"/>
      </w:pPr>
      <w:rPr>
        <w:rFonts w:ascii="Wingdings" w:hAnsi="Wingdings" w:hint="default"/>
      </w:rPr>
    </w:lvl>
    <w:lvl w:ilvl="6" w:tplc="93AA8E2E">
      <w:start w:val="1"/>
      <w:numFmt w:val="bullet"/>
      <w:lvlText w:val=""/>
      <w:lvlJc w:val="left"/>
      <w:pPr>
        <w:ind w:left="5040" w:hanging="360"/>
      </w:pPr>
      <w:rPr>
        <w:rFonts w:ascii="Symbol" w:hAnsi="Symbol" w:hint="default"/>
      </w:rPr>
    </w:lvl>
    <w:lvl w:ilvl="7" w:tplc="0E2C2812">
      <w:start w:val="1"/>
      <w:numFmt w:val="bullet"/>
      <w:lvlText w:val="o"/>
      <w:lvlJc w:val="left"/>
      <w:pPr>
        <w:ind w:left="5760" w:hanging="360"/>
      </w:pPr>
      <w:rPr>
        <w:rFonts w:ascii="Courier New" w:hAnsi="Courier New" w:hint="default"/>
      </w:rPr>
    </w:lvl>
    <w:lvl w:ilvl="8" w:tplc="9BF0DE4A">
      <w:start w:val="1"/>
      <w:numFmt w:val="bullet"/>
      <w:lvlText w:val=""/>
      <w:lvlJc w:val="left"/>
      <w:pPr>
        <w:ind w:left="6480" w:hanging="360"/>
      </w:pPr>
      <w:rPr>
        <w:rFonts w:ascii="Wingdings" w:hAnsi="Wingdings" w:hint="default"/>
      </w:rPr>
    </w:lvl>
  </w:abstractNum>
  <w:abstractNum w:abstractNumId="1"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BD05AD2"/>
    <w:multiLevelType w:val="hybridMultilevel"/>
    <w:tmpl w:val="E54A06DE"/>
    <w:lvl w:ilvl="0" w:tplc="B22CD6FE">
      <w:start w:val="1"/>
      <w:numFmt w:val="decimal"/>
      <w:lvlText w:val="%1."/>
      <w:lvlJc w:val="left"/>
      <w:pPr>
        <w:ind w:left="720" w:hanging="360"/>
      </w:pPr>
    </w:lvl>
    <w:lvl w:ilvl="1" w:tplc="71E264F6">
      <w:start w:val="1"/>
      <w:numFmt w:val="lowerLetter"/>
      <w:lvlText w:val="%2."/>
      <w:lvlJc w:val="left"/>
      <w:pPr>
        <w:ind w:left="1440" w:hanging="360"/>
      </w:pPr>
    </w:lvl>
    <w:lvl w:ilvl="2" w:tplc="B8FACF7A">
      <w:start w:val="1"/>
      <w:numFmt w:val="lowerRoman"/>
      <w:lvlText w:val="%3."/>
      <w:lvlJc w:val="right"/>
      <w:pPr>
        <w:ind w:left="2160" w:hanging="180"/>
      </w:pPr>
    </w:lvl>
    <w:lvl w:ilvl="3" w:tplc="FE407044">
      <w:start w:val="1"/>
      <w:numFmt w:val="decimal"/>
      <w:lvlText w:val="%4."/>
      <w:lvlJc w:val="left"/>
      <w:pPr>
        <w:ind w:left="2880" w:hanging="360"/>
      </w:pPr>
    </w:lvl>
    <w:lvl w:ilvl="4" w:tplc="739C8522">
      <w:start w:val="1"/>
      <w:numFmt w:val="lowerLetter"/>
      <w:lvlText w:val="%5."/>
      <w:lvlJc w:val="left"/>
      <w:pPr>
        <w:ind w:left="3600" w:hanging="360"/>
      </w:pPr>
    </w:lvl>
    <w:lvl w:ilvl="5" w:tplc="094015B0">
      <w:start w:val="1"/>
      <w:numFmt w:val="lowerRoman"/>
      <w:lvlText w:val="%6."/>
      <w:lvlJc w:val="right"/>
      <w:pPr>
        <w:ind w:left="4320" w:hanging="180"/>
      </w:pPr>
    </w:lvl>
    <w:lvl w:ilvl="6" w:tplc="65C6C7B0">
      <w:start w:val="1"/>
      <w:numFmt w:val="decimal"/>
      <w:lvlText w:val="%7."/>
      <w:lvlJc w:val="left"/>
      <w:pPr>
        <w:ind w:left="5040" w:hanging="360"/>
      </w:pPr>
    </w:lvl>
    <w:lvl w:ilvl="7" w:tplc="69266A4E">
      <w:start w:val="1"/>
      <w:numFmt w:val="lowerLetter"/>
      <w:lvlText w:val="%8."/>
      <w:lvlJc w:val="left"/>
      <w:pPr>
        <w:ind w:left="5760" w:hanging="360"/>
      </w:pPr>
    </w:lvl>
    <w:lvl w:ilvl="8" w:tplc="C6227E20">
      <w:start w:val="1"/>
      <w:numFmt w:val="lowerRoman"/>
      <w:lvlText w:val="%9."/>
      <w:lvlJc w:val="right"/>
      <w:pPr>
        <w:ind w:left="6480" w:hanging="180"/>
      </w:pPr>
    </w:lvl>
  </w:abstractNum>
  <w:abstractNum w:abstractNumId="6"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56667401">
    <w:abstractNumId w:val="5"/>
  </w:num>
  <w:num w:numId="2" w16cid:durableId="1336346415">
    <w:abstractNumId w:val="0"/>
  </w:num>
  <w:num w:numId="3" w16cid:durableId="1938975619">
    <w:abstractNumId w:val="3"/>
  </w:num>
  <w:num w:numId="4" w16cid:durableId="1495532731">
    <w:abstractNumId w:val="3"/>
  </w:num>
  <w:num w:numId="5" w16cid:durableId="994409496">
    <w:abstractNumId w:val="26"/>
  </w:num>
  <w:num w:numId="6" w16cid:durableId="1880320868">
    <w:abstractNumId w:val="4"/>
  </w:num>
  <w:num w:numId="7" w16cid:durableId="290864581">
    <w:abstractNumId w:val="15"/>
  </w:num>
  <w:num w:numId="8" w16cid:durableId="952590553">
    <w:abstractNumId w:val="28"/>
  </w:num>
  <w:num w:numId="9" w16cid:durableId="1159686949">
    <w:abstractNumId w:val="14"/>
  </w:num>
  <w:num w:numId="10" w16cid:durableId="765269892">
    <w:abstractNumId w:val="7"/>
  </w:num>
  <w:num w:numId="11" w16cid:durableId="1301960395">
    <w:abstractNumId w:val="10"/>
  </w:num>
  <w:num w:numId="12" w16cid:durableId="1228616548">
    <w:abstractNumId w:val="9"/>
  </w:num>
  <w:num w:numId="13" w16cid:durableId="2051027016">
    <w:abstractNumId w:val="8"/>
  </w:num>
  <w:num w:numId="14" w16cid:durableId="83380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94756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7849168">
    <w:abstractNumId w:val="29"/>
  </w:num>
  <w:num w:numId="17" w16cid:durableId="986476960">
    <w:abstractNumId w:val="23"/>
  </w:num>
  <w:num w:numId="18" w16cid:durableId="398749299">
    <w:abstractNumId w:val="27"/>
  </w:num>
  <w:num w:numId="19" w16cid:durableId="14076118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9762317">
    <w:abstractNumId w:val="24"/>
  </w:num>
  <w:num w:numId="21" w16cid:durableId="558588771">
    <w:abstractNumId w:val="28"/>
  </w:num>
  <w:num w:numId="22" w16cid:durableId="1306933315">
    <w:abstractNumId w:val="12"/>
  </w:num>
  <w:num w:numId="23" w16cid:durableId="1623876054">
    <w:abstractNumId w:val="25"/>
  </w:num>
  <w:num w:numId="24" w16cid:durableId="783383837">
    <w:abstractNumId w:val="16"/>
  </w:num>
  <w:num w:numId="25" w16cid:durableId="2112964618">
    <w:abstractNumId w:val="22"/>
  </w:num>
  <w:num w:numId="26" w16cid:durableId="1958565453">
    <w:abstractNumId w:val="1"/>
  </w:num>
  <w:num w:numId="27" w16cid:durableId="1372725395">
    <w:abstractNumId w:val="20"/>
  </w:num>
  <w:num w:numId="28" w16cid:durableId="1686445133">
    <w:abstractNumId w:val="18"/>
  </w:num>
  <w:num w:numId="29" w16cid:durableId="1247768697">
    <w:abstractNumId w:val="11"/>
  </w:num>
  <w:num w:numId="30" w16cid:durableId="954170948">
    <w:abstractNumId w:val="2"/>
  </w:num>
  <w:num w:numId="31" w16cid:durableId="837424337">
    <w:abstractNumId w:val="19"/>
  </w:num>
  <w:num w:numId="32" w16cid:durableId="299657983">
    <w:abstractNumId w:val="6"/>
  </w:num>
  <w:num w:numId="33" w16cid:durableId="699822250">
    <w:abstractNumId w:val="17"/>
  </w:num>
  <w:num w:numId="34" w16cid:durableId="730466929">
    <w:abstractNumId w:val="13"/>
    <w:lvlOverride w:ilvl="0">
      <w:startOverride w:val="1"/>
    </w:lvlOverride>
  </w:num>
  <w:num w:numId="35" w16cid:durableId="552498262">
    <w:abstractNumId w:val="21"/>
  </w:num>
  <w:num w:numId="36" w16cid:durableId="1829132647">
    <w:abstractNumId w:val="13"/>
    <w:lvlOverride w:ilvl="0">
      <w:startOverride w:val="1"/>
    </w:lvlOverride>
  </w:num>
  <w:num w:numId="37" w16cid:durableId="1915964461">
    <w:abstractNumId w:val="13"/>
    <w:lvlOverride w:ilvl="0">
      <w:startOverride w:val="1"/>
    </w:lvlOverride>
  </w:num>
  <w:num w:numId="38" w16cid:durableId="1385182617">
    <w:abstractNumId w:val="13"/>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hideSpellingErrors/>
  <w:hideGrammaticalErrors/>
  <w:activeWritingStyle w:appName="MSWord" w:lang="en-US" w:vendorID="64" w:dllVersion="0" w:nlCheck="1" w:checkStyle="0"/>
  <w:attachedTemplate r:id="rId1"/>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07BFC"/>
    <w:rsid w:val="00011F6C"/>
    <w:rsid w:val="0001249B"/>
    <w:rsid w:val="00012D68"/>
    <w:rsid w:val="000142BB"/>
    <w:rsid w:val="0001510D"/>
    <w:rsid w:val="0001633D"/>
    <w:rsid w:val="0001726F"/>
    <w:rsid w:val="00020098"/>
    <w:rsid w:val="00020300"/>
    <w:rsid w:val="00021A9A"/>
    <w:rsid w:val="00022ADA"/>
    <w:rsid w:val="00026327"/>
    <w:rsid w:val="00027EC9"/>
    <w:rsid w:val="000310AB"/>
    <w:rsid w:val="00033934"/>
    <w:rsid w:val="00036C09"/>
    <w:rsid w:val="000372BF"/>
    <w:rsid w:val="00040215"/>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0B53"/>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22DD"/>
    <w:rsid w:val="00155BAB"/>
    <w:rsid w:val="00155DAB"/>
    <w:rsid w:val="001608B2"/>
    <w:rsid w:val="00160FE0"/>
    <w:rsid w:val="00163AAA"/>
    <w:rsid w:val="00163AB3"/>
    <w:rsid w:val="00165047"/>
    <w:rsid w:val="00165FF8"/>
    <w:rsid w:val="0016669F"/>
    <w:rsid w:val="00170AD6"/>
    <w:rsid w:val="001735B8"/>
    <w:rsid w:val="00177AA7"/>
    <w:rsid w:val="00180917"/>
    <w:rsid w:val="00180E53"/>
    <w:rsid w:val="00181CB7"/>
    <w:rsid w:val="00181FBE"/>
    <w:rsid w:val="001862A5"/>
    <w:rsid w:val="00186A70"/>
    <w:rsid w:val="00191035"/>
    <w:rsid w:val="001918E5"/>
    <w:rsid w:val="00192A7A"/>
    <w:rsid w:val="00197AAF"/>
    <w:rsid w:val="001A1EF4"/>
    <w:rsid w:val="001A7046"/>
    <w:rsid w:val="001A710D"/>
    <w:rsid w:val="001A7E6F"/>
    <w:rsid w:val="001B0A77"/>
    <w:rsid w:val="001B1727"/>
    <w:rsid w:val="001B1B48"/>
    <w:rsid w:val="001B2151"/>
    <w:rsid w:val="001B3CFF"/>
    <w:rsid w:val="001B4957"/>
    <w:rsid w:val="001B4996"/>
    <w:rsid w:val="001B681A"/>
    <w:rsid w:val="001C0E59"/>
    <w:rsid w:val="001C432D"/>
    <w:rsid w:val="001C469E"/>
    <w:rsid w:val="001C56C3"/>
    <w:rsid w:val="001C5D8C"/>
    <w:rsid w:val="001C7A6A"/>
    <w:rsid w:val="001C7E0A"/>
    <w:rsid w:val="001D0112"/>
    <w:rsid w:val="001D1457"/>
    <w:rsid w:val="001D19F5"/>
    <w:rsid w:val="001D2D73"/>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181"/>
    <w:rsid w:val="00210498"/>
    <w:rsid w:val="0021147A"/>
    <w:rsid w:val="00213BFB"/>
    <w:rsid w:val="002156A3"/>
    <w:rsid w:val="00217478"/>
    <w:rsid w:val="00220938"/>
    <w:rsid w:val="00224806"/>
    <w:rsid w:val="0023003D"/>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288C"/>
    <w:rsid w:val="00254CC2"/>
    <w:rsid w:val="002574D1"/>
    <w:rsid w:val="00261CCB"/>
    <w:rsid w:val="00262E56"/>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1E3D"/>
    <w:rsid w:val="002F6279"/>
    <w:rsid w:val="00300F55"/>
    <w:rsid w:val="003013B7"/>
    <w:rsid w:val="00301993"/>
    <w:rsid w:val="00301E55"/>
    <w:rsid w:val="00307397"/>
    <w:rsid w:val="003101EF"/>
    <w:rsid w:val="00312BDD"/>
    <w:rsid w:val="00314117"/>
    <w:rsid w:val="00317EDF"/>
    <w:rsid w:val="00322B55"/>
    <w:rsid w:val="003279E7"/>
    <w:rsid w:val="00327B62"/>
    <w:rsid w:val="00331FE9"/>
    <w:rsid w:val="00332A09"/>
    <w:rsid w:val="0033324D"/>
    <w:rsid w:val="0033587C"/>
    <w:rsid w:val="00335D1B"/>
    <w:rsid w:val="0033696D"/>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11D"/>
    <w:rsid w:val="0037358E"/>
    <w:rsid w:val="00373A3C"/>
    <w:rsid w:val="00373AB8"/>
    <w:rsid w:val="00373FCF"/>
    <w:rsid w:val="00376233"/>
    <w:rsid w:val="00377A19"/>
    <w:rsid w:val="00380B30"/>
    <w:rsid w:val="00381784"/>
    <w:rsid w:val="00381EB0"/>
    <w:rsid w:val="00382A72"/>
    <w:rsid w:val="00382EBA"/>
    <w:rsid w:val="0038331A"/>
    <w:rsid w:val="0039135B"/>
    <w:rsid w:val="003A34E7"/>
    <w:rsid w:val="003A3CB1"/>
    <w:rsid w:val="003A3D55"/>
    <w:rsid w:val="003A73A4"/>
    <w:rsid w:val="003B102E"/>
    <w:rsid w:val="003B26BA"/>
    <w:rsid w:val="003B4E3D"/>
    <w:rsid w:val="003C167E"/>
    <w:rsid w:val="003C481D"/>
    <w:rsid w:val="003C4EB5"/>
    <w:rsid w:val="003C5691"/>
    <w:rsid w:val="003D1099"/>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5388"/>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578B3"/>
    <w:rsid w:val="0046150E"/>
    <w:rsid w:val="00461CC8"/>
    <w:rsid w:val="00462B2F"/>
    <w:rsid w:val="00462E09"/>
    <w:rsid w:val="00465EAA"/>
    <w:rsid w:val="004708CA"/>
    <w:rsid w:val="004709E7"/>
    <w:rsid w:val="00470ADE"/>
    <w:rsid w:val="004712C7"/>
    <w:rsid w:val="004759EB"/>
    <w:rsid w:val="00477919"/>
    <w:rsid w:val="0048120E"/>
    <w:rsid w:val="00482611"/>
    <w:rsid w:val="00482A27"/>
    <w:rsid w:val="00487DCE"/>
    <w:rsid w:val="00492701"/>
    <w:rsid w:val="004950B7"/>
    <w:rsid w:val="0049534D"/>
    <w:rsid w:val="00497FEA"/>
    <w:rsid w:val="004A75F5"/>
    <w:rsid w:val="004B07B2"/>
    <w:rsid w:val="004B0955"/>
    <w:rsid w:val="004B143D"/>
    <w:rsid w:val="004B1842"/>
    <w:rsid w:val="004B1F72"/>
    <w:rsid w:val="004B25D0"/>
    <w:rsid w:val="004B3553"/>
    <w:rsid w:val="004B5E92"/>
    <w:rsid w:val="004B6859"/>
    <w:rsid w:val="004C0A30"/>
    <w:rsid w:val="004C357C"/>
    <w:rsid w:val="004C3D18"/>
    <w:rsid w:val="004D42B1"/>
    <w:rsid w:val="004D526F"/>
    <w:rsid w:val="004E0583"/>
    <w:rsid w:val="004E19C0"/>
    <w:rsid w:val="004E1C54"/>
    <w:rsid w:val="004E2C37"/>
    <w:rsid w:val="004E5285"/>
    <w:rsid w:val="004F0CF3"/>
    <w:rsid w:val="004F5740"/>
    <w:rsid w:val="004F58C9"/>
    <w:rsid w:val="005028B9"/>
    <w:rsid w:val="00503A3F"/>
    <w:rsid w:val="00505B94"/>
    <w:rsid w:val="00505E17"/>
    <w:rsid w:val="00511A59"/>
    <w:rsid w:val="00511C3B"/>
    <w:rsid w:val="00513DA2"/>
    <w:rsid w:val="00514440"/>
    <w:rsid w:val="005166C3"/>
    <w:rsid w:val="00520F7C"/>
    <w:rsid w:val="00523974"/>
    <w:rsid w:val="00524F83"/>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821B0"/>
    <w:rsid w:val="0059175F"/>
    <w:rsid w:val="00591AAC"/>
    <w:rsid w:val="00595F08"/>
    <w:rsid w:val="00595FBE"/>
    <w:rsid w:val="005A0186"/>
    <w:rsid w:val="005A1C55"/>
    <w:rsid w:val="005A6792"/>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072C6"/>
    <w:rsid w:val="00613BF6"/>
    <w:rsid w:val="00616D27"/>
    <w:rsid w:val="00621B1E"/>
    <w:rsid w:val="006234FE"/>
    <w:rsid w:val="00623840"/>
    <w:rsid w:val="006255EC"/>
    <w:rsid w:val="00625A25"/>
    <w:rsid w:val="0062736A"/>
    <w:rsid w:val="0063565E"/>
    <w:rsid w:val="00636E02"/>
    <w:rsid w:val="006372FE"/>
    <w:rsid w:val="00640691"/>
    <w:rsid w:val="00641DB1"/>
    <w:rsid w:val="00642297"/>
    <w:rsid w:val="00644A34"/>
    <w:rsid w:val="00654824"/>
    <w:rsid w:val="00655791"/>
    <w:rsid w:val="00661766"/>
    <w:rsid w:val="00662882"/>
    <w:rsid w:val="0066298C"/>
    <w:rsid w:val="00663008"/>
    <w:rsid w:val="00663093"/>
    <w:rsid w:val="00665A7C"/>
    <w:rsid w:val="00665B0B"/>
    <w:rsid w:val="006705CD"/>
    <w:rsid w:val="00671363"/>
    <w:rsid w:val="00672780"/>
    <w:rsid w:val="00672842"/>
    <w:rsid w:val="00672AE5"/>
    <w:rsid w:val="00676CFC"/>
    <w:rsid w:val="00677133"/>
    <w:rsid w:val="00677A55"/>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19A9"/>
    <w:rsid w:val="00723BA1"/>
    <w:rsid w:val="00724A1B"/>
    <w:rsid w:val="00727CE3"/>
    <w:rsid w:val="0073173E"/>
    <w:rsid w:val="007319C3"/>
    <w:rsid w:val="0073454F"/>
    <w:rsid w:val="00735C00"/>
    <w:rsid w:val="007364C6"/>
    <w:rsid w:val="00740BF3"/>
    <w:rsid w:val="00741D5C"/>
    <w:rsid w:val="0074352F"/>
    <w:rsid w:val="00747C5E"/>
    <w:rsid w:val="00750210"/>
    <w:rsid w:val="0075162F"/>
    <w:rsid w:val="00754844"/>
    <w:rsid w:val="00754B57"/>
    <w:rsid w:val="0075671D"/>
    <w:rsid w:val="0076002F"/>
    <w:rsid w:val="0076038B"/>
    <w:rsid w:val="00761744"/>
    <w:rsid w:val="00764582"/>
    <w:rsid w:val="00765FA3"/>
    <w:rsid w:val="00766961"/>
    <w:rsid w:val="00766B5A"/>
    <w:rsid w:val="0077026A"/>
    <w:rsid w:val="00770C33"/>
    <w:rsid w:val="007741C3"/>
    <w:rsid w:val="00777BE0"/>
    <w:rsid w:val="00777CFF"/>
    <w:rsid w:val="00780923"/>
    <w:rsid w:val="00781265"/>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1D71"/>
    <w:rsid w:val="007E53F5"/>
    <w:rsid w:val="007E6E9E"/>
    <w:rsid w:val="007E7637"/>
    <w:rsid w:val="007E7997"/>
    <w:rsid w:val="007F014A"/>
    <w:rsid w:val="007F04EF"/>
    <w:rsid w:val="007F0763"/>
    <w:rsid w:val="007F0F43"/>
    <w:rsid w:val="007F1DE9"/>
    <w:rsid w:val="007F25C2"/>
    <w:rsid w:val="007F3E5A"/>
    <w:rsid w:val="007F4F88"/>
    <w:rsid w:val="007F5642"/>
    <w:rsid w:val="007F5822"/>
    <w:rsid w:val="007F5B86"/>
    <w:rsid w:val="00800A7F"/>
    <w:rsid w:val="0080285D"/>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246D"/>
    <w:rsid w:val="00853121"/>
    <w:rsid w:val="008555E4"/>
    <w:rsid w:val="00864124"/>
    <w:rsid w:val="00864E60"/>
    <w:rsid w:val="00866A09"/>
    <w:rsid w:val="00867425"/>
    <w:rsid w:val="00871163"/>
    <w:rsid w:val="008712BF"/>
    <w:rsid w:val="00872209"/>
    <w:rsid w:val="008731EB"/>
    <w:rsid w:val="00873656"/>
    <w:rsid w:val="00880140"/>
    <w:rsid w:val="008842F7"/>
    <w:rsid w:val="00885B94"/>
    <w:rsid w:val="0089075A"/>
    <w:rsid w:val="00890F80"/>
    <w:rsid w:val="00892BFD"/>
    <w:rsid w:val="0089338A"/>
    <w:rsid w:val="00894199"/>
    <w:rsid w:val="008948BE"/>
    <w:rsid w:val="00897427"/>
    <w:rsid w:val="008A1E27"/>
    <w:rsid w:val="008A2C86"/>
    <w:rsid w:val="008A6000"/>
    <w:rsid w:val="008A70A8"/>
    <w:rsid w:val="008A7FAC"/>
    <w:rsid w:val="008B1FD9"/>
    <w:rsid w:val="008B2AF1"/>
    <w:rsid w:val="008B5191"/>
    <w:rsid w:val="008B710D"/>
    <w:rsid w:val="008B7CA1"/>
    <w:rsid w:val="008C0177"/>
    <w:rsid w:val="008C0389"/>
    <w:rsid w:val="008C27D3"/>
    <w:rsid w:val="008C49DA"/>
    <w:rsid w:val="008C4B2B"/>
    <w:rsid w:val="008C5E91"/>
    <w:rsid w:val="008C686D"/>
    <w:rsid w:val="008C6B18"/>
    <w:rsid w:val="008C75E6"/>
    <w:rsid w:val="008C767A"/>
    <w:rsid w:val="008C7A73"/>
    <w:rsid w:val="008D0569"/>
    <w:rsid w:val="008D28FD"/>
    <w:rsid w:val="008D59F9"/>
    <w:rsid w:val="008D5C28"/>
    <w:rsid w:val="008E00A6"/>
    <w:rsid w:val="008E2D26"/>
    <w:rsid w:val="008E3C8E"/>
    <w:rsid w:val="008E4076"/>
    <w:rsid w:val="008E7DBA"/>
    <w:rsid w:val="008F1993"/>
    <w:rsid w:val="008F2E17"/>
    <w:rsid w:val="008F3386"/>
    <w:rsid w:val="008F3AD9"/>
    <w:rsid w:val="008F4642"/>
    <w:rsid w:val="008F4C29"/>
    <w:rsid w:val="008F4E00"/>
    <w:rsid w:val="008F6163"/>
    <w:rsid w:val="008F761D"/>
    <w:rsid w:val="00900D44"/>
    <w:rsid w:val="00902520"/>
    <w:rsid w:val="00906DC4"/>
    <w:rsid w:val="00911A61"/>
    <w:rsid w:val="0091457F"/>
    <w:rsid w:val="0091729E"/>
    <w:rsid w:val="0093261E"/>
    <w:rsid w:val="0094008E"/>
    <w:rsid w:val="00941C0C"/>
    <w:rsid w:val="009437F2"/>
    <w:rsid w:val="0094528B"/>
    <w:rsid w:val="00960A8B"/>
    <w:rsid w:val="00965128"/>
    <w:rsid w:val="00967068"/>
    <w:rsid w:val="00971451"/>
    <w:rsid w:val="00973F43"/>
    <w:rsid w:val="0097785D"/>
    <w:rsid w:val="0098011D"/>
    <w:rsid w:val="00981912"/>
    <w:rsid w:val="009819C0"/>
    <w:rsid w:val="009835AD"/>
    <w:rsid w:val="00987A75"/>
    <w:rsid w:val="00990C72"/>
    <w:rsid w:val="00991A8A"/>
    <w:rsid w:val="00992611"/>
    <w:rsid w:val="00994303"/>
    <w:rsid w:val="0099526D"/>
    <w:rsid w:val="00996C8B"/>
    <w:rsid w:val="009A0054"/>
    <w:rsid w:val="009A0F6E"/>
    <w:rsid w:val="009A2D9C"/>
    <w:rsid w:val="009A38D9"/>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0213"/>
    <w:rsid w:val="00A11D0C"/>
    <w:rsid w:val="00A16579"/>
    <w:rsid w:val="00A24843"/>
    <w:rsid w:val="00A25AB7"/>
    <w:rsid w:val="00A26D48"/>
    <w:rsid w:val="00A31C7C"/>
    <w:rsid w:val="00A367AA"/>
    <w:rsid w:val="00A378DF"/>
    <w:rsid w:val="00A37AC6"/>
    <w:rsid w:val="00A4047D"/>
    <w:rsid w:val="00A409C2"/>
    <w:rsid w:val="00A410CC"/>
    <w:rsid w:val="00A42B43"/>
    <w:rsid w:val="00A42BD0"/>
    <w:rsid w:val="00A433DC"/>
    <w:rsid w:val="00A45675"/>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87B2A"/>
    <w:rsid w:val="00A91D91"/>
    <w:rsid w:val="00A96F81"/>
    <w:rsid w:val="00A9709D"/>
    <w:rsid w:val="00AA054E"/>
    <w:rsid w:val="00AA0A10"/>
    <w:rsid w:val="00AA2094"/>
    <w:rsid w:val="00AA2947"/>
    <w:rsid w:val="00AA7461"/>
    <w:rsid w:val="00AB1894"/>
    <w:rsid w:val="00AB22DF"/>
    <w:rsid w:val="00AB2C3F"/>
    <w:rsid w:val="00AB30EA"/>
    <w:rsid w:val="00AB458B"/>
    <w:rsid w:val="00AB45E4"/>
    <w:rsid w:val="00AB6157"/>
    <w:rsid w:val="00AB7542"/>
    <w:rsid w:val="00AC022D"/>
    <w:rsid w:val="00AC0629"/>
    <w:rsid w:val="00AC70C7"/>
    <w:rsid w:val="00AC79E0"/>
    <w:rsid w:val="00AD32CE"/>
    <w:rsid w:val="00AD5187"/>
    <w:rsid w:val="00AD6B11"/>
    <w:rsid w:val="00AD6B34"/>
    <w:rsid w:val="00AD6E4A"/>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29AA"/>
    <w:rsid w:val="00BB449C"/>
    <w:rsid w:val="00BB44D7"/>
    <w:rsid w:val="00BC2561"/>
    <w:rsid w:val="00BC3E3E"/>
    <w:rsid w:val="00BC422A"/>
    <w:rsid w:val="00BC5128"/>
    <w:rsid w:val="00BC5608"/>
    <w:rsid w:val="00BD04C9"/>
    <w:rsid w:val="00BD3536"/>
    <w:rsid w:val="00BD37FD"/>
    <w:rsid w:val="00BD44AC"/>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775"/>
    <w:rsid w:val="00C16856"/>
    <w:rsid w:val="00C1698A"/>
    <w:rsid w:val="00C17150"/>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0DC7"/>
    <w:rsid w:val="00C54316"/>
    <w:rsid w:val="00C55208"/>
    <w:rsid w:val="00C5527D"/>
    <w:rsid w:val="00C61B1A"/>
    <w:rsid w:val="00C62A53"/>
    <w:rsid w:val="00C709F9"/>
    <w:rsid w:val="00C73A00"/>
    <w:rsid w:val="00C73A70"/>
    <w:rsid w:val="00C76054"/>
    <w:rsid w:val="00C779A2"/>
    <w:rsid w:val="00C80546"/>
    <w:rsid w:val="00C81BE3"/>
    <w:rsid w:val="00C83CAD"/>
    <w:rsid w:val="00C8419E"/>
    <w:rsid w:val="00C851D7"/>
    <w:rsid w:val="00C85C8B"/>
    <w:rsid w:val="00C867AD"/>
    <w:rsid w:val="00C87F9F"/>
    <w:rsid w:val="00C935D9"/>
    <w:rsid w:val="00C9545D"/>
    <w:rsid w:val="00C9625C"/>
    <w:rsid w:val="00C978C6"/>
    <w:rsid w:val="00C97F2A"/>
    <w:rsid w:val="00C97F9B"/>
    <w:rsid w:val="00CA112D"/>
    <w:rsid w:val="00CA1F9F"/>
    <w:rsid w:val="00CA2179"/>
    <w:rsid w:val="00CA3D8A"/>
    <w:rsid w:val="00CA4A87"/>
    <w:rsid w:val="00CB0C0C"/>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1B30"/>
    <w:rsid w:val="00D13661"/>
    <w:rsid w:val="00D142BD"/>
    <w:rsid w:val="00D146DE"/>
    <w:rsid w:val="00D17FEC"/>
    <w:rsid w:val="00D200E7"/>
    <w:rsid w:val="00D21427"/>
    <w:rsid w:val="00D22164"/>
    <w:rsid w:val="00D22B86"/>
    <w:rsid w:val="00D22F2F"/>
    <w:rsid w:val="00D24194"/>
    <w:rsid w:val="00D2460F"/>
    <w:rsid w:val="00D2590F"/>
    <w:rsid w:val="00D26321"/>
    <w:rsid w:val="00D27150"/>
    <w:rsid w:val="00D27EB3"/>
    <w:rsid w:val="00D35E02"/>
    <w:rsid w:val="00D378C9"/>
    <w:rsid w:val="00D37B9F"/>
    <w:rsid w:val="00D41425"/>
    <w:rsid w:val="00D46275"/>
    <w:rsid w:val="00D467CA"/>
    <w:rsid w:val="00D4759B"/>
    <w:rsid w:val="00D500A4"/>
    <w:rsid w:val="00D51205"/>
    <w:rsid w:val="00D516FC"/>
    <w:rsid w:val="00D51F2D"/>
    <w:rsid w:val="00D53391"/>
    <w:rsid w:val="00D535EE"/>
    <w:rsid w:val="00D546FD"/>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3413"/>
    <w:rsid w:val="00DA426E"/>
    <w:rsid w:val="00DA4339"/>
    <w:rsid w:val="00DA462C"/>
    <w:rsid w:val="00DA4B1B"/>
    <w:rsid w:val="00DA4EFC"/>
    <w:rsid w:val="00DA648D"/>
    <w:rsid w:val="00DA6A7B"/>
    <w:rsid w:val="00DA726D"/>
    <w:rsid w:val="00DB1B8D"/>
    <w:rsid w:val="00DB2693"/>
    <w:rsid w:val="00DB3DEA"/>
    <w:rsid w:val="00DB40BD"/>
    <w:rsid w:val="00DB4B8E"/>
    <w:rsid w:val="00DB4F4B"/>
    <w:rsid w:val="00DC070F"/>
    <w:rsid w:val="00DC3462"/>
    <w:rsid w:val="00DC3858"/>
    <w:rsid w:val="00DC3A57"/>
    <w:rsid w:val="00DC7A95"/>
    <w:rsid w:val="00DD1DAF"/>
    <w:rsid w:val="00DD55C2"/>
    <w:rsid w:val="00DD759E"/>
    <w:rsid w:val="00DE1CD8"/>
    <w:rsid w:val="00DE314E"/>
    <w:rsid w:val="00DE4CFB"/>
    <w:rsid w:val="00DF045B"/>
    <w:rsid w:val="00DF1ED8"/>
    <w:rsid w:val="00DF3785"/>
    <w:rsid w:val="00DF3D27"/>
    <w:rsid w:val="00DF6074"/>
    <w:rsid w:val="00E02239"/>
    <w:rsid w:val="00E047EC"/>
    <w:rsid w:val="00E07D42"/>
    <w:rsid w:val="00E163E9"/>
    <w:rsid w:val="00E240F5"/>
    <w:rsid w:val="00E30004"/>
    <w:rsid w:val="00E31A5B"/>
    <w:rsid w:val="00E333AC"/>
    <w:rsid w:val="00E3456B"/>
    <w:rsid w:val="00E35C16"/>
    <w:rsid w:val="00E36085"/>
    <w:rsid w:val="00E36813"/>
    <w:rsid w:val="00E42382"/>
    <w:rsid w:val="00E603DF"/>
    <w:rsid w:val="00E61A4D"/>
    <w:rsid w:val="00E63745"/>
    <w:rsid w:val="00E6699F"/>
    <w:rsid w:val="00E67845"/>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357E"/>
    <w:rsid w:val="00EA5DE1"/>
    <w:rsid w:val="00EB0C86"/>
    <w:rsid w:val="00EB0E16"/>
    <w:rsid w:val="00EB1A57"/>
    <w:rsid w:val="00EB236F"/>
    <w:rsid w:val="00EB237E"/>
    <w:rsid w:val="00EC1546"/>
    <w:rsid w:val="00EC15D5"/>
    <w:rsid w:val="00EC4D18"/>
    <w:rsid w:val="00EC5B23"/>
    <w:rsid w:val="00EC5DED"/>
    <w:rsid w:val="00EC6BD8"/>
    <w:rsid w:val="00ED0356"/>
    <w:rsid w:val="00ED0D71"/>
    <w:rsid w:val="00ED2303"/>
    <w:rsid w:val="00ED3DCD"/>
    <w:rsid w:val="00ED3DD5"/>
    <w:rsid w:val="00ED4FDB"/>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0E11"/>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6DE3"/>
    <w:rsid w:val="00FA74C6"/>
    <w:rsid w:val="00FB24ED"/>
    <w:rsid w:val="00FB29AF"/>
    <w:rsid w:val="00FB313D"/>
    <w:rsid w:val="00FB4003"/>
    <w:rsid w:val="00FB4EBA"/>
    <w:rsid w:val="00FB7086"/>
    <w:rsid w:val="00FC1B94"/>
    <w:rsid w:val="00FC3B26"/>
    <w:rsid w:val="00FC6384"/>
    <w:rsid w:val="00FC6733"/>
    <w:rsid w:val="00FD2677"/>
    <w:rsid w:val="00FD28B8"/>
    <w:rsid w:val="00FD4D00"/>
    <w:rsid w:val="00FE0BD8"/>
    <w:rsid w:val="00FE1709"/>
    <w:rsid w:val="00FE1FC9"/>
    <w:rsid w:val="00FF32DE"/>
    <w:rsid w:val="00FF4205"/>
    <w:rsid w:val="00FF5858"/>
    <w:rsid w:val="00FF6930"/>
    <w:rsid w:val="01D6A664"/>
    <w:rsid w:val="0487D47A"/>
    <w:rsid w:val="049C3784"/>
    <w:rsid w:val="089DE91B"/>
    <w:rsid w:val="0AC265D0"/>
    <w:rsid w:val="0F3ADD3F"/>
    <w:rsid w:val="12FD87E0"/>
    <w:rsid w:val="15A78640"/>
    <w:rsid w:val="182E6F88"/>
    <w:rsid w:val="198E6547"/>
    <w:rsid w:val="1BF42B67"/>
    <w:rsid w:val="1FAD5D95"/>
    <w:rsid w:val="27D78D99"/>
    <w:rsid w:val="2EE49609"/>
    <w:rsid w:val="328574AB"/>
    <w:rsid w:val="337213A5"/>
    <w:rsid w:val="36725D5C"/>
    <w:rsid w:val="382FF82C"/>
    <w:rsid w:val="3B30F326"/>
    <w:rsid w:val="3B6DBE3D"/>
    <w:rsid w:val="3C57CBDB"/>
    <w:rsid w:val="3CFE2AD9"/>
    <w:rsid w:val="3D497C03"/>
    <w:rsid w:val="3DB1A8AD"/>
    <w:rsid w:val="3E37E1CC"/>
    <w:rsid w:val="3EC79034"/>
    <w:rsid w:val="3F1B88E8"/>
    <w:rsid w:val="403DB733"/>
    <w:rsid w:val="40EF1635"/>
    <w:rsid w:val="4119874D"/>
    <w:rsid w:val="42EC885E"/>
    <w:rsid w:val="440F045F"/>
    <w:rsid w:val="45A8AE5D"/>
    <w:rsid w:val="47C4C33B"/>
    <w:rsid w:val="4814180F"/>
    <w:rsid w:val="4818ADFD"/>
    <w:rsid w:val="4F3A7535"/>
    <w:rsid w:val="5161452A"/>
    <w:rsid w:val="53815F4C"/>
    <w:rsid w:val="54001B3F"/>
    <w:rsid w:val="5506413F"/>
    <w:rsid w:val="55936FD9"/>
    <w:rsid w:val="563EF20D"/>
    <w:rsid w:val="588B9EA8"/>
    <w:rsid w:val="5914E537"/>
    <w:rsid w:val="59151DEF"/>
    <w:rsid w:val="5C0F4DAE"/>
    <w:rsid w:val="5E70AC40"/>
    <w:rsid w:val="6048749A"/>
    <w:rsid w:val="6233BE84"/>
    <w:rsid w:val="68999474"/>
    <w:rsid w:val="6E4770AE"/>
    <w:rsid w:val="70DAB62D"/>
    <w:rsid w:val="71C25300"/>
    <w:rsid w:val="72D4D2F8"/>
    <w:rsid w:val="763C3277"/>
    <w:rsid w:val="778D53B0"/>
    <w:rsid w:val="77BD4009"/>
    <w:rsid w:val="77E82626"/>
    <w:rsid w:val="7E73DC09"/>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3359E8A7-34B8-414B-98BC-C3392A67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5"/>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5"/>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5"/>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5"/>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6"/>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5"/>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5"/>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5"/>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5"/>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4"/>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10"/>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4"/>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3"/>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11"/>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7"/>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paragraph" w:customStyle="1" w:styleId="Paragraph">
    <w:name w:val="Paragraph"/>
    <w:basedOn w:val="ListParagraph"/>
    <w:link w:val="ParagraphChar"/>
    <w:qFormat/>
    <w:rsid w:val="00CB0C0C"/>
    <w:pPr>
      <w:numPr>
        <w:numId w:val="34"/>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DefaultParagraphFont"/>
    <w:link w:val="Paragraph"/>
    <w:rsid w:val="00CB0C0C"/>
    <w:rPr>
      <w:rFonts w:ascii="Arial" w:hAnsi="Arial" w:cs="Arial"/>
      <w:color w:val="1A1A1A" w:themeColor="background1" w:themeShade="1A"/>
      <w:sz w:val="22"/>
      <w:szCs w:val="22"/>
      <w:lang w:val="en-GB" w:eastAsia="en-GB"/>
    </w:rPr>
  </w:style>
  <w:style w:type="character" w:styleId="Mention">
    <w:name w:val="Mention"/>
    <w:basedOn w:val="DefaultParagraphFont"/>
    <w:uiPriority w:val="99"/>
    <w:unhideWhenUsed/>
    <w:rsid w:val="001D2D7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jpeg"/><Relationship Id="rId25" Type="http://schemas.microsoft.com/office/2020/10/relationships/intelligence" Target="intelligence2.xml"/><Relationship Id="rId2" Type="http://schemas.openxmlformats.org/officeDocument/2006/relationships/customXml" Target="../customXml/item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documenttasks/documenttasks1.xml><?xml version="1.0" encoding="utf-8"?>
<t:Tasks xmlns:t="http://schemas.microsoft.com/office/tasks/2019/documenttasks" xmlns:oel="http://schemas.microsoft.com/office/2019/extlst">
  <t:Task id="{BAA3D023-6FEF-314A-B4C9-1FBE9533B33A}">
    <t:Anchor>
      <t:Comment id="1161404118"/>
    </t:Anchor>
    <t:History>
      <t:Event id="{530397AE-AF36-D04E-8C4F-06BB52412F6E}" time="2025-06-16T14:22:57.471Z">
        <t:Attribution userId="S::inna.amesheva@esgbook.com::a92c17a1-7ca6-4418-a7c3-5c544e7df5ae" userProvider="AD" userName="Inna Amesheva"/>
        <t:Anchor>
          <t:Comment id="1161404118"/>
        </t:Anchor>
        <t:Create/>
      </t:Event>
      <t:Event id="{3B862C3C-6944-8744-BC9B-BD6255049BDD}" time="2025-06-16T14:22:57.471Z">
        <t:Attribution userId="S::inna.amesheva@esgbook.com::a92c17a1-7ca6-4418-a7c3-5c544e7df5ae" userProvider="AD" userName="Inna Amesheva"/>
        <t:Anchor>
          <t:Comment id="1161404118"/>
        </t:Anchor>
        <t:Assign userId="S::aishwarya.shukla@esgbook.com::61c83185-7032-499f-93be-747a93b519fc" userProvider="AD" userName="Aishwarya Shukla"/>
      </t:Event>
      <t:Event id="{1DFA8A9A-A754-D548-9BAB-1CFD9D336BAD}" time="2025-06-16T14:22:57.471Z">
        <t:Attribution userId="S::inna.amesheva@esgbook.com::a92c17a1-7ca6-4418-a7c3-5c544e7df5ae" userProvider="AD" userName="Inna Amesheva"/>
        <t:Anchor>
          <t:Comment id="1161404118"/>
        </t:Anchor>
        <t:SetTitle title="Aish, could you please add a sentence summary in the comments of what these articles are about? @Aishwarya Shukla. Just for us internally to align before submitting. "/>
      </t:Event>
      <t:Event id="{03028F77-F588-41BD-B5DB-4C5B4718B265}" time="2025-06-17T08:49:02.592Z">
        <t:Attribution userId="S::aishwarya.shukla@esgbook.com::61c83185-7032-499f-93be-747a93b519fc" userProvider="AD" userName="Aishwarya Shukl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A975683D743A45B1B649E00CD7AAA1" ma:contentTypeVersion="20" ma:contentTypeDescription="Create a new document." ma:contentTypeScope="" ma:versionID="9ee01a295827ced05c0fd3e2f452ac97">
  <xsd:schema xmlns:xsd="http://www.w3.org/2001/XMLSchema" xmlns:xs="http://www.w3.org/2001/XMLSchema" xmlns:p="http://schemas.microsoft.com/office/2006/metadata/properties" xmlns:ns2="c16b883e-42a2-4069-8125-01e812b55959" xmlns:ns3="8e49d412-36ac-4252-8151-9d17ade81cc7" targetNamespace="http://schemas.microsoft.com/office/2006/metadata/properties" ma:root="true" ma:fieldsID="71847daa27f12aa2097810a07a39218c" ns2:_="" ns3:_="">
    <xsd:import namespace="c16b883e-42a2-4069-8125-01e812b55959"/>
    <xsd:import namespace="8e49d412-36ac-4252-8151-9d17ade81cc7"/>
    <xsd:element name="properties">
      <xsd:complexType>
        <xsd:sequence>
          <xsd:element name="documentManagement">
            <xsd:complexType>
              <xsd:all>
                <xsd:element ref="ns2:MigrationWizId" minOccurs="0"/>
                <xsd:element ref="ns2:MigrationWizIdPermissions" minOccurs="0"/>
                <xsd:element ref="ns2:MigrationWizIdVersion" minOccurs="0"/>
                <xsd:element ref="ns2:Note" minOccurs="0"/>
                <xsd:element ref="ns2:URL"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b883e-42a2-4069-8125-01e812b55959"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Note" ma:index="11" nillable="true" ma:displayName="Note" ma:internalName="Note" ma:readOnly="false">
      <xsd:simpleType>
        <xsd:restriction base="dms:Text">
          <xsd:maxLength value="255"/>
        </xsd:restriction>
      </xsd:simpleType>
    </xsd:element>
    <xsd:element name="URL" ma:index="12" nillable="true" ma:displayName="URL" ma:format=""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0" ma:index="13" nillable="true" ma:displayName="Image Tags_0" ma:hidden="true" ma:internalName="lcf76f155ced4ddcb4097134ff3c332f0" ma:readOnly="false">
      <xsd:simpleType>
        <xsd:restriction base="dms:Not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950a94-db98-4fdf-acd9-8639a844442e"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49d412-36ac-4252-8151-9d17ade81cc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8035afe-dfc0-4a2e-952f-e04db027d6ed}" ma:internalName="TaxCatchAll" ma:showField="CatchAllData" ma:web="8e49d412-36ac-4252-8151-9d17ade81cc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e49d412-36ac-4252-8151-9d17ade81cc7" xsi:nil="true"/>
    <URL xmlns="c16b883e-42a2-4069-8125-01e812b55959">
      <Url xsi:nil="true"/>
      <Description xsi:nil="true"/>
    </URL>
    <MigrationWizIdPermissions xmlns="c16b883e-42a2-4069-8125-01e812b55959" xsi:nil="true"/>
    <Note xmlns="c16b883e-42a2-4069-8125-01e812b55959" xsi:nil="true"/>
    <MigrationWizIdVersion xmlns="c16b883e-42a2-4069-8125-01e812b55959" xsi:nil="true"/>
    <lcf76f155ced4ddcb4097134ff3c332f0 xmlns="c16b883e-42a2-4069-8125-01e812b55959" xsi:nil="true"/>
    <lcf76f155ced4ddcb4097134ff3c332f xmlns="c16b883e-42a2-4069-8125-01e812b55959">
      <Terms xmlns="http://schemas.microsoft.com/office/infopath/2007/PartnerControls"/>
    </lcf76f155ced4ddcb4097134ff3c332f>
    <MigrationWizId xmlns="c16b883e-42a2-4069-8125-01e812b55959" xsi:nil="true"/>
  </documentManagement>
</p:properties>
</file>

<file path=customXml/itemProps1.xml><?xml version="1.0" encoding="utf-8"?>
<ds:datastoreItem xmlns:ds="http://schemas.openxmlformats.org/officeDocument/2006/customXml" ds:itemID="{E91CBC9C-8F98-4735-A9D5-A02279BB5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b883e-42a2-4069-8125-01e812b55959"/>
    <ds:schemaRef ds:uri="8e49d412-36ac-4252-8151-9d17ade81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8e49d412-36ac-4252-8151-9d17ade81cc7"/>
    <ds:schemaRef ds:uri="c16b883e-42a2-4069-8125-01e812b55959"/>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1</Pages>
  <Words>1561</Words>
  <Characters>8898</Characters>
  <Application>Microsoft Office Word</Application>
  <DocSecurity>4</DocSecurity>
  <Lines>74</Lines>
  <Paragraphs>20</Paragraphs>
  <ScaleCrop>false</ScaleCrop>
  <Company>ESMA</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Aishwarya Shukla</cp:lastModifiedBy>
  <cp:revision>34</cp:revision>
  <cp:lastPrinted>2017-07-24T14:47:00Z</cp:lastPrinted>
  <dcterms:created xsi:type="dcterms:W3CDTF">2025-06-12T08:14:00Z</dcterms:created>
  <dcterms:modified xsi:type="dcterms:W3CDTF">2025-06-20T09:19:00Z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8;#Regular|07f1e362-856b-423d-bea6-a14079762141</vt:lpwstr>
  </property>
  <property fmtid="{D5CDD505-2E9C-101B-9397-08002B2CF9AE}" pid="4" name="ContentTypeId">
    <vt:lpwstr>0x010100C3A975683D743A45B1B649E00CD7AAA1</vt:lpwstr>
  </property>
  <property fmtid="{D5CDD505-2E9C-101B-9397-08002B2CF9AE}" pid="5" name="_dlc_DocIdItemGuid">
    <vt:lpwstr>374eb300-0e59-42cf-be6a-f8786a7b085e</vt:lpwstr>
  </property>
  <property fmtid="{D5CDD505-2E9C-101B-9397-08002B2CF9AE}" pid="6" name="DocumentType">
    <vt:lpwstr>86;#Report|78753201-1e9e-4a21-a088-6ff602b5c999</vt:lpwstr>
  </property>
  <property fmtid="{D5CDD505-2E9C-101B-9397-08002B2CF9AE}" pid="7" name="Topic">
    <vt:lpwstr>425;#European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500;#Qualification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e5413819-eea3-48a9-a4ad-6a99e0a978e6_Enabled">
    <vt:lpwstr>True</vt:lpwstr>
  </property>
  <property fmtid="{D5CDD505-2E9C-101B-9397-08002B2CF9AE}" pid="22" name="MSIP_Label_e5413819-eea3-48a9-a4ad-6a99e0a978e6_SiteId">
    <vt:lpwstr>e406f268-4ae7-4c80-8994-02493da00c03</vt:lpwstr>
  </property>
  <property fmtid="{D5CDD505-2E9C-101B-9397-08002B2CF9AE}" pid="23" name="MSIP_Label_e5413819-eea3-48a9-a4ad-6a99e0a978e6_SetDate">
    <vt:lpwstr>2025-05-02T09:49:13Z</vt:lpwstr>
  </property>
  <property fmtid="{D5CDD505-2E9C-101B-9397-08002B2CF9AE}" pid="24" name="MSIP_Label_e5413819-eea3-48a9-a4ad-6a99e0a978e6_Name">
    <vt:lpwstr>Generic</vt:lpwstr>
  </property>
  <property fmtid="{D5CDD505-2E9C-101B-9397-08002B2CF9AE}" pid="25" name="MSIP_Label_e5413819-eea3-48a9-a4ad-6a99e0a978e6_ActionId">
    <vt:lpwstr>80c57b31-08da-4cb1-bed9-328fd72d4919</vt:lpwstr>
  </property>
  <property fmtid="{D5CDD505-2E9C-101B-9397-08002B2CF9AE}" pid="26" name="MSIP_Label_e5413819-eea3-48a9-a4ad-6a99e0a978e6_Removed">
    <vt:lpwstr>False</vt:lpwstr>
  </property>
  <property fmtid="{D5CDD505-2E9C-101B-9397-08002B2CF9AE}" pid="27" name="MSIP_Label_e5413819-eea3-48a9-a4ad-6a99e0a978e6_Parent">
    <vt:lpwstr/>
  </property>
  <property fmtid="{D5CDD505-2E9C-101B-9397-08002B2CF9AE}" pid="28" name="MSIP_Label_e5413819-eea3-48a9-a4ad-6a99e0a978e6_Extended_MSFT_Method">
    <vt:lpwstr>Standard</vt:lpwstr>
  </property>
  <property fmtid="{D5CDD505-2E9C-101B-9397-08002B2CF9AE}" pid="29" name="Sensitivity">
    <vt:lpwstr>Generic</vt:lpwstr>
  </property>
  <property fmtid="{D5CDD505-2E9C-101B-9397-08002B2CF9AE}" pid="30" name="MediaServiceImageTags">
    <vt:lpwstr/>
  </property>
</Properties>
</file>