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B277" w14:textId="77777777" w:rsidR="001323DF" w:rsidRPr="00B16706" w:rsidRDefault="001323DF" w:rsidP="001323DF">
      <w:pPr>
        <w:spacing w:line="276" w:lineRule="auto"/>
        <w:rPr>
          <w:rFonts w:asciiTheme="minorHAnsi" w:hAnsiTheme="minorHAnsi" w:cstheme="minorHAnsi"/>
          <w:color w:val="FF0000"/>
          <w:sz w:val="20"/>
          <w:szCs w:val="20"/>
        </w:rPr>
      </w:pPr>
      <w:bookmarkStart w:id="0" w:name="_Toc515564428"/>
    </w:p>
    <w:p w14:paraId="27237C10" w14:textId="77777777" w:rsidR="001323DF" w:rsidRPr="00B16706" w:rsidRDefault="001323DF" w:rsidP="001323DF">
      <w:pPr>
        <w:spacing w:after="120" w:line="276" w:lineRule="auto"/>
        <w:rPr>
          <w:rFonts w:asciiTheme="minorHAnsi" w:hAnsiTheme="minorHAnsi" w:cstheme="minorHAnsi"/>
          <w:sz w:val="20"/>
          <w:szCs w:val="20"/>
        </w:rPr>
      </w:pPr>
    </w:p>
    <w:p w14:paraId="175B3CF8" w14:textId="77777777" w:rsidR="001323DF" w:rsidRPr="00B16706" w:rsidRDefault="001323DF" w:rsidP="001323DF">
      <w:pPr>
        <w:spacing w:line="276" w:lineRule="auto"/>
        <w:rPr>
          <w:rFonts w:asciiTheme="minorHAnsi" w:hAnsiTheme="minorHAnsi" w:cstheme="minorHAnsi"/>
          <w:sz w:val="20"/>
          <w:szCs w:val="20"/>
        </w:rPr>
      </w:pPr>
    </w:p>
    <w:p w14:paraId="223EB0B1" w14:textId="77777777" w:rsidR="001323DF" w:rsidRPr="00B16706" w:rsidRDefault="001323DF" w:rsidP="001323DF">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1323DF" w:rsidRPr="00B16706" w14:paraId="6CA668F2" w14:textId="77777777" w:rsidTr="00DB3F44">
        <w:trPr>
          <w:trHeight w:hRule="exact" w:val="1492"/>
        </w:trPr>
        <w:tc>
          <w:tcPr>
            <w:tcW w:w="10490" w:type="dxa"/>
            <w:vAlign w:val="bottom"/>
          </w:tcPr>
          <w:p w14:paraId="5A0D2B6C" w14:textId="77777777" w:rsidR="001323DF" w:rsidRPr="00FA64BE" w:rsidRDefault="001323DF" w:rsidP="00DB3F44">
            <w:pPr>
              <w:pStyle w:val="Title"/>
              <w:rPr>
                <w:sz w:val="48"/>
                <w:szCs w:val="48"/>
              </w:rPr>
            </w:pPr>
            <w:r w:rsidRPr="00FA64BE">
              <w:rPr>
                <w:sz w:val="48"/>
                <w:szCs w:val="48"/>
              </w:rPr>
              <w:t xml:space="preserve">Reply form </w:t>
            </w:r>
          </w:p>
          <w:p w14:paraId="4647C61F" w14:textId="77777777" w:rsidR="001323DF" w:rsidRPr="00FA64BE" w:rsidRDefault="001323DF" w:rsidP="00DB3F44"/>
          <w:p w14:paraId="4A885EB7" w14:textId="77777777" w:rsidR="001323DF" w:rsidRPr="00FA64BE" w:rsidRDefault="001323DF" w:rsidP="00DB3F44">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the Consultation Paper</w:t>
            </w:r>
            <w:r>
              <w:rPr>
                <w:rFonts w:cs="Arial"/>
                <w:bCs/>
                <w:color w:val="auto"/>
                <w:sz w:val="24"/>
                <w:szCs w:val="24"/>
              </w:rPr>
              <w:t xml:space="preserve"> on Technical Standards under the Regulation on transparency and integrity of Environmental, Social and Governance (ESG) rating activities</w:t>
            </w:r>
          </w:p>
        </w:tc>
      </w:tr>
      <w:tr w:rsidR="001323DF" w:rsidRPr="00B16706" w14:paraId="0B458641" w14:textId="77777777" w:rsidTr="00DB3F44">
        <w:trPr>
          <w:trHeight w:hRule="exact" w:val="747"/>
        </w:trPr>
        <w:tc>
          <w:tcPr>
            <w:tcW w:w="10490" w:type="dxa"/>
            <w:tcMar>
              <w:top w:w="142" w:type="dxa"/>
            </w:tcMar>
          </w:tcPr>
          <w:p w14:paraId="4714FD48" w14:textId="77777777" w:rsidR="001323DF" w:rsidRPr="00B16706" w:rsidRDefault="001323DF" w:rsidP="00DB3F44">
            <w:pPr>
              <w:pStyle w:val="Heading2"/>
              <w:numPr>
                <w:ilvl w:val="0"/>
                <w:numId w:val="0"/>
              </w:numPr>
              <w:spacing w:before="0"/>
              <w:rPr>
                <w:sz w:val="22"/>
                <w:szCs w:val="22"/>
              </w:rPr>
            </w:pPr>
          </w:p>
        </w:tc>
      </w:tr>
    </w:tbl>
    <w:p w14:paraId="053C2FF4" w14:textId="77777777" w:rsidR="001323DF" w:rsidRPr="00B16706" w:rsidRDefault="001323DF" w:rsidP="001323DF">
      <w:pPr>
        <w:spacing w:line="276" w:lineRule="auto"/>
        <w:rPr>
          <w:rFonts w:asciiTheme="minorHAnsi" w:hAnsiTheme="minorHAnsi" w:cstheme="minorHAnsi"/>
          <w:sz w:val="20"/>
          <w:szCs w:val="20"/>
        </w:rPr>
      </w:pPr>
    </w:p>
    <w:p w14:paraId="710849ED" w14:textId="77777777" w:rsidR="001323DF" w:rsidRPr="00B16706" w:rsidRDefault="001323DF" w:rsidP="001323DF">
      <w:pPr>
        <w:pStyle w:val="Heading2"/>
        <w:numPr>
          <w:ilvl w:val="0"/>
          <w:numId w:val="0"/>
        </w:numPr>
        <w:sectPr w:rsidR="001323DF" w:rsidRPr="00B16706" w:rsidSect="001323DF">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66090254" wp14:editId="02AB4CD3">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3188D"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61426BDF" w:rsidR="00C85C8B" w:rsidRPr="00B16706" w:rsidRDefault="00F74855" w:rsidP="00C85C8B">
                <w:pPr>
                  <w:rPr>
                    <w:rFonts w:ascii="Arial" w:hAnsi="Arial" w:cs="Arial"/>
                    <w:color w:val="808080"/>
                    <w:sz w:val="16"/>
                    <w:szCs w:val="20"/>
                    <w:lang w:eastAsia="de-DE"/>
                  </w:rPr>
                </w:pPr>
                <w:r>
                  <w:rPr>
                    <w:rFonts w:ascii="Arial" w:hAnsi="Arial" w:cs="Arial"/>
                    <w:color w:val="808080"/>
                    <w:sz w:val="16"/>
                    <w:szCs w:val="20"/>
                    <w:lang w:eastAsia="de-DE"/>
                  </w:rPr>
                  <w:t>IOGP Europe</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E17B324" w:rsidR="00C85C8B" w:rsidRPr="00B16706" w:rsidRDefault="00326B5C"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25161">
                  <w:rPr>
                    <w:rFonts w:ascii="Arial" w:hAnsi="Arial" w:cs="Arial"/>
                    <w:sz w:val="16"/>
                    <w:szCs w:val="20"/>
                    <w:lang w:eastAsia="de-DE"/>
                  </w:rPr>
                  <w:t>Non-financial counterparty</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19192E3A" w:rsidR="00C85C8B" w:rsidRPr="00B16706" w:rsidRDefault="00DB420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44B4AD1" w:rsidR="00C85C8B" w:rsidRPr="00B16706" w:rsidRDefault="00436140"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6906B0B4" w:rsidR="001B1B48" w:rsidRPr="004578B3" w:rsidRDefault="00CB0C0C" w:rsidP="004578B3">
      <w:pPr>
        <w:pStyle w:val="Paragraph"/>
        <w:numPr>
          <w:ilvl w:val="0"/>
          <w:numId w:val="0"/>
        </w:numPr>
        <w:ind w:left="708" w:hanging="708"/>
      </w:pPr>
      <w:proofErr w:type="gramStart"/>
      <w:r w:rsidRPr="009464EF">
        <w:rPr>
          <w:b/>
          <w:bCs/>
        </w:rPr>
        <w:t>Q1</w:t>
      </w:r>
      <w:proofErr w:type="gramEnd"/>
      <w:r w:rsidRPr="2E20FBB1">
        <w:t xml:space="preserve"> </w:t>
      </w:r>
      <w:r w:rsidR="004578B3">
        <w:tab/>
      </w:r>
      <w:r w:rsidRPr="004578B3">
        <w:rPr>
          <w:rFonts w:eastAsia="Times New Roman"/>
          <w:b/>
          <w:bCs/>
          <w:color w:val="auto"/>
          <w:lang w:eastAsia="en-US"/>
        </w:rPr>
        <w:t>Do you agree with ESMA’s proposals for the draft technical standard under Articles 6(3) and 12(9)?</w:t>
      </w:r>
      <w:r w:rsidR="00BB29AA" w:rsidRPr="00BB29AA">
        <w:rPr>
          <w:b/>
          <w:lang w:eastAsia="en-US"/>
        </w:rPr>
        <w:t xml:space="preserve"> </w:t>
      </w:r>
    </w:p>
    <w:p w14:paraId="034DFB41" w14:textId="7ABA3DF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4578B3">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59B5B11B" w14:textId="3C9EC17C" w:rsidR="007C0383" w:rsidRPr="007C0383" w:rsidRDefault="007C0383" w:rsidP="007C0383">
      <w:pPr>
        <w:spacing w:after="160" w:line="259" w:lineRule="auto"/>
        <w:rPr>
          <w:rFonts w:ascii="Calibri" w:eastAsia="Calibri" w:hAnsi="Calibri"/>
          <w:kern w:val="2"/>
          <w:sz w:val="22"/>
          <w:szCs w:val="22"/>
          <w:lang w:eastAsia="en-US"/>
          <w14:ligatures w14:val="standardContextual"/>
        </w:rPr>
      </w:pPr>
      <w:r w:rsidRPr="007C0383">
        <w:rPr>
          <w:rFonts w:ascii="Calibri" w:eastAsia="Calibri" w:hAnsi="Calibri"/>
          <w:kern w:val="2"/>
          <w:sz w:val="22"/>
          <w:szCs w:val="22"/>
          <w:lang w:val="en-US" w:eastAsia="en-US"/>
          <w14:ligatures w14:val="standardContextual"/>
        </w:rPr>
        <w:t>IOGP Europe supports ESMA's proposals under Articles 6(3) and 12(9</w:t>
      </w:r>
      <w:r w:rsidR="00BD3375">
        <w:rPr>
          <w:rFonts w:ascii="Calibri" w:eastAsia="Calibri" w:hAnsi="Calibri"/>
          <w:kern w:val="2"/>
          <w:sz w:val="22"/>
          <w:szCs w:val="22"/>
          <w:lang w:val="en-US" w:eastAsia="en-US"/>
          <w14:ligatures w14:val="standardContextual"/>
        </w:rPr>
        <w:t>),</w:t>
      </w:r>
      <w:r w:rsidRPr="007C0383">
        <w:rPr>
          <w:rFonts w:ascii="Calibri" w:eastAsia="Calibri" w:hAnsi="Calibri"/>
          <w:kern w:val="2"/>
          <w:sz w:val="22"/>
          <w:szCs w:val="22"/>
          <w:lang w:val="en-US" w:eastAsia="en-US"/>
          <w14:ligatures w14:val="standardContextual"/>
        </w:rPr>
        <w:t xml:space="preserve"> We believe that strong upfront obligations, including clear documentation of methodologies, governance structures, internal controls and data quality policies are crucial for establishing the credibility and robustness</w:t>
      </w:r>
      <w:r w:rsidR="00D87C84">
        <w:rPr>
          <w:rFonts w:ascii="Calibri" w:eastAsia="Calibri" w:hAnsi="Calibri"/>
          <w:kern w:val="2"/>
          <w:sz w:val="22"/>
          <w:szCs w:val="22"/>
          <w:lang w:val="en-US" w:eastAsia="en-US"/>
          <w14:ligatures w14:val="standardContextual"/>
        </w:rPr>
        <w:t xml:space="preserve"> of providers.</w:t>
      </w:r>
      <w:r w:rsidRPr="007C0383">
        <w:rPr>
          <w:rFonts w:ascii="Calibri" w:eastAsia="Calibri" w:hAnsi="Calibri"/>
          <w:kern w:val="2"/>
          <w:sz w:val="22"/>
          <w:szCs w:val="22"/>
          <w:lang w:eastAsia="en-US"/>
          <w14:ligatures w14:val="standardContextual"/>
        </w:rPr>
        <w:t> </w:t>
      </w:r>
    </w:p>
    <w:p w14:paraId="2A58362C" w14:textId="4252E530" w:rsidR="007C0383" w:rsidRPr="007C0383" w:rsidRDefault="007C0383" w:rsidP="007C0383">
      <w:pPr>
        <w:spacing w:after="160" w:line="259" w:lineRule="auto"/>
        <w:rPr>
          <w:rFonts w:ascii="Calibri" w:eastAsia="Calibri" w:hAnsi="Calibri"/>
          <w:kern w:val="2"/>
          <w:sz w:val="22"/>
          <w:szCs w:val="22"/>
          <w:lang w:eastAsia="en-US"/>
          <w14:ligatures w14:val="standardContextual"/>
        </w:rPr>
      </w:pPr>
      <w:r w:rsidRPr="007C0383">
        <w:rPr>
          <w:rFonts w:ascii="Calibri" w:eastAsia="Calibri" w:hAnsi="Calibri"/>
          <w:kern w:val="2"/>
          <w:sz w:val="22"/>
          <w:szCs w:val="22"/>
          <w:lang w:val="en-US" w:eastAsia="en-US"/>
          <w14:ligatures w14:val="standardContextual"/>
        </w:rPr>
        <w:t>Requiring rating providers to submit detailed explanations of their models, rating assumptions and sectoral materiality frameworks is critical to ensuring consistency and comparability</w:t>
      </w:r>
      <w:r w:rsidR="00F80B0C">
        <w:rPr>
          <w:rFonts w:ascii="Calibri" w:eastAsia="Calibri" w:hAnsi="Calibri"/>
          <w:kern w:val="2"/>
          <w:sz w:val="22"/>
          <w:szCs w:val="22"/>
          <w:lang w:val="en-US" w:eastAsia="en-US"/>
          <w14:ligatures w14:val="standardContextual"/>
        </w:rPr>
        <w:t>.</w:t>
      </w:r>
    </w:p>
    <w:p w14:paraId="1522F5E7" w14:textId="77777777" w:rsidR="007C0383" w:rsidRPr="007C0383" w:rsidRDefault="007C0383" w:rsidP="007C0383">
      <w:pPr>
        <w:spacing w:after="160" w:line="259" w:lineRule="auto"/>
        <w:rPr>
          <w:rFonts w:ascii="Calibri" w:eastAsia="Calibri" w:hAnsi="Calibri"/>
          <w:kern w:val="2"/>
          <w:sz w:val="22"/>
          <w:szCs w:val="22"/>
          <w:lang w:eastAsia="en-US"/>
          <w14:ligatures w14:val="standardContextual"/>
        </w:rPr>
      </w:pPr>
      <w:r w:rsidRPr="007C0383">
        <w:rPr>
          <w:rFonts w:ascii="Calibri" w:eastAsia="Calibri" w:hAnsi="Calibri"/>
          <w:kern w:val="2"/>
          <w:sz w:val="22"/>
          <w:szCs w:val="22"/>
          <w:lang w:val="en-US" w:eastAsia="en-US"/>
          <w14:ligatures w14:val="standardContextual"/>
        </w:rPr>
        <w:t xml:space="preserve">Additionally, we recommend that ESMA </w:t>
      </w:r>
      <w:proofErr w:type="gramStart"/>
      <w:r w:rsidRPr="007C0383">
        <w:rPr>
          <w:rFonts w:ascii="Calibri" w:eastAsia="Calibri" w:hAnsi="Calibri"/>
          <w:kern w:val="2"/>
          <w:sz w:val="22"/>
          <w:szCs w:val="22"/>
          <w:lang w:val="en-US" w:eastAsia="en-US"/>
          <w14:ligatures w14:val="standardContextual"/>
        </w:rPr>
        <w:t>assess</w:t>
      </w:r>
      <w:proofErr w:type="gramEnd"/>
      <w:r w:rsidRPr="007C0383">
        <w:rPr>
          <w:rFonts w:ascii="Calibri" w:eastAsia="Calibri" w:hAnsi="Calibri"/>
          <w:kern w:val="2"/>
          <w:sz w:val="22"/>
          <w:szCs w:val="22"/>
          <w:lang w:val="en-US" w:eastAsia="en-US"/>
          <w14:ligatures w14:val="standardContextual"/>
        </w:rPr>
        <w:t xml:space="preserve"> whether applicants have procedures in place for engaging with rated entities, particularly those in complex sectors. Understanding whether and how a provider incorporates issuer feedback or sectoral expertise can provide early insights into methodological integrity. </w:t>
      </w:r>
      <w:r w:rsidRPr="009F72A8">
        <w:rPr>
          <w:rFonts w:ascii="Calibri" w:eastAsia="Calibri" w:hAnsi="Calibri"/>
          <w:kern w:val="2"/>
          <w:sz w:val="22"/>
          <w:szCs w:val="22"/>
          <w:lang w:val="en-US" w:eastAsia="en-US"/>
          <w14:ligatures w14:val="standardContextual"/>
        </w:rPr>
        <w:t>This reflects findings in the OECD's 2024 report, which emphasized the importance of engagement and procedural fairness in ESG assessments.</w:t>
      </w:r>
      <w:r w:rsidRPr="007C0383">
        <w:rPr>
          <w:rFonts w:ascii="Calibri" w:eastAsia="Calibri" w:hAnsi="Calibri"/>
          <w:kern w:val="2"/>
          <w:sz w:val="22"/>
          <w:szCs w:val="22"/>
          <w:lang w:eastAsia="en-US"/>
          <w14:ligatures w14:val="standardContextual"/>
        </w:rPr>
        <w:t> </w:t>
      </w:r>
    </w:p>
    <w:p w14:paraId="79405011" w14:textId="42312C69" w:rsidR="007C0383" w:rsidRPr="007C0383" w:rsidRDefault="007C0383" w:rsidP="007C0383">
      <w:pPr>
        <w:spacing w:after="160" w:line="259" w:lineRule="auto"/>
        <w:rPr>
          <w:rFonts w:ascii="Calibri" w:eastAsia="Calibri" w:hAnsi="Calibri"/>
          <w:kern w:val="2"/>
          <w:sz w:val="22"/>
          <w:szCs w:val="22"/>
          <w:lang w:eastAsia="en-US"/>
          <w14:ligatures w14:val="standardContextual"/>
        </w:rPr>
      </w:pPr>
      <w:r w:rsidRPr="007C0383">
        <w:rPr>
          <w:rFonts w:ascii="Calibri" w:eastAsia="Calibri" w:hAnsi="Calibri"/>
          <w:kern w:val="2"/>
          <w:sz w:val="22"/>
          <w:szCs w:val="22"/>
          <w:lang w:val="en-US" w:eastAsia="en-US"/>
          <w14:ligatures w14:val="standardContextual"/>
        </w:rPr>
        <w:t xml:space="preserve">We also encourage ESMA to explicitly require providers to disclose which ESG factors are considered, how they are measured, and the weightings applied, in line with the </w:t>
      </w:r>
      <w:hyperlink r:id="rId17" w:history="1">
        <w:r w:rsidRPr="007C0383">
          <w:rPr>
            <w:rStyle w:val="Hyperlink"/>
            <w:rFonts w:ascii="Calibri" w:eastAsia="Calibri" w:hAnsi="Calibri"/>
            <w:kern w:val="2"/>
            <w:sz w:val="22"/>
            <w:szCs w:val="22"/>
            <w:lang w:val="en-US" w:eastAsia="en-US"/>
            <w14:ligatures w14:val="standardContextual"/>
          </w:rPr>
          <w:t>Berg et al. study (2019),</w:t>
        </w:r>
      </w:hyperlink>
      <w:r w:rsidRPr="007C0383">
        <w:rPr>
          <w:rFonts w:ascii="Calibri" w:eastAsia="Calibri" w:hAnsi="Calibri"/>
          <w:kern w:val="2"/>
          <w:sz w:val="22"/>
          <w:szCs w:val="22"/>
          <w:lang w:val="en-US" w:eastAsia="en-US"/>
          <w14:ligatures w14:val="standardContextual"/>
        </w:rPr>
        <w:t xml:space="preserve"> which identified methodological divergence and lack of clarity as key drivers of inconsistency across ESG ratings.</w:t>
      </w:r>
      <w:r w:rsidRPr="007C0383">
        <w:rPr>
          <w:rFonts w:ascii="Calibri" w:eastAsia="Calibri" w:hAnsi="Calibri"/>
          <w:kern w:val="2"/>
          <w:sz w:val="22"/>
          <w:szCs w:val="22"/>
          <w:lang w:eastAsia="en-US"/>
          <w14:ligatures w14:val="standardContextual"/>
        </w:rPr>
        <w:t> </w:t>
      </w:r>
    </w:p>
    <w:p w14:paraId="38524F57" w14:textId="12DC62D2"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6E65D552" w:rsidR="001B1B48" w:rsidRPr="00ED4FDB" w:rsidRDefault="00ED4FDB" w:rsidP="00ED4FDB">
      <w:pPr>
        <w:pStyle w:val="Paragraph"/>
        <w:numPr>
          <w:ilvl w:val="0"/>
          <w:numId w:val="0"/>
        </w:numPr>
        <w:ind w:left="708" w:hanging="708"/>
      </w:pPr>
      <w:proofErr w:type="gramStart"/>
      <w:r w:rsidRPr="009464EF">
        <w:rPr>
          <w:b/>
          <w:bCs/>
        </w:rPr>
        <w:t>Q2</w:t>
      </w:r>
      <w:proofErr w:type="gramEnd"/>
      <w:r w:rsidRPr="2E20FBB1">
        <w:t xml:space="preserve"> </w:t>
      </w:r>
      <w:r>
        <w:tab/>
      </w:r>
      <w:r w:rsidRPr="00ED4FDB">
        <w:rPr>
          <w:b/>
          <w:bCs/>
        </w:rPr>
        <w:t>Do you agree with ESMA’s proposals for the draft technical standard under Article 16(5)?</w:t>
      </w:r>
    </w:p>
    <w:p w14:paraId="6C03D9F2" w14:textId="65FA1CA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D4FDB">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171EB7DE" w14:textId="177C7559" w:rsidR="00212584" w:rsidRDefault="00212584" w:rsidP="001C3C5D">
      <w:pPr>
        <w:rPr>
          <w:rFonts w:ascii="Calibri" w:hAnsi="Calibri" w:cs="Calibri"/>
          <w:sz w:val="22"/>
          <w:szCs w:val="22"/>
        </w:rPr>
      </w:pPr>
      <w:r w:rsidRPr="5B3E4FEE">
        <w:rPr>
          <w:rFonts w:ascii="Calibri" w:hAnsi="Calibri" w:cs="Calibri"/>
          <w:sz w:val="22"/>
          <w:szCs w:val="22"/>
        </w:rPr>
        <w:t>We support ESMA’s proposals under Article 16(5), particularly the requirement for ESG rating providers to implement effective measures to prevent conflicts of interest, including consulting or auditing</w:t>
      </w:r>
      <w:r w:rsidR="001C3C5D">
        <w:rPr>
          <w:rFonts w:ascii="Calibri" w:hAnsi="Calibri" w:cs="Calibri"/>
          <w:sz w:val="22"/>
          <w:szCs w:val="22"/>
        </w:rPr>
        <w:t>.</w:t>
      </w:r>
    </w:p>
    <w:p w14:paraId="3A4A27E5" w14:textId="77777777" w:rsidR="00AE6F3F" w:rsidRPr="00DD05ED" w:rsidRDefault="00AE6F3F" w:rsidP="001C3C5D">
      <w:pPr>
        <w:rPr>
          <w:rFonts w:ascii="Calibri" w:hAnsi="Calibri" w:cs="Calibri"/>
          <w:bCs/>
          <w:sz w:val="22"/>
          <w:szCs w:val="22"/>
        </w:rPr>
      </w:pPr>
    </w:p>
    <w:p w14:paraId="10807EAB" w14:textId="77777777" w:rsidR="00212584" w:rsidRPr="00DD05ED" w:rsidRDefault="00212584" w:rsidP="00212584">
      <w:pPr>
        <w:rPr>
          <w:rFonts w:ascii="Calibri" w:hAnsi="Calibri" w:cs="Calibri"/>
          <w:bCs/>
          <w:sz w:val="22"/>
          <w:szCs w:val="22"/>
        </w:rPr>
      </w:pPr>
      <w:r w:rsidRPr="00DD05ED">
        <w:rPr>
          <w:rFonts w:ascii="Calibri" w:hAnsi="Calibri" w:cs="Calibri"/>
          <w:bCs/>
          <w:sz w:val="22"/>
          <w:szCs w:val="22"/>
        </w:rPr>
        <w:t xml:space="preserve">In addition to these structural safeguards, we encourage ESMA to broaden the interpretation of </w:t>
      </w:r>
      <w:r w:rsidRPr="00DD05ED">
        <w:rPr>
          <w:rFonts w:ascii="Calibri" w:hAnsi="Calibri" w:cs="Calibri"/>
          <w:bCs/>
          <w:i/>
          <w:iCs/>
          <w:sz w:val="22"/>
          <w:szCs w:val="22"/>
        </w:rPr>
        <w:t>conflict of interest</w:t>
      </w:r>
      <w:r w:rsidRPr="00DD05ED">
        <w:rPr>
          <w:rFonts w:ascii="Calibri" w:hAnsi="Calibri" w:cs="Calibri"/>
          <w:bCs/>
          <w:sz w:val="22"/>
          <w:szCs w:val="22"/>
        </w:rPr>
        <w:t xml:space="preserve"> to address the risks arising from methodological and normative bias. Certain ESG methodologies may embed subjective value judgments and assumptions around energy transition timelines, technology viability or policy pathways that disadvantage certain sectors regardless of performance or regulatory compliance. Ideological weighting can function as a conflict of interest if not transparently disclosed or controlled for. This aligns with concerns raised in the </w:t>
      </w:r>
      <w:hyperlink r:id="rId18">
        <w:r w:rsidRPr="00DD05ED">
          <w:rPr>
            <w:rStyle w:val="Hyperlink"/>
            <w:rFonts w:ascii="Calibri" w:eastAsiaTheme="majorEastAsia" w:hAnsi="Calibri" w:cs="Calibri"/>
            <w:sz w:val="22"/>
            <w:szCs w:val="22"/>
          </w:rPr>
          <w:t>ICMA Code of Conduct</w:t>
        </w:r>
      </w:hyperlink>
      <w:r w:rsidRPr="00DD05ED">
        <w:rPr>
          <w:rFonts w:ascii="Calibri" w:hAnsi="Calibri" w:cs="Calibri"/>
          <w:sz w:val="22"/>
          <w:szCs w:val="22"/>
        </w:rPr>
        <w:t>,</w:t>
      </w:r>
      <w:r w:rsidRPr="00DD05ED">
        <w:rPr>
          <w:rFonts w:ascii="Calibri" w:hAnsi="Calibri" w:cs="Calibri"/>
          <w:bCs/>
          <w:sz w:val="22"/>
          <w:szCs w:val="22"/>
        </w:rPr>
        <w:t xml:space="preserve"> which stresses the need for governance mechanisms to detect and address embedded normative bias.</w:t>
      </w:r>
    </w:p>
    <w:p w14:paraId="42402E14" w14:textId="77777777" w:rsidR="00212584" w:rsidRDefault="00212584" w:rsidP="001B1B48">
      <w:pPr>
        <w:spacing w:after="160" w:line="259" w:lineRule="auto"/>
        <w:rPr>
          <w:rFonts w:ascii="Calibri" w:eastAsia="Calibri" w:hAnsi="Calibri"/>
          <w:kern w:val="2"/>
          <w:sz w:val="22"/>
          <w:szCs w:val="22"/>
          <w:lang w:eastAsia="en-US"/>
          <w14:ligatures w14:val="standardContextual"/>
        </w:rPr>
      </w:pPr>
    </w:p>
    <w:p w14:paraId="578EB98F" w14:textId="02D50C2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AB2C3F">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0B5FCEB" w14:textId="7A17AB27" w:rsidR="006372FE" w:rsidRPr="006372FE" w:rsidRDefault="006372FE" w:rsidP="00FC3B26">
      <w:pPr>
        <w:pStyle w:val="Paragraph"/>
        <w:numPr>
          <w:ilvl w:val="0"/>
          <w:numId w:val="0"/>
        </w:numPr>
        <w:ind w:left="708" w:hanging="708"/>
        <w:rPr>
          <w:b/>
          <w:bCs/>
        </w:rPr>
      </w:pPr>
      <w:r>
        <w:rPr>
          <w:b/>
          <w:bCs/>
        </w:rPr>
        <w:t xml:space="preserve">Q3. </w:t>
      </w:r>
      <w:r w:rsidR="00FC3B26">
        <w:rPr>
          <w:b/>
          <w:bCs/>
        </w:rPr>
        <w:tab/>
      </w:r>
      <w:r w:rsidRPr="006372FE">
        <w:rPr>
          <w:b/>
          <w:bCs/>
        </w:rPr>
        <w:t>Do you agree with ESMA’s proposals for the draft technical standard under Articles 23(4) and 24(3)?</w:t>
      </w:r>
    </w:p>
    <w:p w14:paraId="4E720D75" w14:textId="47BCF34E"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71CE974C" w14:textId="1D1775D6" w:rsidR="00E4632F" w:rsidRPr="00DD05ED" w:rsidRDefault="00E4632F" w:rsidP="00E4632F">
      <w:pPr>
        <w:rPr>
          <w:rFonts w:ascii="Calibri" w:hAnsi="Calibri" w:cs="Calibri"/>
          <w:sz w:val="22"/>
          <w:szCs w:val="22"/>
        </w:rPr>
      </w:pPr>
      <w:r w:rsidRPr="00AE6F3F">
        <w:rPr>
          <w:rFonts w:ascii="Calibri" w:hAnsi="Calibri" w:cs="Calibri"/>
          <w:bCs/>
          <w:sz w:val="22"/>
          <w:szCs w:val="22"/>
        </w:rPr>
        <w:t xml:space="preserve">We agree with ESMA’s proposals under Article 23(4) and 24(3), </w:t>
      </w:r>
      <w:r w:rsidRPr="009362F3">
        <w:rPr>
          <w:rFonts w:ascii="Calibri" w:hAnsi="Calibri" w:cs="Calibri"/>
          <w:sz w:val="22"/>
          <w:szCs w:val="22"/>
        </w:rPr>
        <w:t>These disclosures, as outlined in Annex III, are essential for enhancing the transparency and comparability of ESG ratings and avoiding misinterpretations of sectoral performance</w:t>
      </w:r>
      <w:r w:rsidRPr="00DD05ED">
        <w:rPr>
          <w:rFonts w:ascii="Calibri" w:hAnsi="Calibri" w:cs="Calibri"/>
          <w:sz w:val="22"/>
          <w:szCs w:val="22"/>
        </w:rPr>
        <w:t>.</w:t>
      </w:r>
    </w:p>
    <w:p w14:paraId="4A86563C" w14:textId="77777777" w:rsidR="00E4632F" w:rsidRPr="00DD05ED" w:rsidRDefault="00E4632F" w:rsidP="00E4632F">
      <w:pPr>
        <w:rPr>
          <w:rFonts w:ascii="Calibri" w:hAnsi="Calibri" w:cs="Calibri"/>
          <w:sz w:val="22"/>
          <w:szCs w:val="22"/>
        </w:rPr>
      </w:pPr>
    </w:p>
    <w:p w14:paraId="1D8F38F8" w14:textId="77777777" w:rsidR="00E4632F" w:rsidRPr="00DD05ED" w:rsidRDefault="00E4632F" w:rsidP="00E4632F">
      <w:pPr>
        <w:rPr>
          <w:rFonts w:ascii="Calibri" w:hAnsi="Calibri" w:cs="Calibri"/>
          <w:sz w:val="22"/>
          <w:szCs w:val="22"/>
        </w:rPr>
      </w:pPr>
      <w:r w:rsidRPr="00DD05ED">
        <w:rPr>
          <w:rFonts w:ascii="Calibri" w:hAnsi="Calibri" w:cs="Calibri"/>
          <w:sz w:val="22"/>
          <w:szCs w:val="22"/>
        </w:rPr>
        <w:t>Additionally, we encourage ESMA to consider mandating disclosure of engagement practices with rated entities. Many ESG ratings are issued without meaningful consultation, which may lead to factual inaccuracies. We believe this information should be included in Annex III disclosures to assess the rigor and fairness of the ratings process.</w:t>
      </w:r>
    </w:p>
    <w:p w14:paraId="4644CB59" w14:textId="77777777" w:rsidR="00E4632F" w:rsidRPr="00DD05ED" w:rsidRDefault="00E4632F" w:rsidP="00E4632F">
      <w:pPr>
        <w:rPr>
          <w:rFonts w:ascii="Calibri" w:hAnsi="Calibri" w:cs="Calibri"/>
          <w:sz w:val="22"/>
          <w:szCs w:val="22"/>
        </w:rPr>
      </w:pPr>
    </w:p>
    <w:p w14:paraId="1A894D66" w14:textId="3EDD80FC" w:rsidR="00E4632F" w:rsidRPr="00DD05ED" w:rsidRDefault="001C3C5D" w:rsidP="00E4632F">
      <w:pPr>
        <w:rPr>
          <w:rFonts w:ascii="Calibri" w:hAnsi="Calibri" w:cs="Calibri"/>
          <w:sz w:val="22"/>
          <w:szCs w:val="22"/>
        </w:rPr>
      </w:pPr>
      <w:r>
        <w:rPr>
          <w:rFonts w:ascii="Calibri" w:hAnsi="Calibri" w:cs="Calibri"/>
          <w:sz w:val="22"/>
          <w:szCs w:val="22"/>
        </w:rPr>
        <w:t xml:space="preserve"> T</w:t>
      </w:r>
      <w:r w:rsidR="00E4632F" w:rsidRPr="00DD05ED">
        <w:rPr>
          <w:rFonts w:ascii="Calibri" w:hAnsi="Calibri" w:cs="Calibri"/>
          <w:sz w:val="22"/>
          <w:szCs w:val="22"/>
        </w:rPr>
        <w:t xml:space="preserve">ransparency alone is insufficient without clarity on how sector specific factors and transition efforts are accounted for. ESMA should encourage rating providers to disclose how they integrate decarbonization pathways, regulatory compliance and sector-specific materiality considerations in their methodologies. This is particularly important in industries where long-term transition planning and regulatory alignment are key ESG performance indicators that may not be captured through generic criteria. </w:t>
      </w:r>
    </w:p>
    <w:p w14:paraId="43E96204" w14:textId="77777777" w:rsidR="00E4632F" w:rsidRPr="00DD05ED" w:rsidRDefault="00E4632F" w:rsidP="00E4632F">
      <w:pPr>
        <w:rPr>
          <w:rFonts w:ascii="Calibri" w:hAnsi="Calibri" w:cs="Calibri"/>
          <w:bCs/>
          <w:sz w:val="22"/>
          <w:szCs w:val="22"/>
        </w:rPr>
      </w:pPr>
    </w:p>
    <w:p w14:paraId="206B0A96" w14:textId="77777777" w:rsidR="00E4632F" w:rsidRPr="00E4632F" w:rsidRDefault="00E4632F" w:rsidP="00E4632F">
      <w:pPr>
        <w:rPr>
          <w:rFonts w:ascii="Calibri" w:hAnsi="Calibri" w:cs="Calibri"/>
        </w:rPr>
      </w:pPr>
      <w:r w:rsidRPr="00DD05ED">
        <w:rPr>
          <w:rFonts w:ascii="Calibri" w:hAnsi="Calibri" w:cs="Calibri"/>
          <w:bCs/>
          <w:sz w:val="22"/>
          <w:szCs w:val="22"/>
        </w:rPr>
        <w:t xml:space="preserve">Additionally, there is a lack of clarity in how rating agencies collect, validate, and weight controversies in ESG scoring. Our sector has encountered cases where outdated or misleading allegations remained embedded in ESG scores, even after verified rebuttals were provided. This absence of a transparent controversy management process undermines fairness and due process. We recommend that ESMA include minimum standards for controversy assessment and reassessment, including timelines, issuer response opportunities, and disclosure of whether controversies materially influenced the rating. These recommendations align with best practices outlined in </w:t>
      </w:r>
      <w:hyperlink r:id="rId19">
        <w:r w:rsidRPr="00DD05ED">
          <w:rPr>
            <w:rStyle w:val="Hyperlink"/>
            <w:rFonts w:ascii="Calibri" w:eastAsiaTheme="majorEastAsia" w:hAnsi="Calibri" w:cs="Calibri"/>
            <w:sz w:val="22"/>
            <w:szCs w:val="22"/>
          </w:rPr>
          <w:t>MSCI’s ESG Controversy methodology</w:t>
        </w:r>
      </w:hyperlink>
      <w:r w:rsidRPr="00DD05ED">
        <w:rPr>
          <w:rFonts w:ascii="Calibri" w:hAnsi="Calibri" w:cs="Calibri"/>
          <w:bCs/>
          <w:sz w:val="22"/>
          <w:szCs w:val="22"/>
        </w:rPr>
        <w:t xml:space="preserve"> and are echoed in recent </w:t>
      </w:r>
      <w:hyperlink r:id="rId20">
        <w:r w:rsidRPr="00DD05ED">
          <w:rPr>
            <w:rStyle w:val="Hyperlink"/>
            <w:rFonts w:ascii="Calibri" w:eastAsiaTheme="majorEastAsia" w:hAnsi="Calibri" w:cs="Calibri"/>
            <w:sz w:val="22"/>
            <w:szCs w:val="22"/>
          </w:rPr>
          <w:t>SpringerLink research on stakeholder engagement</w:t>
        </w:r>
      </w:hyperlink>
      <w:r w:rsidRPr="0065043C">
        <w:rPr>
          <w:rFonts w:ascii="Calibri" w:hAnsi="Calibri" w:cs="Calibri"/>
        </w:rPr>
        <w:t>.</w:t>
      </w:r>
    </w:p>
    <w:p w14:paraId="2AD5D13B" w14:textId="77777777" w:rsidR="00E4632F" w:rsidRDefault="00E4632F" w:rsidP="00E4632F">
      <w:pPr>
        <w:rPr>
          <w:bCs/>
        </w:rPr>
      </w:pPr>
    </w:p>
    <w:p w14:paraId="77645EA9" w14:textId="67311EC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322B55">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_3&gt;</w:t>
      </w:r>
    </w:p>
    <w:p w14:paraId="374EDE5B" w14:textId="5D0946EE" w:rsidR="00513DA2" w:rsidRPr="00513DA2" w:rsidRDefault="00655791" w:rsidP="00513DA2">
      <w:pPr>
        <w:pStyle w:val="Paragraph"/>
        <w:numPr>
          <w:ilvl w:val="0"/>
          <w:numId w:val="0"/>
        </w:numPr>
        <w:ind w:left="708" w:hanging="708"/>
        <w:rPr>
          <w:b/>
          <w:bCs/>
        </w:rPr>
      </w:pPr>
      <w:r>
        <w:rPr>
          <w:b/>
          <w:bCs/>
        </w:rPr>
        <w:t>Q4.</w:t>
      </w:r>
      <w:r>
        <w:rPr>
          <w:b/>
          <w:bCs/>
        </w:rPr>
        <w:tab/>
      </w:r>
      <w:r w:rsidR="00513DA2" w:rsidRPr="00513DA2">
        <w:rPr>
          <w:b/>
          <w:bCs/>
        </w:rPr>
        <w:t>Do you consider that the draft technical standards under Articles 23(4) or 24(3) should instead provide an expanded table in Annex proposing a sequence and structure for all disclosures to be made under parts 1 and 2 of Annex III? If yes, please explain the benefits of such an approach.</w:t>
      </w:r>
    </w:p>
    <w:p w14:paraId="052AF9D6" w14:textId="43D4216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4F200A11" w14:textId="626CF9B0" w:rsidR="00DD05ED" w:rsidRDefault="00DD05ED" w:rsidP="001B1B48">
      <w:pPr>
        <w:spacing w:after="160" w:line="259" w:lineRule="auto"/>
        <w:rPr>
          <w:rFonts w:ascii="Calibri" w:eastAsia="Calibri" w:hAnsi="Calibri"/>
          <w:kern w:val="2"/>
          <w:sz w:val="22"/>
          <w:szCs w:val="22"/>
          <w:lang w:eastAsia="en-US"/>
          <w14:ligatures w14:val="standardContextual"/>
        </w:rPr>
      </w:pPr>
      <w:r w:rsidRPr="00DD05ED">
        <w:rPr>
          <w:rFonts w:ascii="Calibri" w:eastAsia="Calibri" w:hAnsi="Calibri"/>
          <w:kern w:val="2"/>
          <w:sz w:val="22"/>
          <w:szCs w:val="22"/>
          <w:lang w:eastAsia="en-US"/>
          <w14:ligatures w14:val="standardContextual"/>
        </w:rPr>
        <w:t xml:space="preserve">We support the use of a structured, standardized disclosure table. We believe this approach increases clarity, comparability and usability for all market participants.  We encourage ESMA to consider extending this structured format to cover the disclosures required under Part 2 of Annex III. Rated entities increasingly rely on these disclosures to understand how ratings are derived and how to </w:t>
      </w:r>
      <w:r w:rsidRPr="00DD05ED">
        <w:rPr>
          <w:rFonts w:ascii="Calibri" w:eastAsia="Calibri" w:hAnsi="Calibri"/>
          <w:kern w:val="2"/>
          <w:sz w:val="22"/>
          <w:szCs w:val="22"/>
          <w:lang w:eastAsia="en-US"/>
          <w14:ligatures w14:val="standardContextual"/>
        </w:rPr>
        <w:lastRenderedPageBreak/>
        <w:t>improve performance.  A standardized framework would improve clarity and facilitate easier comparison of ESG ratings across different providers and sectors</w:t>
      </w:r>
      <w:r w:rsidR="00FA40C2">
        <w:rPr>
          <w:rFonts w:ascii="Calibri" w:eastAsia="Calibri" w:hAnsi="Calibri"/>
          <w:kern w:val="2"/>
          <w:sz w:val="22"/>
          <w:szCs w:val="22"/>
          <w:lang w:eastAsia="en-US"/>
          <w14:ligatures w14:val="standardContextual"/>
        </w:rPr>
        <w:t>.</w:t>
      </w:r>
      <w:r w:rsidRPr="00DD05ED">
        <w:rPr>
          <w:rFonts w:ascii="Calibri" w:eastAsia="Calibri" w:hAnsi="Calibri"/>
          <w:kern w:val="2"/>
          <w:sz w:val="22"/>
          <w:szCs w:val="22"/>
          <w:lang w:eastAsia="en-US"/>
          <w14:ligatures w14:val="standardContextual"/>
        </w:rPr>
        <w:t xml:space="preserve"> </w:t>
      </w:r>
    </w:p>
    <w:p w14:paraId="2F0C894F" w14:textId="5443FBCF"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655791">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5B24CD2A" w:rsidR="001B1B48" w:rsidRPr="00EA357E" w:rsidRDefault="00EA357E" w:rsidP="00EA357E">
      <w:pPr>
        <w:pStyle w:val="Paragraph"/>
        <w:numPr>
          <w:ilvl w:val="0"/>
          <w:numId w:val="0"/>
        </w:numPr>
        <w:rPr>
          <w:b/>
          <w:bCs/>
        </w:rPr>
      </w:pPr>
      <w:proofErr w:type="gramStart"/>
      <w:r w:rsidRPr="00EA357E">
        <w:rPr>
          <w:b/>
          <w:bCs/>
        </w:rPr>
        <w:t>Q5</w:t>
      </w:r>
      <w:proofErr w:type="gramEnd"/>
      <w:r w:rsidRPr="00EA357E">
        <w:rPr>
          <w:b/>
          <w:bCs/>
        </w:rPr>
        <w:t xml:space="preserve"> </w:t>
      </w:r>
      <w:r w:rsidRPr="00EA357E">
        <w:rPr>
          <w:b/>
          <w:bCs/>
        </w:rPr>
        <w:tab/>
        <w:t>Do you agree with ESMA’s proposed cost benefit analysis? If not, please explain.</w:t>
      </w:r>
    </w:p>
    <w:p w14:paraId="2996F4BA" w14:textId="36938C8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p w14:paraId="4522E9AB" w14:textId="4CE8CD24" w:rsidR="00FF0D98" w:rsidRDefault="00FF0D98" w:rsidP="001B1B48">
      <w:pPr>
        <w:spacing w:after="160" w:line="259" w:lineRule="auto"/>
        <w:rPr>
          <w:rFonts w:ascii="Calibri" w:eastAsia="Calibri" w:hAnsi="Calibri"/>
          <w:kern w:val="2"/>
          <w:sz w:val="22"/>
          <w:szCs w:val="22"/>
          <w:lang w:eastAsia="en-US"/>
          <w14:ligatures w14:val="standardContextual"/>
        </w:rPr>
      </w:pPr>
      <w:r w:rsidRPr="00FF0D98">
        <w:rPr>
          <w:rFonts w:ascii="Calibri" w:eastAsia="Calibri" w:hAnsi="Calibri"/>
          <w:kern w:val="2"/>
          <w:sz w:val="22"/>
          <w:szCs w:val="22"/>
          <w:lang w:eastAsia="en-US"/>
          <w14:ligatures w14:val="standardContextual"/>
        </w:rPr>
        <w:t xml:space="preserve">IOGP Europe agrees with the proposed cost-benefit analysis as we find it is clear. </w:t>
      </w:r>
      <w:r w:rsidR="00567127">
        <w:rPr>
          <w:rFonts w:ascii="Calibri" w:eastAsia="Calibri" w:hAnsi="Calibri"/>
          <w:kern w:val="2"/>
          <w:sz w:val="22"/>
          <w:szCs w:val="22"/>
          <w:lang w:eastAsia="en-US"/>
          <w14:ligatures w14:val="standardContextual"/>
        </w:rPr>
        <w:t>H</w:t>
      </w:r>
      <w:r w:rsidRPr="00FF0D98">
        <w:rPr>
          <w:rFonts w:ascii="Calibri" w:eastAsia="Calibri" w:hAnsi="Calibri"/>
          <w:kern w:val="2"/>
          <w:sz w:val="22"/>
          <w:szCs w:val="22"/>
          <w:lang w:eastAsia="en-US"/>
          <w14:ligatures w14:val="standardContextual"/>
        </w:rPr>
        <w:t>owever</w:t>
      </w:r>
      <w:r w:rsidR="00567127">
        <w:rPr>
          <w:rFonts w:ascii="Calibri" w:eastAsia="Calibri" w:hAnsi="Calibri"/>
          <w:kern w:val="2"/>
          <w:sz w:val="22"/>
          <w:szCs w:val="22"/>
          <w:lang w:eastAsia="en-US"/>
          <w14:ligatures w14:val="standardContextual"/>
        </w:rPr>
        <w:t xml:space="preserve">, we </w:t>
      </w:r>
      <w:r w:rsidRPr="00FF0D98">
        <w:rPr>
          <w:rFonts w:ascii="Calibri" w:eastAsia="Calibri" w:hAnsi="Calibri"/>
          <w:kern w:val="2"/>
          <w:sz w:val="22"/>
          <w:szCs w:val="22"/>
          <w:lang w:eastAsia="en-US"/>
          <w14:ligatures w14:val="standardContextual"/>
        </w:rPr>
        <w:t xml:space="preserve">recommend that ESMA conduct a follow-up analysis after the implementation phase to evaluate the impact of the RTS on reducing the current administrative burden stemming from multiple non-aligned ESG data requests. Evidence from IOGP Europe members and industry-wide surveys suggests that </w:t>
      </w:r>
      <w:r w:rsidRPr="008549D6">
        <w:rPr>
          <w:rFonts w:ascii="Calibri" w:eastAsia="Calibri" w:hAnsi="Calibri"/>
          <w:kern w:val="2"/>
          <w:sz w:val="22"/>
          <w:szCs w:val="22"/>
          <w:lang w:eastAsia="en-US"/>
          <w14:ligatures w14:val="standardContextual"/>
        </w:rPr>
        <w:t>duplicative ESG ratings and proprietary surveys lead to high resource costs and compliance inefficiencies, which could be mitigated through alignment with</w:t>
      </w:r>
      <w:r w:rsidR="00AE6F3F" w:rsidRPr="008549D6">
        <w:rPr>
          <w:rFonts w:ascii="Calibri" w:eastAsia="Calibri" w:hAnsi="Calibri"/>
          <w:kern w:val="2"/>
          <w:sz w:val="22"/>
          <w:szCs w:val="22"/>
          <w:lang w:eastAsia="en-US"/>
          <w14:ligatures w14:val="standardContextual"/>
        </w:rPr>
        <w:t xml:space="preserve"> globally recognised</w:t>
      </w:r>
      <w:r w:rsidR="00AE6F3F">
        <w:rPr>
          <w:rFonts w:ascii="Calibri" w:eastAsia="Calibri" w:hAnsi="Calibri"/>
          <w:kern w:val="2"/>
          <w:sz w:val="22"/>
          <w:szCs w:val="22"/>
          <w:lang w:eastAsia="en-US"/>
          <w14:ligatures w14:val="standardContextual"/>
        </w:rPr>
        <w:t xml:space="preserve"> framework</w:t>
      </w:r>
      <w:r w:rsidR="008549D6">
        <w:rPr>
          <w:rFonts w:ascii="Calibri" w:eastAsia="Calibri" w:hAnsi="Calibri"/>
          <w:kern w:val="2"/>
          <w:sz w:val="22"/>
          <w:szCs w:val="22"/>
          <w:lang w:eastAsia="en-US"/>
          <w14:ligatures w14:val="standardContextual"/>
        </w:rPr>
        <w:t>s such as CSRD and ISSB</w:t>
      </w:r>
      <w:r w:rsidR="00AE6F3F">
        <w:rPr>
          <w:rFonts w:ascii="Calibri" w:eastAsia="Calibri" w:hAnsi="Calibri"/>
          <w:kern w:val="2"/>
          <w:sz w:val="22"/>
          <w:szCs w:val="22"/>
          <w:lang w:eastAsia="en-US"/>
          <w14:ligatures w14:val="standardContextual"/>
        </w:rPr>
        <w:t>.</w:t>
      </w:r>
    </w:p>
    <w:p w14:paraId="2A15B62C" w14:textId="08BC916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w:t>
      </w:r>
      <w:r w:rsidR="00EA357E">
        <w:rPr>
          <w:rFonts w:ascii="Calibri" w:eastAsia="Calibri" w:hAnsi="Calibri"/>
          <w:kern w:val="2"/>
          <w:sz w:val="22"/>
          <w:szCs w:val="22"/>
          <w:lang w:eastAsia="en-US"/>
          <w14:ligatures w14:val="standardContextual"/>
        </w:rPr>
        <w:t>SGR</w:t>
      </w:r>
      <w:r w:rsidRPr="001B1B48">
        <w:rPr>
          <w:rFonts w:ascii="Calibri" w:eastAsia="Calibri" w:hAnsi="Calibri"/>
          <w:kern w:val="2"/>
          <w:sz w:val="22"/>
          <w:szCs w:val="22"/>
          <w:lang w:eastAsia="en-US"/>
          <w14:ligatures w14:val="standardContextual"/>
        </w:rPr>
        <w:t>_5&gt;</w:t>
      </w:r>
    </w:p>
    <w:sectPr w:rsidR="001B1B48" w:rsidRPr="001B1B48"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138B" w14:textId="77777777" w:rsidR="00832A18" w:rsidRDefault="00832A18" w:rsidP="007E7997">
      <w:r>
        <w:separator/>
      </w:r>
    </w:p>
  </w:endnote>
  <w:endnote w:type="continuationSeparator" w:id="0">
    <w:p w14:paraId="539985F8" w14:textId="77777777" w:rsidR="00832A18" w:rsidRDefault="00832A18" w:rsidP="007E7997">
      <w:r>
        <w:continuationSeparator/>
      </w:r>
    </w:p>
  </w:endnote>
  <w:endnote w:type="continuationNotice" w:id="1">
    <w:p w14:paraId="1D47A4E2" w14:textId="77777777" w:rsidR="00832A18" w:rsidRDefault="00832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1971BC8F" w14:textId="77777777" w:rsidR="001323DF" w:rsidRDefault="001323D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B5B77D7" w14:textId="77777777" w:rsidR="001323DF" w:rsidRDefault="00132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80FA" w14:textId="77777777" w:rsidR="001323DF" w:rsidRDefault="001323DF" w:rsidP="007A160F">
    <w:pPr>
      <w:pStyle w:val="Footer"/>
    </w:pPr>
    <w:r>
      <w:rPr>
        <w:rFonts w:asciiTheme="majorHAnsi" w:hAnsiTheme="majorHAnsi"/>
        <w:color w:val="FFFFFF" w:themeColor="background1"/>
      </w:rPr>
      <w:tab/>
    </w:r>
    <w:r>
      <w:rPr>
        <w:rFonts w:asciiTheme="majorHAnsi" w:hAnsiTheme="majorHAnsi"/>
        <w:color w:val="FFFFFF" w:themeColor="background1"/>
      </w:rPr>
      <w:tab/>
      <w:t xml:space="preserve">29 July </w:t>
    </w:r>
    <w:r w:rsidRPr="008279D3">
      <w:rPr>
        <w:rFonts w:asciiTheme="majorHAnsi" w:hAnsiTheme="majorHAnsi"/>
        <w:color w:val="FFFFFF" w:themeColor="background1"/>
      </w:rPr>
      <w:t>202</w:t>
    </w:r>
    <w:r>
      <w:rPr>
        <w:rFonts w:asciiTheme="majorHAnsi" w:hAnsiTheme="majorHAnsi"/>
        <w:color w:val="FFFFFF" w:themeColor="background1"/>
      </w:rPr>
      <w:t>2</w:t>
    </w:r>
    <w:r w:rsidRPr="008279D3">
      <w:rPr>
        <w:rFonts w:asciiTheme="majorHAnsi" w:hAnsiTheme="majorHAnsi"/>
        <w:color w:val="FFFFFF" w:themeColor="background1"/>
      </w:rPr>
      <w:t xml:space="preserve"> ESMA | </w:t>
    </w:r>
    <w:hyperlink r:id="rId1" w:tgtFrame="_blank" w:history="1">
      <w:r w:rsidRPr="008279D3">
        <w:rPr>
          <w:rFonts w:asciiTheme="majorHAnsi" w:hAnsiTheme="majorHAnsi"/>
          <w:color w:val="FFFFFF" w:themeColor="background1"/>
        </w:rPr>
        <w:t>ESMA</w:t>
      </w:r>
    </w:hyperlink>
    <w:r>
      <w:rPr>
        <w:rFonts w:asciiTheme="majorHAnsi" w:hAnsiTheme="majorHAnsi"/>
        <w:color w:val="FFFFFF" w:themeColor="background1"/>
      </w:rPr>
      <w:t xml:space="preserve"> 70-449-674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855A" w14:textId="77777777" w:rsidR="00832A18" w:rsidRDefault="00832A18" w:rsidP="007E7997">
      <w:r>
        <w:separator/>
      </w:r>
    </w:p>
  </w:footnote>
  <w:footnote w:type="continuationSeparator" w:id="0">
    <w:p w14:paraId="74004496" w14:textId="77777777" w:rsidR="00832A18" w:rsidRDefault="00832A18" w:rsidP="007E7997">
      <w:r>
        <w:continuationSeparator/>
      </w:r>
    </w:p>
  </w:footnote>
  <w:footnote w:type="continuationNotice" w:id="1">
    <w:p w14:paraId="3962E485" w14:textId="77777777" w:rsidR="00832A18" w:rsidRDefault="00832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FB3F" w14:textId="77777777" w:rsidR="001323DF" w:rsidRDefault="001323DF">
    <w:pPr>
      <w:pStyle w:val="Header"/>
    </w:pPr>
  </w:p>
  <w:p w14:paraId="53E94308" w14:textId="77777777" w:rsidR="001323DF" w:rsidRDefault="00132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6F43" w14:textId="77777777" w:rsidR="001323DF" w:rsidRDefault="001323DF"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7728" behindDoc="0" locked="0" layoutInCell="1" allowOverlap="1" wp14:anchorId="51F8A2E9" wp14:editId="4A8E9D5C">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EastAsia" w:hAnsiTheme="minorHAnsi" w:cstheme="minorBidi"/>
        <w:color w:val="000000" w:themeColor="text1" w:themeShade="80"/>
        <w:sz w:val="16"/>
        <w:szCs w:val="20"/>
        <w:lang w:eastAsia="en-US"/>
      </w:rPr>
      <w:t>2 May 2025</w:t>
    </w:r>
    <w:r>
      <w:rPr>
        <w:rFonts w:asciiTheme="minorHAnsi" w:eastAsiaTheme="minorEastAsia" w:hAnsiTheme="minorHAnsi" w:cstheme="minorBidi"/>
        <w:color w:val="000000" w:themeColor="text1" w:themeShade="80"/>
        <w:sz w:val="16"/>
        <w:szCs w:val="20"/>
        <w:lang w:eastAsia="en-US"/>
      </w:rPr>
      <w:br/>
    </w:r>
    <w:r w:rsidRPr="0013090E">
      <w:rPr>
        <w:rFonts w:asciiTheme="minorHAnsi" w:eastAsiaTheme="minorEastAsia" w:hAnsiTheme="minorHAnsi" w:cstheme="minorBidi"/>
        <w:color w:val="000000" w:themeColor="text1" w:themeShade="80"/>
        <w:sz w:val="16"/>
        <w:szCs w:val="20"/>
        <w:lang w:eastAsia="en-US"/>
      </w:rPr>
      <w:t>ESMA</w:t>
    </w:r>
    <w:r>
      <w:rPr>
        <w:rFonts w:asciiTheme="minorHAnsi" w:eastAsiaTheme="minorEastAsia" w:hAnsiTheme="minorHAnsi" w:cstheme="minorBidi"/>
        <w:color w:val="000000" w:themeColor="text1" w:themeShade="80"/>
        <w:sz w:val="16"/>
        <w:szCs w:val="20"/>
        <w:lang w:eastAsia="en-US"/>
      </w:rPr>
      <w:t>84</w:t>
    </w:r>
    <w:r w:rsidRPr="0013090E">
      <w:rPr>
        <w:rFonts w:asciiTheme="minorHAnsi" w:eastAsiaTheme="minorEastAsia" w:hAnsiTheme="minorHAnsi" w:cstheme="minorBidi"/>
        <w:color w:val="000000" w:themeColor="text1" w:themeShade="80"/>
        <w:sz w:val="16"/>
        <w:szCs w:val="20"/>
        <w:lang w:eastAsia="en-US"/>
      </w:rPr>
      <w:t>-</w:t>
    </w:r>
    <w:r>
      <w:rPr>
        <w:rFonts w:asciiTheme="minorHAnsi" w:eastAsiaTheme="minorEastAsia" w:hAnsiTheme="minorHAnsi" w:cstheme="minorBidi"/>
        <w:color w:val="000000" w:themeColor="text1" w:themeShade="80"/>
        <w:sz w:val="16"/>
        <w:szCs w:val="20"/>
        <w:lang w:eastAsia="en-US"/>
      </w:rPr>
      <w:t>858037815-683</w:t>
    </w:r>
  </w:p>
  <w:p w14:paraId="03BA12EB" w14:textId="77777777" w:rsidR="001323DF" w:rsidRDefault="001323DF"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752" behindDoc="1" locked="1" layoutInCell="1" allowOverlap="0" wp14:anchorId="5C37AEA8" wp14:editId="5F3453DF">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48D9B" id="Freeform: Shape 7" o:spid="_x0000_s1026" style="position:absolute;margin-left:70.85pt;margin-top:49.15pt;width:596.1pt;height:76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6704"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4"/>
  </w:num>
  <w:num w:numId="4" w16cid:durableId="1880320868">
    <w:abstractNumId w:val="3"/>
  </w:num>
  <w:num w:numId="5" w16cid:durableId="290864581">
    <w:abstractNumId w:val="13"/>
  </w:num>
  <w:num w:numId="6" w16cid:durableId="952590553">
    <w:abstractNumId w:val="26"/>
  </w:num>
  <w:num w:numId="7" w16cid:durableId="1159686949">
    <w:abstractNumId w:val="12"/>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7"/>
  </w:num>
  <w:num w:numId="15" w16cid:durableId="986476960">
    <w:abstractNumId w:val="21"/>
  </w:num>
  <w:num w:numId="16" w16cid:durableId="398749299">
    <w:abstractNumId w:val="25"/>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2"/>
  </w:num>
  <w:num w:numId="19" w16cid:durableId="558588771">
    <w:abstractNumId w:val="26"/>
  </w:num>
  <w:num w:numId="20" w16cid:durableId="1306933315">
    <w:abstractNumId w:val="10"/>
  </w:num>
  <w:num w:numId="21" w16cid:durableId="1623876054">
    <w:abstractNumId w:val="23"/>
  </w:num>
  <w:num w:numId="22" w16cid:durableId="783383837">
    <w:abstractNumId w:val="14"/>
  </w:num>
  <w:num w:numId="23" w16cid:durableId="2112964618">
    <w:abstractNumId w:val="20"/>
  </w:num>
  <w:num w:numId="24" w16cid:durableId="1958565453">
    <w:abstractNumId w:val="0"/>
  </w:num>
  <w:num w:numId="25" w16cid:durableId="1372725395">
    <w:abstractNumId w:val="18"/>
  </w:num>
  <w:num w:numId="26" w16cid:durableId="1686445133">
    <w:abstractNumId w:val="16"/>
  </w:num>
  <w:num w:numId="27" w16cid:durableId="1247768697">
    <w:abstractNumId w:val="9"/>
  </w:num>
  <w:num w:numId="28" w16cid:durableId="954170948">
    <w:abstractNumId w:val="1"/>
  </w:num>
  <w:num w:numId="29" w16cid:durableId="837424337">
    <w:abstractNumId w:val="17"/>
  </w:num>
  <w:num w:numId="30" w16cid:durableId="299657983">
    <w:abstractNumId w:val="4"/>
  </w:num>
  <w:num w:numId="31" w16cid:durableId="699822250">
    <w:abstractNumId w:val="15"/>
  </w:num>
  <w:num w:numId="32" w16cid:durableId="730466929">
    <w:abstractNumId w:val="11"/>
    <w:lvlOverride w:ilvl="0">
      <w:startOverride w:val="1"/>
    </w:lvlOverride>
  </w:num>
  <w:num w:numId="33" w16cid:durableId="552498262">
    <w:abstractNumId w:val="19"/>
  </w:num>
  <w:num w:numId="34" w16cid:durableId="1829132647">
    <w:abstractNumId w:val="11"/>
    <w:lvlOverride w:ilvl="0">
      <w:startOverride w:val="1"/>
    </w:lvlOverride>
  </w:num>
  <w:num w:numId="35" w16cid:durableId="1915964461">
    <w:abstractNumId w:val="11"/>
    <w:lvlOverride w:ilvl="0">
      <w:startOverride w:val="1"/>
    </w:lvlOverride>
  </w:num>
  <w:num w:numId="36" w16cid:durableId="1385182617">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87FA9"/>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C7914"/>
    <w:rsid w:val="000D0293"/>
    <w:rsid w:val="000D0850"/>
    <w:rsid w:val="000D1038"/>
    <w:rsid w:val="000D11A9"/>
    <w:rsid w:val="000D2D7B"/>
    <w:rsid w:val="000D63A9"/>
    <w:rsid w:val="000E2232"/>
    <w:rsid w:val="000E3DB1"/>
    <w:rsid w:val="000F0169"/>
    <w:rsid w:val="000F0951"/>
    <w:rsid w:val="000F0E63"/>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23DF"/>
    <w:rsid w:val="001355E6"/>
    <w:rsid w:val="0013644A"/>
    <w:rsid w:val="00140762"/>
    <w:rsid w:val="00140BA6"/>
    <w:rsid w:val="00141946"/>
    <w:rsid w:val="00143DCA"/>
    <w:rsid w:val="00144AAD"/>
    <w:rsid w:val="001455E7"/>
    <w:rsid w:val="0014624E"/>
    <w:rsid w:val="001522DD"/>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3C5D"/>
    <w:rsid w:val="001C432D"/>
    <w:rsid w:val="001C45A4"/>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181"/>
    <w:rsid w:val="00210498"/>
    <w:rsid w:val="0021147A"/>
    <w:rsid w:val="00212584"/>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6F"/>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173E"/>
    <w:rsid w:val="003A34E7"/>
    <w:rsid w:val="003A3CB1"/>
    <w:rsid w:val="003A3D55"/>
    <w:rsid w:val="003A73A4"/>
    <w:rsid w:val="003B102E"/>
    <w:rsid w:val="003B26BA"/>
    <w:rsid w:val="003B3562"/>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140"/>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2803"/>
    <w:rsid w:val="004950B7"/>
    <w:rsid w:val="0049534D"/>
    <w:rsid w:val="00496DF1"/>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D6C18"/>
    <w:rsid w:val="004E0583"/>
    <w:rsid w:val="004E19C0"/>
    <w:rsid w:val="004E1C54"/>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0D6C"/>
    <w:rsid w:val="005619CB"/>
    <w:rsid w:val="00561B71"/>
    <w:rsid w:val="00561F98"/>
    <w:rsid w:val="00564607"/>
    <w:rsid w:val="00565193"/>
    <w:rsid w:val="005664AB"/>
    <w:rsid w:val="00567127"/>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2E5B"/>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043C"/>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162F"/>
    <w:rsid w:val="00751A06"/>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8E2"/>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0383"/>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2A18"/>
    <w:rsid w:val="00833000"/>
    <w:rsid w:val="00835192"/>
    <w:rsid w:val="00835805"/>
    <w:rsid w:val="0083595F"/>
    <w:rsid w:val="008372B6"/>
    <w:rsid w:val="00843A1A"/>
    <w:rsid w:val="00846433"/>
    <w:rsid w:val="008472C2"/>
    <w:rsid w:val="00850B43"/>
    <w:rsid w:val="008510D9"/>
    <w:rsid w:val="00851EE3"/>
    <w:rsid w:val="00853121"/>
    <w:rsid w:val="008549D6"/>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3E18"/>
    <w:rsid w:val="008D59F9"/>
    <w:rsid w:val="008D5C28"/>
    <w:rsid w:val="008E00A6"/>
    <w:rsid w:val="008E2D26"/>
    <w:rsid w:val="008E3C8E"/>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362F3"/>
    <w:rsid w:val="0094008E"/>
    <w:rsid w:val="009409F8"/>
    <w:rsid w:val="00941C0C"/>
    <w:rsid w:val="009437F2"/>
    <w:rsid w:val="0094528B"/>
    <w:rsid w:val="00945BDA"/>
    <w:rsid w:val="00960A8B"/>
    <w:rsid w:val="00960FB0"/>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2D9C"/>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2A8"/>
    <w:rsid w:val="00A00B23"/>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1AD5"/>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E6F3F"/>
    <w:rsid w:val="00AF01E3"/>
    <w:rsid w:val="00AF0260"/>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33F04"/>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B99"/>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3375"/>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541F"/>
    <w:rsid w:val="00D35E02"/>
    <w:rsid w:val="00D378C9"/>
    <w:rsid w:val="00D37B9F"/>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87C84"/>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DEA"/>
    <w:rsid w:val="00DB40BD"/>
    <w:rsid w:val="00DB420A"/>
    <w:rsid w:val="00DB4B8E"/>
    <w:rsid w:val="00DB4F4B"/>
    <w:rsid w:val="00DC070F"/>
    <w:rsid w:val="00DC3462"/>
    <w:rsid w:val="00DC3858"/>
    <w:rsid w:val="00DC3A57"/>
    <w:rsid w:val="00DC7A95"/>
    <w:rsid w:val="00DD05ED"/>
    <w:rsid w:val="00DD1DAF"/>
    <w:rsid w:val="00DD4D96"/>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4632F"/>
    <w:rsid w:val="00E603DF"/>
    <w:rsid w:val="00E63745"/>
    <w:rsid w:val="00E6699F"/>
    <w:rsid w:val="00E67845"/>
    <w:rsid w:val="00E67B40"/>
    <w:rsid w:val="00E703AE"/>
    <w:rsid w:val="00E72373"/>
    <w:rsid w:val="00E74A40"/>
    <w:rsid w:val="00E76AF9"/>
    <w:rsid w:val="00E84EF0"/>
    <w:rsid w:val="00E8649C"/>
    <w:rsid w:val="00E87886"/>
    <w:rsid w:val="00E87CDE"/>
    <w:rsid w:val="00E91FC1"/>
    <w:rsid w:val="00E92D54"/>
    <w:rsid w:val="00E9323C"/>
    <w:rsid w:val="00E95FD8"/>
    <w:rsid w:val="00E964D9"/>
    <w:rsid w:val="00EA0283"/>
    <w:rsid w:val="00EA357E"/>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4FDB"/>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161"/>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4855"/>
    <w:rsid w:val="00F77851"/>
    <w:rsid w:val="00F80B0C"/>
    <w:rsid w:val="00F80FAB"/>
    <w:rsid w:val="00F81AAC"/>
    <w:rsid w:val="00F81E3B"/>
    <w:rsid w:val="00F827E1"/>
    <w:rsid w:val="00F927B5"/>
    <w:rsid w:val="00F94BD0"/>
    <w:rsid w:val="00F95403"/>
    <w:rsid w:val="00F96705"/>
    <w:rsid w:val="00F96750"/>
    <w:rsid w:val="00F9704D"/>
    <w:rsid w:val="00FA0166"/>
    <w:rsid w:val="00FA2400"/>
    <w:rsid w:val="00FA33E9"/>
    <w:rsid w:val="00FA40C2"/>
    <w:rsid w:val="00FA55C8"/>
    <w:rsid w:val="00FA64BE"/>
    <w:rsid w:val="00FA74C6"/>
    <w:rsid w:val="00FB24ED"/>
    <w:rsid w:val="00FB29AF"/>
    <w:rsid w:val="00FB2A20"/>
    <w:rsid w:val="00FB313D"/>
    <w:rsid w:val="00FB4003"/>
    <w:rsid w:val="00FB4EBA"/>
    <w:rsid w:val="00FB7086"/>
    <w:rsid w:val="00FC1B94"/>
    <w:rsid w:val="00FC1F3A"/>
    <w:rsid w:val="00FC3B26"/>
    <w:rsid w:val="00FC6384"/>
    <w:rsid w:val="00FC6733"/>
    <w:rsid w:val="00FD2677"/>
    <w:rsid w:val="00FD28B8"/>
    <w:rsid w:val="00FD4D00"/>
    <w:rsid w:val="00FE0BD8"/>
    <w:rsid w:val="00FE1709"/>
    <w:rsid w:val="00FE1FC9"/>
    <w:rsid w:val="00FF0D98"/>
    <w:rsid w:val="00FF32DE"/>
    <w:rsid w:val="00FF4205"/>
    <w:rsid w:val="00FF5858"/>
    <w:rsid w:val="00FF6930"/>
    <w:rsid w:val="2DD5EA49"/>
    <w:rsid w:val="36725D5C"/>
    <w:rsid w:val="3CFE2AD9"/>
    <w:rsid w:val="3EC79034"/>
    <w:rsid w:val="4119874D"/>
    <w:rsid w:val="42EC885E"/>
    <w:rsid w:val="440F045F"/>
    <w:rsid w:val="563EF20D"/>
    <w:rsid w:val="5B3E4FEE"/>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styleId="UnresolvedMention">
    <w:name w:val="Unresolved Mention"/>
    <w:basedOn w:val="DefaultParagraphFont"/>
    <w:uiPriority w:val="99"/>
    <w:semiHidden/>
    <w:unhideWhenUsed/>
    <w:rsid w:val="000F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426003085">
      <w:bodyDiv w:val="1"/>
      <w:marLeft w:val="0"/>
      <w:marRight w:val="0"/>
      <w:marTop w:val="0"/>
      <w:marBottom w:val="0"/>
      <w:divBdr>
        <w:top w:val="none" w:sz="0" w:space="0" w:color="auto"/>
        <w:left w:val="none" w:sz="0" w:space="0" w:color="auto"/>
        <w:bottom w:val="none" w:sz="0" w:space="0" w:color="auto"/>
        <w:right w:val="none" w:sz="0" w:space="0" w:color="auto"/>
      </w:divBdr>
      <w:divsChild>
        <w:div w:id="866599908">
          <w:marLeft w:val="0"/>
          <w:marRight w:val="0"/>
          <w:marTop w:val="0"/>
          <w:marBottom w:val="0"/>
          <w:divBdr>
            <w:top w:val="none" w:sz="0" w:space="0" w:color="auto"/>
            <w:left w:val="none" w:sz="0" w:space="0" w:color="auto"/>
            <w:bottom w:val="none" w:sz="0" w:space="0" w:color="auto"/>
            <w:right w:val="none" w:sz="0" w:space="0" w:color="auto"/>
          </w:divBdr>
        </w:div>
        <w:div w:id="747000446">
          <w:marLeft w:val="0"/>
          <w:marRight w:val="0"/>
          <w:marTop w:val="0"/>
          <w:marBottom w:val="0"/>
          <w:divBdr>
            <w:top w:val="none" w:sz="0" w:space="0" w:color="auto"/>
            <w:left w:val="none" w:sz="0" w:space="0" w:color="auto"/>
            <w:bottom w:val="none" w:sz="0" w:space="0" w:color="auto"/>
            <w:right w:val="none" w:sz="0" w:space="0" w:color="auto"/>
          </w:divBdr>
        </w:div>
        <w:div w:id="1514882599">
          <w:marLeft w:val="0"/>
          <w:marRight w:val="0"/>
          <w:marTop w:val="0"/>
          <w:marBottom w:val="0"/>
          <w:divBdr>
            <w:top w:val="none" w:sz="0" w:space="0" w:color="auto"/>
            <w:left w:val="none" w:sz="0" w:space="0" w:color="auto"/>
            <w:bottom w:val="none" w:sz="0" w:space="0" w:color="auto"/>
            <w:right w:val="none" w:sz="0" w:space="0" w:color="auto"/>
          </w:divBdr>
        </w:div>
        <w:div w:id="1347370512">
          <w:marLeft w:val="0"/>
          <w:marRight w:val="0"/>
          <w:marTop w:val="0"/>
          <w:marBottom w:val="0"/>
          <w:divBdr>
            <w:top w:val="none" w:sz="0" w:space="0" w:color="auto"/>
            <w:left w:val="none" w:sz="0" w:space="0" w:color="auto"/>
            <w:bottom w:val="none" w:sz="0" w:space="0" w:color="auto"/>
            <w:right w:val="none" w:sz="0" w:space="0" w:color="auto"/>
          </w:divBdr>
        </w:div>
      </w:divsChild>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86257244">
      <w:bodyDiv w:val="1"/>
      <w:marLeft w:val="0"/>
      <w:marRight w:val="0"/>
      <w:marTop w:val="0"/>
      <w:marBottom w:val="0"/>
      <w:divBdr>
        <w:top w:val="none" w:sz="0" w:space="0" w:color="auto"/>
        <w:left w:val="none" w:sz="0" w:space="0" w:color="auto"/>
        <w:bottom w:val="none" w:sz="0" w:space="0" w:color="auto"/>
        <w:right w:val="none" w:sz="0" w:space="0" w:color="auto"/>
      </w:divBdr>
      <w:divsChild>
        <w:div w:id="1454330175">
          <w:marLeft w:val="0"/>
          <w:marRight w:val="0"/>
          <w:marTop w:val="0"/>
          <w:marBottom w:val="0"/>
          <w:divBdr>
            <w:top w:val="none" w:sz="0" w:space="0" w:color="auto"/>
            <w:left w:val="none" w:sz="0" w:space="0" w:color="auto"/>
            <w:bottom w:val="none" w:sz="0" w:space="0" w:color="auto"/>
            <w:right w:val="none" w:sz="0" w:space="0" w:color="auto"/>
          </w:divBdr>
        </w:div>
        <w:div w:id="1829516258">
          <w:marLeft w:val="0"/>
          <w:marRight w:val="0"/>
          <w:marTop w:val="0"/>
          <w:marBottom w:val="0"/>
          <w:divBdr>
            <w:top w:val="none" w:sz="0" w:space="0" w:color="auto"/>
            <w:left w:val="none" w:sz="0" w:space="0" w:color="auto"/>
            <w:bottom w:val="none" w:sz="0" w:space="0" w:color="auto"/>
            <w:right w:val="none" w:sz="0" w:space="0" w:color="auto"/>
          </w:divBdr>
        </w:div>
        <w:div w:id="2135056110">
          <w:marLeft w:val="0"/>
          <w:marRight w:val="0"/>
          <w:marTop w:val="0"/>
          <w:marBottom w:val="0"/>
          <w:divBdr>
            <w:top w:val="none" w:sz="0" w:space="0" w:color="auto"/>
            <w:left w:val="none" w:sz="0" w:space="0" w:color="auto"/>
            <w:bottom w:val="none" w:sz="0" w:space="0" w:color="auto"/>
            <w:right w:val="none" w:sz="0" w:space="0" w:color="auto"/>
          </w:divBdr>
        </w:div>
        <w:div w:id="58944813">
          <w:marLeft w:val="0"/>
          <w:marRight w:val="0"/>
          <w:marTop w:val="0"/>
          <w:marBottom w:val="0"/>
          <w:divBdr>
            <w:top w:val="none" w:sz="0" w:space="0" w:color="auto"/>
            <w:left w:val="none" w:sz="0" w:space="0" w:color="auto"/>
            <w:bottom w:val="none" w:sz="0" w:space="0" w:color="auto"/>
            <w:right w:val="none" w:sz="0" w:space="0" w:color="auto"/>
          </w:divBdr>
        </w:div>
      </w:divsChild>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cmagroup.org/assets/DRWG-Code-of-Conduct-for-ESG-Ratings-and-Data-Products-Providers-v3.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cademic.oup.com/rof/article/26/6/1315/6590670"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link.springer.com/chapter/10.1007/978-981-96-0316-9_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sci.com/documents/1296102/14524248/ESG-Research-Controversies-Methodolo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a59ca7-89fa-4710-b415-ed63a36ee263">
      <Terms xmlns="http://schemas.microsoft.com/office/infopath/2007/PartnerControls"/>
    </lcf76f155ced4ddcb4097134ff3c332f>
    <TaxCatchAll xmlns="d8025d26-06b8-4ee1-9000-0145e4f08090" xsi:nil="true"/>
    <CGTR xmlns="19a59ca7-89fa-4710-b415-ed63a36ee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26E1A51FD603428775A100A847FFCF" ma:contentTypeVersion="17" ma:contentTypeDescription="Create a new document." ma:contentTypeScope="" ma:versionID="a4cb7e3ec0418f276a8475cad7bb01b2">
  <xsd:schema xmlns:xsd="http://www.w3.org/2001/XMLSchema" xmlns:xs="http://www.w3.org/2001/XMLSchema" xmlns:p="http://schemas.microsoft.com/office/2006/metadata/properties" xmlns:ns2="19a59ca7-89fa-4710-b415-ed63a36ee263" xmlns:ns3="d8025d26-06b8-4ee1-9000-0145e4f08090" targetNamespace="http://schemas.microsoft.com/office/2006/metadata/properties" ma:root="true" ma:fieldsID="6a1046e196a5068571f2cdc48b70e72e" ns2:_="" ns3:_="">
    <xsd:import namespace="19a59ca7-89fa-4710-b415-ed63a36ee263"/>
    <xsd:import namespace="d8025d26-06b8-4ee1-9000-0145e4f08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CGTR"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59ca7-89fa-4710-b415-ed63a36ee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CGTR" ma:index="16" nillable="true" ma:displayName="CGTR" ma:format="Dropdown" ma:internalName="CGTR">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e3fbfa-8a9f-41a6-b5b3-48dcbc1236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25d26-06b8-4ee1-9000-0145e4f080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5958a3-86dd-4eef-9564-23e97ae37a6a}" ma:internalName="TaxCatchAll" ma:showField="CatchAllData" ma:web="d8025d26-06b8-4ee1-9000-0145e4f08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purl.org/dc/elements/1.1/"/>
    <ds:schemaRef ds:uri="d8025d26-06b8-4ee1-9000-0145e4f08090"/>
    <ds:schemaRef ds:uri="http://schemas.microsoft.com/office/2006/metadata/properties"/>
    <ds:schemaRef ds:uri="http://purl.org/dc/terms/"/>
    <ds:schemaRef ds:uri="http://www.w3.org/XML/1998/namespace"/>
    <ds:schemaRef ds:uri="19a59ca7-89fa-4710-b415-ed63a36ee263"/>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91BE78B-0D03-496E-BBE1-BFA573E28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59ca7-89fa-4710-b415-ed63a36ee263"/>
    <ds:schemaRef ds:uri="d8025d26-06b8-4ee1-9000-0145e4f08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Metadata/LabelInfo.xml><?xml version="1.0" encoding="utf-8"?>
<clbl:labelList xmlns:clbl="http://schemas.microsoft.com/office/2020/mipLabelMetadata">
  <clbl:label id="{59d477fb-bf2b-4c5b-b6c2-73f15f5c75cb}" enabled="0" method="" siteId="{59d477fb-bf2b-4c5b-b6c2-73f15f5c75cb}" removed="1"/>
</clbl:labelList>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5</Pages>
  <Words>1022</Words>
  <Characters>5829</Characters>
  <Application>Microsoft Office Word</Application>
  <DocSecurity>0</DocSecurity>
  <Lines>48</Lines>
  <Paragraphs>13</Paragraphs>
  <ScaleCrop>false</ScaleCrop>
  <Company>ESMA</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Gabrielle van Melkebeke</cp:lastModifiedBy>
  <cp:revision>2</cp:revision>
  <cp:lastPrinted>2017-07-24T14:47:00Z</cp:lastPrinted>
  <dcterms:created xsi:type="dcterms:W3CDTF">2025-06-19T15:02:00Z</dcterms:created>
  <dcterms:modified xsi:type="dcterms:W3CDTF">2025-06-19T15:02:00Z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0x010100B326E1A51FD603428775A100A847FFCF</vt:lpwstr>
  </property>
  <property fmtid="{D5CDD505-2E9C-101B-9397-08002B2CF9AE}" pid="5" name="_dlc_DocIdItemGuid">
    <vt:lpwstr>374eb300-0e59-42cf-be6a-f8786a7b085e</vt:lpwstr>
  </property>
  <property fmtid="{D5CDD505-2E9C-101B-9397-08002B2CF9AE}" pid="6" name="DocumentType">
    <vt:lpwstr>86;#Report|78753201-1e9e-4a21-a088-6ff602b5c999</vt:lpwstr>
  </property>
  <property fmtid="{D5CDD505-2E9C-101B-9397-08002B2CF9AE}" pid="7" name="Topic">
    <vt:lpwstr>425;#European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500;#Qualification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e5413819-eea3-48a9-a4ad-6a99e0a978e6_Enabled">
    <vt:lpwstr>True</vt:lpwstr>
  </property>
  <property fmtid="{D5CDD505-2E9C-101B-9397-08002B2CF9AE}" pid="22" name="MSIP_Label_e5413819-eea3-48a9-a4ad-6a99e0a978e6_SiteId">
    <vt:lpwstr>e406f268-4ae7-4c80-8994-02493da00c03</vt:lpwstr>
  </property>
  <property fmtid="{D5CDD505-2E9C-101B-9397-08002B2CF9AE}" pid="23" name="MSIP_Label_e5413819-eea3-48a9-a4ad-6a99e0a978e6_SetDate">
    <vt:lpwstr>2025-05-02T09:49:13Z</vt:lpwstr>
  </property>
  <property fmtid="{D5CDD505-2E9C-101B-9397-08002B2CF9AE}" pid="24" name="MSIP_Label_e5413819-eea3-48a9-a4ad-6a99e0a978e6_Name">
    <vt:lpwstr>Generic</vt:lpwstr>
  </property>
  <property fmtid="{D5CDD505-2E9C-101B-9397-08002B2CF9AE}" pid="25" name="MSIP_Label_e5413819-eea3-48a9-a4ad-6a99e0a978e6_ActionId">
    <vt:lpwstr>80c57b31-08da-4cb1-bed9-328fd72d4919</vt:lpwstr>
  </property>
  <property fmtid="{D5CDD505-2E9C-101B-9397-08002B2CF9AE}" pid="26" name="MSIP_Label_e5413819-eea3-48a9-a4ad-6a99e0a978e6_Removed">
    <vt:lpwstr>False</vt:lpwstr>
  </property>
  <property fmtid="{D5CDD505-2E9C-101B-9397-08002B2CF9AE}" pid="27" name="MSIP_Label_e5413819-eea3-48a9-a4ad-6a99e0a978e6_Parent">
    <vt:lpwstr/>
  </property>
  <property fmtid="{D5CDD505-2E9C-101B-9397-08002B2CF9AE}" pid="28" name="MSIP_Label_e5413819-eea3-48a9-a4ad-6a99e0a978e6_Extended_MSFT_Method">
    <vt:lpwstr>Standard</vt:lpwstr>
  </property>
  <property fmtid="{D5CDD505-2E9C-101B-9397-08002B2CF9AE}" pid="29" name="Sensitivity">
    <vt:lpwstr>Generic</vt:lpwstr>
  </property>
</Properties>
</file>