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Bid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Y="2571"/>
            <w:tblW w:w="10490" w:type="dxa"/>
            <w:tblLayout w:type="fixed"/>
            <w:tblCellMar>
              <w:left w:w="0" w:type="dxa"/>
              <w:right w:w="0" w:type="dxa"/>
            </w:tblCellMar>
            <w:tblLook w:val="01E0" w:firstRow="1" w:lastRow="1" w:firstColumn="1" w:lastColumn="1" w:noHBand="0" w:noVBand="0"/>
          </w:tblPr>
          <w:tblGrid>
            <w:gridCol w:w="10490"/>
          </w:tblGrid>
          <w:tr w:rsidR="000310AB" w:rsidRPr="00B16706" w14:paraId="2B695382" w14:textId="77777777" w:rsidTr="000310AB">
            <w:trPr>
              <w:trHeight w:hRule="exact" w:val="1492"/>
            </w:trPr>
            <w:tc>
              <w:tcPr>
                <w:tcW w:w="10490" w:type="dxa"/>
                <w:vAlign w:val="bottom"/>
              </w:tcPr>
              <w:p w14:paraId="0FBF0B89" w14:textId="77777777" w:rsidR="000310AB" w:rsidRPr="00FA64BE" w:rsidRDefault="000310AB" w:rsidP="000310AB">
                <w:pPr>
                  <w:pStyle w:val="Titolo"/>
                  <w:rPr>
                    <w:sz w:val="48"/>
                    <w:szCs w:val="48"/>
                  </w:rPr>
                </w:pPr>
                <w:r w:rsidRPr="00FA64BE">
                  <w:rPr>
                    <w:sz w:val="48"/>
                    <w:szCs w:val="48"/>
                  </w:rPr>
                  <w:t xml:space="preserve">Reply form </w:t>
                </w:r>
              </w:p>
              <w:p w14:paraId="2F2A3347" w14:textId="77777777" w:rsidR="000310AB" w:rsidRPr="00FA64BE" w:rsidRDefault="000310AB" w:rsidP="000310AB"/>
              <w:p w14:paraId="00FE0097" w14:textId="77777777" w:rsidR="000310AB" w:rsidRPr="00FA64BE" w:rsidRDefault="000310AB" w:rsidP="000310AB">
                <w:pPr>
                  <w:pStyle w:val="Titolo"/>
                  <w:spacing w:line="276" w:lineRule="auto"/>
                  <w:ind w:right="854"/>
                  <w:rPr>
                    <w:rFonts w:asciiTheme="minorHAnsi" w:hAnsiTheme="minorHAnsi" w:cstheme="minorHAnsi"/>
                    <w:sz w:val="24"/>
                    <w:szCs w:val="24"/>
                  </w:rPr>
                </w:pPr>
                <w:r>
                  <w:rPr>
                    <w:rFonts w:cs="Arial"/>
                    <w:color w:val="auto"/>
                    <w:sz w:val="24"/>
                    <w:szCs w:val="24"/>
                  </w:rPr>
                  <w:t>for</w:t>
                </w:r>
                <w:r w:rsidRPr="00FA64BE">
                  <w:rPr>
                    <w:rFonts w:cs="Arial"/>
                    <w:color w:val="auto"/>
                    <w:sz w:val="24"/>
                    <w:szCs w:val="24"/>
                  </w:rPr>
                  <w:t xml:space="preserve"> </w:t>
                </w:r>
                <w:r w:rsidRPr="00FA64BE">
                  <w:rPr>
                    <w:rFonts w:cs="Arial"/>
                    <w:bCs/>
                    <w:color w:val="auto"/>
                    <w:sz w:val="24"/>
                    <w:szCs w:val="24"/>
                  </w:rPr>
                  <w:t>the Consultation Paper</w:t>
                </w:r>
                <w:r>
                  <w:rPr>
                    <w:rFonts w:cs="Arial"/>
                    <w:bCs/>
                    <w:color w:val="auto"/>
                    <w:sz w:val="24"/>
                    <w:szCs w:val="24"/>
                  </w:rPr>
                  <w:t xml:space="preserve"> on Technical Standards under the Regulation on transparency and integrity of Environmental, Social and Governance (ESG) rating activities</w:t>
                </w:r>
              </w:p>
            </w:tc>
          </w:tr>
          <w:tr w:rsidR="000310AB" w:rsidRPr="00B16706" w14:paraId="062F0352" w14:textId="77777777" w:rsidTr="000310AB">
            <w:trPr>
              <w:trHeight w:hRule="exact" w:val="747"/>
            </w:trPr>
            <w:tc>
              <w:tcPr>
                <w:tcW w:w="10490" w:type="dxa"/>
                <w:tcMar>
                  <w:top w:w="142" w:type="dxa"/>
                </w:tcMar>
              </w:tcPr>
              <w:p w14:paraId="02B573FB" w14:textId="77777777" w:rsidR="000310AB" w:rsidRPr="00B16706" w:rsidRDefault="000310AB" w:rsidP="000310AB">
                <w:pPr>
                  <w:pStyle w:val="Titolo2"/>
                  <w:numPr>
                    <w:ilvl w:val="0"/>
                    <w:numId w:val="0"/>
                  </w:numPr>
                  <w:spacing w:before="0"/>
                  <w:rPr>
                    <w:sz w:val="22"/>
                    <w:szCs w:val="22"/>
                  </w:rPr>
                </w:pPr>
              </w:p>
            </w:tc>
          </w:tr>
        </w:tbl>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Titolo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1D86A440">
                    <wp:simplePos x="0" y="0"/>
                    <wp:positionH relativeFrom="page">
                      <wp:align>left</wp:align>
                    </wp:positionH>
                    <wp:positionV relativeFrom="paragraph">
                      <wp:posOffset>-466725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7849C" id="Freeform: Shape 8" o:spid="_x0000_s1026" style="position:absolute;margin-left:0;margin-top:-36.7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PfTJT7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proofErr w:type="gramStart"/>
          <w:r w:rsidRPr="00B16706">
            <w:rPr>
              <w:rFonts w:asciiTheme="minorHAnsi" w:eastAsiaTheme="minorEastAsia" w:hAnsiTheme="minorHAnsi" w:cstheme="minorBidi"/>
              <w:sz w:val="18"/>
              <w:szCs w:val="16"/>
              <w:u w:val="dottedHeavy" w:color="BF8F00" w:themeColor="accent4" w:themeShade="BF"/>
              <w:lang w:eastAsia="en-US"/>
            </w:rPr>
            <w:t>in particular on</w:t>
          </w:r>
          <w:proofErr w:type="gramEnd"/>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respond to the question </w:t>
          </w:r>
          <w:proofErr w:type="gramStart"/>
          <w:r w:rsidRPr="00B16706">
            <w:rPr>
              <w:rFonts w:asciiTheme="minorHAnsi" w:eastAsiaTheme="minorEastAsia" w:hAnsiTheme="minorHAnsi" w:cstheme="minorBidi"/>
              <w:sz w:val="18"/>
              <w:szCs w:val="16"/>
              <w:lang w:eastAsia="en-US"/>
            </w:rPr>
            <w:t>stated;</w:t>
          </w:r>
          <w:proofErr w:type="gramEnd"/>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indicate the specific question to which the comment </w:t>
          </w:r>
          <w:proofErr w:type="gramStart"/>
          <w:r w:rsidRPr="00B16706">
            <w:rPr>
              <w:rFonts w:asciiTheme="minorHAnsi" w:eastAsiaTheme="minorEastAsia" w:hAnsiTheme="minorHAnsi" w:cstheme="minorBidi"/>
              <w:sz w:val="18"/>
              <w:szCs w:val="16"/>
              <w:lang w:eastAsia="en-US"/>
            </w:rPr>
            <w:t>relates;</w:t>
          </w:r>
          <w:proofErr w:type="gramEnd"/>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701E1EA5"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D11B30">
            <w:rPr>
              <w:rFonts w:asciiTheme="minorHAnsi" w:eastAsiaTheme="minorEastAsia" w:hAnsiTheme="minorHAnsi" w:cstheme="minorBidi"/>
              <w:b/>
              <w:sz w:val="18"/>
              <w:szCs w:val="16"/>
              <w:lang w:eastAsia="en-US"/>
            </w:rPr>
            <w:t>20</w:t>
          </w:r>
          <w:r w:rsidR="00C17150">
            <w:rPr>
              <w:rFonts w:asciiTheme="minorHAnsi" w:eastAsiaTheme="minorEastAsia" w:hAnsiTheme="minorHAnsi" w:cstheme="minorBidi"/>
              <w:b/>
              <w:sz w:val="18"/>
              <w:szCs w:val="16"/>
              <w:lang w:eastAsia="en-US"/>
            </w:rPr>
            <w:t xml:space="preserve"> </w:t>
          </w:r>
          <w:r w:rsidR="00D11B30">
            <w:rPr>
              <w:rFonts w:asciiTheme="minorHAnsi" w:eastAsiaTheme="minorEastAsia" w:hAnsiTheme="minorHAnsi" w:cstheme="minorBidi"/>
              <w:b/>
              <w:sz w:val="18"/>
              <w:szCs w:val="16"/>
              <w:lang w:eastAsia="en-US"/>
            </w:rPr>
            <w:t>June</w:t>
          </w:r>
          <w:r w:rsidR="00C17150">
            <w:rPr>
              <w:rFonts w:asciiTheme="minorHAnsi" w:eastAsiaTheme="minorEastAsia" w:hAnsiTheme="minorHAnsi" w:cstheme="minorBidi"/>
              <w:b/>
              <w:sz w:val="18"/>
              <w:szCs w:val="16"/>
              <w:lang w:eastAsia="en-US"/>
            </w:rPr>
            <w:t xml:space="preserve"> 2025</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proofErr w:type="gramStart"/>
          <w:r w:rsidRPr="00B16706">
            <w:rPr>
              <w:rFonts w:asciiTheme="minorHAnsi" w:eastAsiaTheme="minorEastAsia" w:hAnsiTheme="minorHAnsi" w:cstheme="minorBidi"/>
              <w:sz w:val="18"/>
              <w:szCs w:val="16"/>
              <w:lang w:eastAsia="en-US"/>
            </w:rPr>
            <w:t>In order to</w:t>
          </w:r>
          <w:proofErr w:type="gramEnd"/>
          <w:r w:rsidRPr="00B16706">
            <w:rPr>
              <w:rFonts w:asciiTheme="minorHAnsi" w:eastAsiaTheme="minorEastAsia" w:hAnsiTheme="minorHAnsi" w:cstheme="minorBidi"/>
              <w:sz w:val="18"/>
              <w:szCs w:val="16"/>
              <w:lang w:eastAsia="en-US"/>
            </w:rPr>
            <w:t xml:space="preserve">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Paragrafoelenco"/>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Paragrafoelenco"/>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proofErr w:type="gramStart"/>
          <w:r w:rsidR="00A409C2" w:rsidRPr="00871163">
            <w:rPr>
              <w:rFonts w:eastAsiaTheme="minorEastAsia" w:cstheme="minorBidi"/>
              <w:sz w:val="18"/>
              <w:szCs w:val="16"/>
              <w:u w:val="single"/>
              <w:lang w:eastAsia="en-US"/>
            </w:rPr>
            <w:t>);</w:t>
          </w:r>
          <w:proofErr w:type="gramEnd"/>
        </w:p>
        <w:p w14:paraId="6692798E" w14:textId="1F3ED354" w:rsidR="00B16706" w:rsidRPr="00A409C2" w:rsidRDefault="00B16706" w:rsidP="00A409C2">
          <w:pPr>
            <w:pStyle w:val="Paragrafoelenco"/>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B26BA">
            <w:rPr>
              <w:rFonts w:eastAsiaTheme="minorEastAsia" w:cstheme="minorBidi"/>
              <w:sz w:val="18"/>
              <w:szCs w:val="16"/>
              <w:lang w:eastAsia="en-US"/>
            </w:rPr>
            <w:t>E</w:t>
          </w:r>
          <w:r w:rsidR="004578B3">
            <w:rPr>
              <w:rFonts w:eastAsiaTheme="minorEastAsia" w:cstheme="minorBidi"/>
              <w:sz w:val="18"/>
              <w:szCs w:val="16"/>
              <w:lang w:eastAsia="en-US"/>
            </w:rPr>
            <w:t>SGR</w:t>
          </w:r>
          <w:r w:rsidRPr="00A409C2">
            <w:rPr>
              <w:rFonts w:eastAsiaTheme="minorEastAsia" w:cstheme="minorBidi"/>
              <w:sz w:val="18"/>
              <w:szCs w:val="16"/>
              <w:lang w:eastAsia="en-US"/>
            </w:rPr>
            <w:t xml:space="preserve">_1&gt;. Your response to each question </w:t>
          </w:r>
          <w:proofErr w:type="gramStart"/>
          <w:r w:rsidRPr="00A409C2">
            <w:rPr>
              <w:rFonts w:eastAsiaTheme="minorEastAsia" w:cstheme="minorBidi"/>
              <w:sz w:val="18"/>
              <w:szCs w:val="16"/>
              <w:lang w:eastAsia="en-US"/>
            </w:rPr>
            <w:t>has to</w:t>
          </w:r>
          <w:proofErr w:type="gramEnd"/>
          <w:r w:rsidRPr="00A409C2">
            <w:rPr>
              <w:rFonts w:eastAsiaTheme="minorEastAsia" w:cstheme="minorBidi"/>
              <w:sz w:val="18"/>
              <w:szCs w:val="16"/>
              <w:lang w:eastAsia="en-US"/>
            </w:rPr>
            <w:t xml:space="preserve"> be framed by the two tags corresponding to the question.</w:t>
          </w:r>
        </w:p>
        <w:p w14:paraId="1C4E226A" w14:textId="1D43AA8A" w:rsidR="00B16706" w:rsidRPr="00A409C2" w:rsidRDefault="00B16706" w:rsidP="00A409C2">
          <w:pPr>
            <w:pStyle w:val="Paragrafoelenco"/>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5318C045" w:rsidR="00B16706" w:rsidRPr="00A409C2" w:rsidRDefault="00B16706" w:rsidP="00A409C2">
          <w:pPr>
            <w:pStyle w:val="Paragrafoelenco"/>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When you have drafted your response, name your response form according to the following convention: </w:t>
          </w:r>
          <w:proofErr w:type="spellStart"/>
          <w:r w:rsidRPr="00A409C2">
            <w:rPr>
              <w:rFonts w:eastAsiaTheme="minorEastAsia" w:cstheme="minorBidi"/>
              <w:sz w:val="18"/>
              <w:szCs w:val="16"/>
              <w:lang w:eastAsia="en-US"/>
            </w:rPr>
            <w:t>ESMA_</w:t>
          </w:r>
          <w:r w:rsidR="003B26BA">
            <w:rPr>
              <w:rFonts w:eastAsiaTheme="minorEastAsia" w:cstheme="minorBidi"/>
              <w:sz w:val="18"/>
              <w:szCs w:val="16"/>
              <w:lang w:eastAsia="en-US"/>
            </w:rPr>
            <w:t>EUGB</w:t>
          </w:r>
          <w:r w:rsidRPr="00A409C2">
            <w:rPr>
              <w:rFonts w:eastAsiaTheme="minorEastAsia" w:cstheme="minorBidi"/>
              <w:sz w:val="18"/>
              <w:szCs w:val="16"/>
              <w:lang w:eastAsia="en-US"/>
            </w:rPr>
            <w:t>_nameofrespondent_RESPONSEFORM</w:t>
          </w:r>
          <w:proofErr w:type="spellEnd"/>
          <w:r w:rsidRPr="00A409C2">
            <w:rPr>
              <w:rFonts w:eastAsiaTheme="minorEastAsia" w:cstheme="minorBidi"/>
              <w:sz w:val="18"/>
              <w:szCs w:val="16"/>
              <w:lang w:eastAsia="en-US"/>
            </w:rPr>
            <w:t>. For example, for a respondent named ABCD, the response form would be entitled ESMA_</w:t>
          </w:r>
          <w:r w:rsidR="0037311D">
            <w:rPr>
              <w:rFonts w:eastAsiaTheme="minorEastAsia" w:cstheme="minorBidi"/>
              <w:sz w:val="18"/>
              <w:szCs w:val="16"/>
              <w:lang w:eastAsia="en-US"/>
            </w:rPr>
            <w:t>E</w:t>
          </w:r>
          <w:r w:rsidR="001522DD">
            <w:rPr>
              <w:rFonts w:eastAsiaTheme="minorEastAsia" w:cstheme="minorBidi"/>
              <w:sz w:val="18"/>
              <w:szCs w:val="16"/>
              <w:lang w:eastAsia="en-US"/>
            </w:rPr>
            <w:t>SGR</w:t>
          </w:r>
          <w:r w:rsidRPr="00A409C2">
            <w:rPr>
              <w:rFonts w:eastAsiaTheme="minorEastAsia" w:cstheme="minorBidi"/>
              <w:sz w:val="18"/>
              <w:szCs w:val="16"/>
              <w:lang w:eastAsia="en-US"/>
            </w:rPr>
            <w:t>_ABCD_RESPONSEFORM.</w:t>
          </w:r>
        </w:p>
        <w:p w14:paraId="28EEA743" w14:textId="2B8D6968" w:rsidR="00A02199" w:rsidRPr="00A409C2" w:rsidRDefault="00B16706" w:rsidP="00AF2EF7">
          <w:pPr>
            <w:pStyle w:val="Paragrafoelenco"/>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w:t>
          </w:r>
          <w:proofErr w:type="gramStart"/>
          <w:r w:rsidRPr="00A409C2">
            <w:rPr>
              <w:rFonts w:eastAsiaTheme="minorEastAsia" w:cstheme="minorBidi"/>
              <w:sz w:val="18"/>
              <w:szCs w:val="16"/>
              <w:lang w:eastAsia="en-US"/>
            </w:rPr>
            <w:t>&gt;  Consultation</w:t>
          </w:r>
          <w:proofErr w:type="gramEnd"/>
          <w:r w:rsidRPr="00A409C2">
            <w:rPr>
              <w:rFonts w:eastAsiaTheme="minorEastAsia" w:cstheme="minorBidi"/>
              <w:sz w:val="18"/>
              <w:szCs w:val="16"/>
              <w:lang w:eastAsia="en-US"/>
            </w:rPr>
            <w:t xml:space="preserve"> Paper </w:t>
          </w:r>
          <w:r w:rsidR="003B26BA" w:rsidRPr="003B26BA">
            <w:rPr>
              <w:rFonts w:eastAsiaTheme="minorEastAsia" w:cstheme="minorBidi"/>
              <w:sz w:val="18"/>
              <w:szCs w:val="16"/>
              <w:lang w:eastAsia="en-US"/>
            </w:rPr>
            <w:t>on technical standards on the European Green Bonds Regulation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All contributions received will be published following the close of the consultation, unless you request otherwise. Please clearly and prominently indicate in your submission any part you do not wish to be </w:t>
          </w:r>
          <w:proofErr w:type="spellStart"/>
          <w:r w:rsidRPr="00B16706">
            <w:rPr>
              <w:rFonts w:asciiTheme="minorHAnsi" w:eastAsiaTheme="minorEastAsia" w:hAnsiTheme="minorHAnsi" w:cstheme="minorBidi"/>
              <w:sz w:val="18"/>
              <w:szCs w:val="16"/>
              <w:lang w:eastAsia="en-US"/>
            </w:rPr>
            <w:t>publically</w:t>
          </w:r>
          <w:proofErr w:type="spellEnd"/>
          <w:r w:rsidRPr="00B16706">
            <w:rPr>
              <w:rFonts w:asciiTheme="minorHAnsi" w:eastAsiaTheme="minorEastAsia" w:hAnsiTheme="minorHAnsi" w:cstheme="minorBidi"/>
              <w:sz w:val="18"/>
              <w:szCs w:val="16"/>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lastRenderedPageBreak/>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t>Who should read this paper</w:t>
          </w:r>
        </w:p>
      </w:sdtContent>
    </w:sdt>
    <w:p w14:paraId="1F90B8D3" w14:textId="4C9C01EB" w:rsidR="00C85C8B" w:rsidRDefault="00C17150" w:rsidP="008279D3">
      <w:pPr>
        <w:pStyle w:val="Titolo1"/>
        <w:numPr>
          <w:ilvl w:val="0"/>
          <w:numId w:val="0"/>
        </w:numPr>
        <w:spacing w:line="276" w:lineRule="auto"/>
        <w:rPr>
          <w:rFonts w:asciiTheme="minorHAnsi" w:hAnsiTheme="minorHAnsi" w:cstheme="minorHAnsi"/>
          <w:sz w:val="20"/>
          <w:szCs w:val="20"/>
        </w:rPr>
      </w:pPr>
      <w:r w:rsidRPr="00C17150">
        <w:rPr>
          <w:rFonts w:ascii="Arial" w:eastAsia="Times New Roman" w:hAnsi="Arial" w:cs="Arial"/>
          <w:b w:val="0"/>
          <w:sz w:val="18"/>
          <w:szCs w:val="18"/>
          <w:lang w:eastAsia="it-IT"/>
        </w:rPr>
        <w:t xml:space="preserve">All interested stakeholders are invited to respond to this Consultation Paper. </w:t>
      </w:r>
      <w:proofErr w:type="gramStart"/>
      <w:r w:rsidRPr="00C17150">
        <w:rPr>
          <w:rFonts w:ascii="Arial" w:eastAsia="Times New Roman" w:hAnsi="Arial" w:cs="Arial"/>
          <w:b w:val="0"/>
          <w:sz w:val="18"/>
          <w:szCs w:val="18"/>
          <w:lang w:eastAsia="it-IT"/>
        </w:rPr>
        <w:t>In particular, ESMA</w:t>
      </w:r>
      <w:proofErr w:type="gramEnd"/>
      <w:r w:rsidRPr="00C17150">
        <w:rPr>
          <w:rFonts w:ascii="Arial" w:eastAsia="Times New Roman" w:hAnsi="Arial" w:cs="Arial"/>
          <w:b w:val="0"/>
          <w:sz w:val="18"/>
          <w:szCs w:val="18"/>
          <w:lang w:eastAsia="it-IT"/>
        </w:rPr>
        <w:t xml:space="preserve"> encourages entities that intend to apply for registration as external reviewers of European Green Bonds, as well as financial market participants who have or intend to issue or invest in green bonds or sustainability-linked bonds, to participate</w:t>
      </w:r>
      <w:r w:rsidR="00FA64BE" w:rsidRPr="00FA64BE">
        <w:rPr>
          <w:rFonts w:ascii="Arial" w:eastAsia="Times New Roman" w:hAnsi="Arial" w:cs="Arial"/>
          <w:b w:val="0"/>
          <w:sz w:val="18"/>
          <w:szCs w:val="18"/>
          <w:lang w:eastAsia="it-IT"/>
        </w:rPr>
        <w:t xml:space="preserve">. </w:t>
      </w:r>
      <w:r w:rsidR="00AF2EF7"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Content>
            <w:tc>
              <w:tcPr>
                <w:tcW w:w="5595" w:type="dxa"/>
                <w:shd w:val="clear" w:color="auto" w:fill="auto"/>
              </w:tcPr>
              <w:p w14:paraId="1B67440D" w14:textId="4DA5C324" w:rsidR="00C85C8B" w:rsidRPr="00B16706" w:rsidRDefault="00F05D9D" w:rsidP="00C85C8B">
                <w:pPr>
                  <w:rPr>
                    <w:rFonts w:ascii="Arial" w:hAnsi="Arial" w:cs="Arial"/>
                    <w:color w:val="808080"/>
                    <w:sz w:val="16"/>
                    <w:szCs w:val="20"/>
                    <w:lang w:eastAsia="de-DE"/>
                  </w:rPr>
                </w:pPr>
                <w:r>
                  <w:rPr>
                    <w:rFonts w:ascii="Arial" w:hAnsi="Arial" w:cs="Arial"/>
                    <w:color w:val="808080"/>
                    <w:sz w:val="16"/>
                    <w:szCs w:val="20"/>
                    <w:lang w:eastAsia="de-DE"/>
                  </w:rPr>
                  <w:t>Genoa Centre for Law and Finance</w:t>
                </w:r>
              </w:p>
            </w:tc>
          </w:sdtContent>
        </w:sdt>
      </w:tr>
      <w:tr w:rsidR="00C85C8B" w:rsidRPr="00B16706" w14:paraId="216F3E57" w14:textId="77777777" w:rsidTr="00C16775">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12C349C8" w:rsidR="00C85C8B" w:rsidRPr="00B16706" w:rsidRDefault="0000000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F05D9D">
                  <w:rPr>
                    <w:rFonts w:ascii="Arial" w:hAnsi="Arial" w:cs="Arial"/>
                    <w:sz w:val="16"/>
                    <w:szCs w:val="20"/>
                    <w:lang w:eastAsia="de-DE"/>
                  </w:rPr>
                  <w:t>Audit/Legal/Individual</w:t>
                </w:r>
              </w:sdtContent>
            </w:sdt>
          </w:p>
        </w:tc>
      </w:tr>
      <w:tr w:rsidR="00C85C8B" w:rsidRPr="00B16706" w14:paraId="0D216581" w14:textId="77777777" w:rsidTr="00C16775">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Content>
            <w:tc>
              <w:tcPr>
                <w:tcW w:w="5595" w:type="dxa"/>
                <w:shd w:val="clear" w:color="auto" w:fill="auto"/>
              </w:tcPr>
              <w:p w14:paraId="6C4423E1" w14:textId="511A3048" w:rsidR="00C85C8B" w:rsidRPr="00B16706" w:rsidRDefault="0037311D"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082656BF" w14:textId="6A6DF519" w:rsidR="00C85C8B" w:rsidRPr="00B16706" w:rsidRDefault="00F05D9D" w:rsidP="00C85C8B">
                <w:pPr>
                  <w:rPr>
                    <w:rFonts w:ascii="Arial" w:hAnsi="Arial" w:cs="Arial"/>
                    <w:sz w:val="16"/>
                    <w:szCs w:val="20"/>
                    <w:lang w:eastAsia="de-DE"/>
                  </w:rPr>
                </w:pPr>
                <w:r>
                  <w:rPr>
                    <w:rFonts w:ascii="Arial" w:hAnsi="Arial" w:cs="Arial"/>
                    <w:sz w:val="16"/>
                    <w:szCs w:val="20"/>
                    <w:lang w:eastAsia="de-DE"/>
                  </w:rPr>
                  <w:t>Italy</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p w14:paraId="14C3989A" w14:textId="77777777" w:rsidR="001B1B48" w:rsidRDefault="001B1B48">
      <w:pPr>
        <w:spacing w:after="120" w:line="264" w:lineRule="auto"/>
        <w:rPr>
          <w:rFonts w:ascii="Arial" w:hAnsi="Arial" w:cs="Arial"/>
          <w:b/>
          <w:sz w:val="22"/>
          <w:szCs w:val="22"/>
          <w:lang w:val="en-US" w:eastAsia="en-US"/>
        </w:rPr>
      </w:pPr>
    </w:p>
    <w:bookmarkEnd w:id="0"/>
    <w:p w14:paraId="5B87C99A" w14:textId="6906B0B4" w:rsidR="001B1B48" w:rsidRPr="004578B3" w:rsidRDefault="00CB0C0C" w:rsidP="004578B3">
      <w:pPr>
        <w:pStyle w:val="Paragraph"/>
        <w:numPr>
          <w:ilvl w:val="0"/>
          <w:numId w:val="0"/>
        </w:numPr>
        <w:ind w:left="708" w:hanging="708"/>
      </w:pPr>
      <w:proofErr w:type="gramStart"/>
      <w:r w:rsidRPr="009464EF">
        <w:rPr>
          <w:b/>
          <w:bCs/>
        </w:rPr>
        <w:t>Q1</w:t>
      </w:r>
      <w:proofErr w:type="gramEnd"/>
      <w:r w:rsidRPr="2E20FBB1">
        <w:t xml:space="preserve"> </w:t>
      </w:r>
      <w:r w:rsidR="004578B3">
        <w:tab/>
      </w:r>
      <w:r w:rsidRPr="004578B3">
        <w:rPr>
          <w:rFonts w:eastAsia="Times New Roman"/>
          <w:b/>
          <w:bCs/>
          <w:color w:val="auto"/>
          <w:lang w:eastAsia="en-US"/>
        </w:rPr>
        <w:t>Do you agree with ESMA’s proposals for the draft technical standard under Articles 6(3) and 12(9)?</w:t>
      </w:r>
      <w:r w:rsidR="00BB29AA" w:rsidRPr="00BB29AA">
        <w:rPr>
          <w:b/>
          <w:lang w:eastAsia="en-US"/>
        </w:rPr>
        <w:t xml:space="preserve"> </w:t>
      </w:r>
    </w:p>
    <w:p w14:paraId="034DFB41" w14:textId="7ABA3DFE"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Pr>
          <w:rFonts w:ascii="Calibri" w:eastAsia="Calibri" w:hAnsi="Calibri"/>
          <w:kern w:val="2"/>
          <w:sz w:val="22"/>
          <w:szCs w:val="22"/>
          <w:lang w:eastAsia="en-US"/>
          <w14:ligatures w14:val="standardContextual"/>
        </w:rPr>
        <w:t>E</w:t>
      </w:r>
      <w:r w:rsidR="004578B3">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_1&gt;</w:t>
      </w:r>
    </w:p>
    <w:p w14:paraId="15CFE957" w14:textId="3935DC14" w:rsidR="00F05D9D" w:rsidRPr="00F05D9D" w:rsidRDefault="00F05D9D" w:rsidP="00A86675">
      <w:pPr>
        <w:spacing w:after="160" w:line="259" w:lineRule="auto"/>
        <w:jc w:val="both"/>
        <w:rPr>
          <w:rFonts w:ascii="Calibri" w:eastAsia="Calibri" w:hAnsi="Calibri"/>
          <w:kern w:val="2"/>
          <w:sz w:val="22"/>
          <w:szCs w:val="22"/>
          <w:lang w:val="en-US" w:eastAsia="en-US"/>
          <w14:ligatures w14:val="standardContextual"/>
        </w:rPr>
      </w:pPr>
      <w:permStart w:id="1765354918" w:edGrp="everyone"/>
      <w:r w:rsidRPr="00F05D9D">
        <w:rPr>
          <w:rFonts w:ascii="Calibri" w:eastAsia="Calibri" w:hAnsi="Calibri"/>
          <w:kern w:val="2"/>
          <w:sz w:val="22"/>
          <w:szCs w:val="22"/>
          <w:lang w:val="en-US" w:eastAsia="en-US"/>
          <w14:ligatures w14:val="standardContextual"/>
        </w:rPr>
        <w:t xml:space="preserve">Yes, we fully support ESMA’s approach of consolidating the technical standards for both authorization and recognition into a single RTS. This method promotes coherence, reduces duplication, and contributes to regulatory simplification. Furthermore, the pyramid approach adopted by ESMA can effectively facilitate easier compliance and enhance legal certainty regarding the </w:t>
      </w:r>
      <w:r w:rsidR="00483BEA">
        <w:rPr>
          <w:rFonts w:ascii="Calibri" w:eastAsia="Calibri" w:hAnsi="Calibri"/>
          <w:kern w:val="2"/>
          <w:sz w:val="22"/>
          <w:szCs w:val="22"/>
          <w:lang w:val="en-US" w:eastAsia="en-US"/>
          <w14:ligatures w14:val="standardContextual"/>
        </w:rPr>
        <w:t>obligations</w:t>
      </w:r>
      <w:r w:rsidRPr="00F05D9D">
        <w:rPr>
          <w:rFonts w:ascii="Calibri" w:eastAsia="Calibri" w:hAnsi="Calibri"/>
          <w:kern w:val="2"/>
          <w:sz w:val="22"/>
          <w:szCs w:val="22"/>
          <w:lang w:val="en-US" w:eastAsia="en-US"/>
          <w14:ligatures w14:val="standardContextual"/>
        </w:rPr>
        <w:t xml:space="preserve"> of ESG rating providers.</w:t>
      </w:r>
    </w:p>
    <w:p w14:paraId="49C3A019" w14:textId="77777777" w:rsidR="00402176" w:rsidRDefault="00402176" w:rsidP="00A86675">
      <w:pPr>
        <w:spacing w:after="160" w:line="259" w:lineRule="auto"/>
        <w:jc w:val="both"/>
        <w:rPr>
          <w:rFonts w:ascii="Calibri" w:eastAsia="Calibri" w:hAnsi="Calibri"/>
          <w:kern w:val="2"/>
          <w:sz w:val="22"/>
          <w:szCs w:val="22"/>
          <w:lang w:eastAsia="en-US"/>
          <w14:ligatures w14:val="standardContextual"/>
        </w:rPr>
      </w:pPr>
      <w:r w:rsidRPr="00402176">
        <w:rPr>
          <w:rFonts w:ascii="Calibri" w:eastAsia="Calibri" w:hAnsi="Calibri"/>
          <w:kern w:val="2"/>
          <w:sz w:val="22"/>
          <w:szCs w:val="22"/>
          <w:lang w:eastAsia="en-US"/>
          <w14:ligatures w14:val="standardContextual"/>
        </w:rPr>
        <w:t>We also agree with the decision not to introduce differentiated regimes based on size for authorization or recognition. Although the authorization mechanism may create a barrier to entry in the already highly concentrated ESG rating providers’ market, the information required under these RTS is essential to achieving the objectives of the ESG rating regulation and appropriately reflects the principle of proportionality.</w:t>
      </w:r>
    </w:p>
    <w:p w14:paraId="61ACAC13" w14:textId="75E8237A" w:rsidR="001B1B48" w:rsidRPr="00F05D9D" w:rsidRDefault="000061F3" w:rsidP="00A86675">
      <w:pPr>
        <w:spacing w:after="160" w:line="259" w:lineRule="auto"/>
        <w:jc w:val="both"/>
        <w:rPr>
          <w:rFonts w:ascii="Calibri" w:eastAsia="Calibri" w:hAnsi="Calibri"/>
          <w:kern w:val="2"/>
          <w:sz w:val="22"/>
          <w:szCs w:val="22"/>
          <w:lang w:val="en-US" w:eastAsia="en-US"/>
          <w14:ligatures w14:val="standardContextual"/>
        </w:rPr>
      </w:pPr>
      <w:r w:rsidRPr="000061F3">
        <w:rPr>
          <w:rFonts w:ascii="Calibri" w:eastAsia="Calibri" w:hAnsi="Calibri"/>
          <w:kern w:val="2"/>
          <w:sz w:val="22"/>
          <w:szCs w:val="22"/>
          <w:lang w:eastAsia="en-US"/>
          <w14:ligatures w14:val="standardContextual"/>
        </w:rPr>
        <w:t>However, we would like to point out that the information required under Part C of Annex III of</w:t>
      </w:r>
      <w:r w:rsidR="00091192">
        <w:rPr>
          <w:rFonts w:ascii="Calibri" w:eastAsia="Calibri" w:hAnsi="Calibri"/>
          <w:kern w:val="2"/>
          <w:sz w:val="22"/>
          <w:szCs w:val="22"/>
          <w:lang w:eastAsia="en-US"/>
          <w14:ligatures w14:val="standardContextual"/>
        </w:rPr>
        <w:t xml:space="preserve"> these RTS</w:t>
      </w:r>
      <w:r w:rsidRPr="000061F3">
        <w:rPr>
          <w:rFonts w:ascii="Calibri" w:eastAsia="Calibri" w:hAnsi="Calibri"/>
          <w:kern w:val="2"/>
          <w:sz w:val="22"/>
          <w:szCs w:val="22"/>
          <w:lang w:eastAsia="en-US"/>
          <w14:ligatures w14:val="standardContextual"/>
        </w:rPr>
        <w:t xml:space="preserve"> may overlap with the information required under Parts H and N of Annex II of the same RTS. As a general principle, we believe it is important to avoid duplication</w:t>
      </w:r>
      <w:r w:rsidR="00E5426C">
        <w:rPr>
          <w:rFonts w:ascii="Calibri" w:eastAsia="Calibri" w:hAnsi="Calibri"/>
          <w:kern w:val="2"/>
          <w:sz w:val="22"/>
          <w:szCs w:val="22"/>
          <w:lang w:eastAsia="en-US"/>
          <w14:ligatures w14:val="standardContextual"/>
        </w:rPr>
        <w:t>s</w:t>
      </w:r>
      <w:r w:rsidRPr="000061F3">
        <w:rPr>
          <w:rFonts w:ascii="Calibri" w:eastAsia="Calibri" w:hAnsi="Calibri"/>
          <w:kern w:val="2"/>
          <w:sz w:val="22"/>
          <w:szCs w:val="22"/>
          <w:lang w:eastAsia="en-US"/>
          <w14:ligatures w14:val="standardContextual"/>
        </w:rPr>
        <w:t xml:space="preserve"> </w:t>
      </w:r>
      <w:proofErr w:type="gramStart"/>
      <w:r w:rsidRPr="000061F3">
        <w:rPr>
          <w:rFonts w:ascii="Calibri" w:eastAsia="Calibri" w:hAnsi="Calibri"/>
          <w:kern w:val="2"/>
          <w:sz w:val="22"/>
          <w:szCs w:val="22"/>
          <w:lang w:eastAsia="en-US"/>
          <w14:ligatures w14:val="standardContextual"/>
        </w:rPr>
        <w:t>in order to</w:t>
      </w:r>
      <w:proofErr w:type="gramEnd"/>
      <w:r w:rsidRPr="000061F3">
        <w:rPr>
          <w:rFonts w:ascii="Calibri" w:eastAsia="Calibri" w:hAnsi="Calibri"/>
          <w:kern w:val="2"/>
          <w:sz w:val="22"/>
          <w:szCs w:val="22"/>
          <w:lang w:eastAsia="en-US"/>
          <w14:ligatures w14:val="standardContextual"/>
        </w:rPr>
        <w:t xml:space="preserve"> enhance clarity and support ESG rating providers in effectively complying with the regulation</w:t>
      </w:r>
      <w:r w:rsidR="00F05D9D" w:rsidRPr="00F05D9D">
        <w:rPr>
          <w:rFonts w:ascii="Calibri" w:eastAsia="Calibri" w:hAnsi="Calibri"/>
          <w:kern w:val="2"/>
          <w:sz w:val="22"/>
          <w:szCs w:val="22"/>
          <w:lang w:val="en-US" w:eastAsia="en-US"/>
          <w14:ligatures w14:val="standardContextual"/>
        </w:rPr>
        <w:t>.</w:t>
      </w:r>
    </w:p>
    <w:permEnd w:id="1765354918"/>
    <w:p w14:paraId="38524F57" w14:textId="12DC62D2"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Pr>
          <w:rFonts w:ascii="Calibri" w:eastAsia="Calibri" w:hAnsi="Calibri"/>
          <w:kern w:val="2"/>
          <w:sz w:val="22"/>
          <w:szCs w:val="22"/>
          <w:lang w:eastAsia="en-US"/>
          <w14:ligatures w14:val="standardContextual"/>
        </w:rPr>
        <w:t>E</w:t>
      </w:r>
      <w:r w:rsidR="00AB2C3F">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_1&gt;</w:t>
      </w:r>
    </w:p>
    <w:p w14:paraId="48BA7F7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35B7ECCA" w14:textId="6E65D552" w:rsidR="001B1B48" w:rsidRPr="00ED4FDB" w:rsidRDefault="00ED4FDB" w:rsidP="00ED4FDB">
      <w:pPr>
        <w:pStyle w:val="Paragraph"/>
        <w:numPr>
          <w:ilvl w:val="0"/>
          <w:numId w:val="0"/>
        </w:numPr>
        <w:ind w:left="708" w:hanging="708"/>
      </w:pPr>
      <w:proofErr w:type="gramStart"/>
      <w:r w:rsidRPr="009464EF">
        <w:rPr>
          <w:b/>
          <w:bCs/>
        </w:rPr>
        <w:t>Q2</w:t>
      </w:r>
      <w:proofErr w:type="gramEnd"/>
      <w:r w:rsidRPr="2E20FBB1">
        <w:t xml:space="preserve"> </w:t>
      </w:r>
      <w:r>
        <w:tab/>
      </w:r>
      <w:r w:rsidRPr="00ED4FDB">
        <w:rPr>
          <w:b/>
          <w:bCs/>
        </w:rPr>
        <w:t>Do you agree with ESMA’s proposals for the draft technical standard under Article 16(5)?</w:t>
      </w:r>
    </w:p>
    <w:p w14:paraId="6C03D9F2" w14:textId="65FA1CA4"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w:t>
      </w:r>
      <w:r w:rsidR="00ED4FDB">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_2&gt;</w:t>
      </w:r>
    </w:p>
    <w:p w14:paraId="184FB7D1" w14:textId="328F7C0B" w:rsidR="00A86675" w:rsidRPr="00A86675" w:rsidRDefault="00A86675" w:rsidP="00A86675">
      <w:pPr>
        <w:spacing w:after="160" w:line="259" w:lineRule="auto"/>
        <w:jc w:val="both"/>
        <w:rPr>
          <w:rFonts w:ascii="Calibri" w:eastAsia="Calibri" w:hAnsi="Calibri"/>
          <w:kern w:val="2"/>
          <w:sz w:val="22"/>
          <w:szCs w:val="22"/>
          <w:lang w:val="en-US" w:eastAsia="en-US"/>
          <w14:ligatures w14:val="standardContextual"/>
        </w:rPr>
      </w:pPr>
      <w:permStart w:id="1667529024" w:edGrp="everyone"/>
      <w:r w:rsidRPr="00A86675">
        <w:rPr>
          <w:rFonts w:ascii="Calibri" w:eastAsia="Calibri" w:hAnsi="Calibri"/>
          <w:kern w:val="2"/>
          <w:sz w:val="22"/>
          <w:szCs w:val="22"/>
          <w:lang w:val="en-US" w:eastAsia="en-US"/>
          <w14:ligatures w14:val="standardContextual"/>
        </w:rPr>
        <w:t xml:space="preserve">We broadly agree with ESMA’s proposals to ensure the effective separation of ESG rating activities from other potentially conflicting business lines. The emphasis on </w:t>
      </w:r>
      <w:proofErr w:type="spellStart"/>
      <w:r w:rsidRPr="00A86675">
        <w:rPr>
          <w:rFonts w:ascii="Calibri" w:eastAsia="Calibri" w:hAnsi="Calibri"/>
          <w:kern w:val="2"/>
          <w:sz w:val="22"/>
          <w:szCs w:val="22"/>
          <w:lang w:val="en-US" w:eastAsia="en-US"/>
          <w14:ligatures w14:val="standardContextual"/>
        </w:rPr>
        <w:t>organisational</w:t>
      </w:r>
      <w:proofErr w:type="spellEnd"/>
      <w:r w:rsidRPr="00A86675">
        <w:rPr>
          <w:rFonts w:ascii="Calibri" w:eastAsia="Calibri" w:hAnsi="Calibri"/>
          <w:kern w:val="2"/>
          <w:sz w:val="22"/>
          <w:szCs w:val="22"/>
          <w:lang w:val="en-US" w:eastAsia="en-US"/>
          <w14:ligatures w14:val="standardContextual"/>
        </w:rPr>
        <w:t xml:space="preserve">, physical, and technical safeguards is well-justified and essential to preserving the independence and integrity of ESG ratings. Furthermore, the pyramid approach adopted by ESMA can effectively support easier compliance and enhance legal certainty regarding the </w:t>
      </w:r>
      <w:r w:rsidR="00483BEA">
        <w:rPr>
          <w:rFonts w:ascii="Calibri" w:eastAsia="Calibri" w:hAnsi="Calibri"/>
          <w:kern w:val="2"/>
          <w:sz w:val="22"/>
          <w:szCs w:val="22"/>
          <w:lang w:val="en-US" w:eastAsia="en-US"/>
          <w14:ligatures w14:val="standardContextual"/>
        </w:rPr>
        <w:t>obligations</w:t>
      </w:r>
      <w:r w:rsidRPr="00A86675">
        <w:rPr>
          <w:rFonts w:ascii="Calibri" w:eastAsia="Calibri" w:hAnsi="Calibri"/>
          <w:kern w:val="2"/>
          <w:sz w:val="22"/>
          <w:szCs w:val="22"/>
          <w:lang w:val="en-US" w:eastAsia="en-US"/>
          <w14:ligatures w14:val="standardContextual"/>
        </w:rPr>
        <w:t xml:space="preserve"> of ESG rating providers.</w:t>
      </w:r>
    </w:p>
    <w:p w14:paraId="454B9DEC" w14:textId="113AE05A" w:rsidR="00A86675" w:rsidRPr="00A86675" w:rsidRDefault="00A86675" w:rsidP="00A86675">
      <w:pPr>
        <w:spacing w:after="160" w:line="259" w:lineRule="auto"/>
        <w:jc w:val="both"/>
        <w:rPr>
          <w:rFonts w:ascii="Calibri" w:eastAsia="Calibri" w:hAnsi="Calibri"/>
          <w:kern w:val="2"/>
          <w:sz w:val="22"/>
          <w:szCs w:val="22"/>
          <w:lang w:val="en-US" w:eastAsia="en-US"/>
          <w14:ligatures w14:val="standardContextual"/>
        </w:rPr>
      </w:pPr>
      <w:r w:rsidRPr="00A86675">
        <w:rPr>
          <w:rFonts w:ascii="Calibri" w:eastAsia="Calibri" w:hAnsi="Calibri"/>
          <w:kern w:val="2"/>
          <w:sz w:val="22"/>
          <w:szCs w:val="22"/>
          <w:lang w:val="en-US" w:eastAsia="en-US"/>
          <w14:ligatures w14:val="standardContextual"/>
        </w:rPr>
        <w:t xml:space="preserve">However, we suggest a </w:t>
      </w:r>
      <w:r w:rsidR="00D8396B">
        <w:rPr>
          <w:rFonts w:ascii="Calibri" w:eastAsia="Calibri" w:hAnsi="Calibri"/>
          <w:kern w:val="2"/>
          <w:sz w:val="22"/>
          <w:szCs w:val="22"/>
          <w:lang w:val="en-US" w:eastAsia="en-US"/>
          <w14:ligatures w14:val="standardContextual"/>
        </w:rPr>
        <w:t>few</w:t>
      </w:r>
      <w:r w:rsidRPr="00A86675">
        <w:rPr>
          <w:rFonts w:ascii="Calibri" w:eastAsia="Calibri" w:hAnsi="Calibri"/>
          <w:kern w:val="2"/>
          <w:sz w:val="22"/>
          <w:szCs w:val="22"/>
          <w:lang w:val="en-US" w:eastAsia="en-US"/>
          <w14:ligatures w14:val="standardContextual"/>
        </w:rPr>
        <w:t xml:space="preserve"> clarifications and </w:t>
      </w:r>
      <w:r w:rsidR="00D8396B">
        <w:rPr>
          <w:rFonts w:ascii="Calibri" w:eastAsia="Calibri" w:hAnsi="Calibri"/>
          <w:kern w:val="2"/>
          <w:sz w:val="22"/>
          <w:szCs w:val="22"/>
          <w:lang w:val="en-US" w:eastAsia="en-US"/>
          <w14:ligatures w14:val="standardContextual"/>
        </w:rPr>
        <w:t>amendments</w:t>
      </w:r>
      <w:r w:rsidRPr="00A86675">
        <w:rPr>
          <w:rFonts w:ascii="Calibri" w:eastAsia="Calibri" w:hAnsi="Calibri"/>
          <w:kern w:val="2"/>
          <w:sz w:val="22"/>
          <w:szCs w:val="22"/>
          <w:lang w:val="en-US" w:eastAsia="en-US"/>
          <w14:ligatures w14:val="standardContextual"/>
        </w:rPr>
        <w:t xml:space="preserve"> to the proposed RTS</w:t>
      </w:r>
      <w:r w:rsidR="00B574D3">
        <w:rPr>
          <w:rFonts w:ascii="Calibri" w:eastAsia="Calibri" w:hAnsi="Calibri"/>
          <w:kern w:val="2"/>
          <w:sz w:val="22"/>
          <w:szCs w:val="22"/>
          <w:lang w:val="en-US" w:eastAsia="en-US"/>
          <w14:ligatures w14:val="standardContextual"/>
        </w:rPr>
        <w:t xml:space="preserve"> under Article 16(5)</w:t>
      </w:r>
      <w:r w:rsidR="006D11C9">
        <w:rPr>
          <w:rFonts w:ascii="Calibri" w:eastAsia="Calibri" w:hAnsi="Calibri"/>
          <w:kern w:val="2"/>
          <w:sz w:val="22"/>
          <w:szCs w:val="22"/>
          <w:lang w:val="en-US" w:eastAsia="en-US"/>
          <w14:ligatures w14:val="standardContextual"/>
        </w:rPr>
        <w:t>.</w:t>
      </w:r>
    </w:p>
    <w:p w14:paraId="00F64E24" w14:textId="23B4A3B1" w:rsidR="00A86675" w:rsidRPr="00A86675" w:rsidRDefault="00A86675" w:rsidP="00A86675">
      <w:pPr>
        <w:spacing w:after="160" w:line="259" w:lineRule="auto"/>
        <w:jc w:val="both"/>
        <w:rPr>
          <w:rFonts w:ascii="Calibri" w:eastAsia="Calibri" w:hAnsi="Calibri"/>
          <w:kern w:val="2"/>
          <w:sz w:val="22"/>
          <w:szCs w:val="22"/>
          <w:lang w:val="en-US" w:eastAsia="en-US"/>
          <w14:ligatures w14:val="standardContextual"/>
        </w:rPr>
      </w:pPr>
      <w:r w:rsidRPr="00A86675">
        <w:rPr>
          <w:rFonts w:ascii="Calibri" w:eastAsia="Calibri" w:hAnsi="Calibri"/>
          <w:kern w:val="2"/>
          <w:sz w:val="22"/>
          <w:szCs w:val="22"/>
          <w:lang w:val="en-US" w:eastAsia="en-US"/>
          <w14:ligatures w14:val="standardContextual"/>
        </w:rPr>
        <w:t xml:space="preserve">Firstly, we recommend clarifying Article 1(1)(c), which states that employees and other persons directly involved in the assessment of a rated item should periodically submit </w:t>
      </w:r>
      <w:r w:rsidR="00A17D1C">
        <w:rPr>
          <w:rFonts w:ascii="Calibri" w:eastAsia="Calibri" w:hAnsi="Calibri"/>
          <w:kern w:val="2"/>
          <w:sz w:val="22"/>
          <w:szCs w:val="22"/>
          <w:lang w:val="en-US" w:eastAsia="en-US"/>
          <w14:ligatures w14:val="standardContextual"/>
        </w:rPr>
        <w:t xml:space="preserve">(we assume: to the </w:t>
      </w:r>
      <w:r w:rsidR="004B1289">
        <w:rPr>
          <w:rFonts w:ascii="Calibri" w:eastAsia="Calibri" w:hAnsi="Calibri"/>
          <w:kern w:val="2"/>
          <w:sz w:val="22"/>
          <w:szCs w:val="22"/>
          <w:lang w:val="en-US" w:eastAsia="en-US"/>
          <w14:ligatures w14:val="standardContextual"/>
        </w:rPr>
        <w:t>ESG rating provider</w:t>
      </w:r>
      <w:r w:rsidR="00A17D1C">
        <w:rPr>
          <w:rFonts w:ascii="Calibri" w:eastAsia="Calibri" w:hAnsi="Calibri"/>
          <w:kern w:val="2"/>
          <w:sz w:val="22"/>
          <w:szCs w:val="22"/>
          <w:lang w:val="en-US" w:eastAsia="en-US"/>
          <w14:ligatures w14:val="standardContextual"/>
        </w:rPr>
        <w:t xml:space="preserve">) </w:t>
      </w:r>
      <w:r w:rsidRPr="00A86675">
        <w:rPr>
          <w:rFonts w:ascii="Calibri" w:eastAsia="Calibri" w:hAnsi="Calibri"/>
          <w:kern w:val="2"/>
          <w:sz w:val="22"/>
          <w:szCs w:val="22"/>
          <w:lang w:val="en-US" w:eastAsia="en-US"/>
          <w14:ligatures w14:val="standardContextual"/>
        </w:rPr>
        <w:t>a self-declaration confirming they do not perform any of the activities listed in Article 16(1) of Regulation (EU) 2024/3005. In particular, the phrase “</w:t>
      </w:r>
      <w:r w:rsidRPr="00A86675">
        <w:rPr>
          <w:rFonts w:ascii="Calibri" w:eastAsia="Calibri" w:hAnsi="Calibri"/>
          <w:i/>
          <w:iCs/>
          <w:kern w:val="2"/>
          <w:sz w:val="22"/>
          <w:szCs w:val="22"/>
          <w:lang w:val="en-US" w:eastAsia="en-US"/>
          <w14:ligatures w14:val="standardContextual"/>
        </w:rPr>
        <w:t>at regular intervals</w:t>
      </w:r>
      <w:r w:rsidRPr="00A86675">
        <w:rPr>
          <w:rFonts w:ascii="Calibri" w:eastAsia="Calibri" w:hAnsi="Calibri"/>
          <w:kern w:val="2"/>
          <w:sz w:val="22"/>
          <w:szCs w:val="22"/>
          <w:lang w:val="en-US" w:eastAsia="en-US"/>
          <w14:ligatures w14:val="standardContextual"/>
        </w:rPr>
        <w:t xml:space="preserve">” </w:t>
      </w:r>
      <w:r w:rsidR="004B1289">
        <w:rPr>
          <w:rFonts w:ascii="Calibri" w:eastAsia="Calibri" w:hAnsi="Calibri"/>
          <w:kern w:val="2"/>
          <w:sz w:val="22"/>
          <w:szCs w:val="22"/>
          <w:lang w:val="en-US" w:eastAsia="en-US"/>
          <w14:ligatures w14:val="standardContextual"/>
        </w:rPr>
        <w:t xml:space="preserve">may be </w:t>
      </w:r>
      <w:r w:rsidRPr="00A86675">
        <w:rPr>
          <w:rFonts w:ascii="Calibri" w:eastAsia="Calibri" w:hAnsi="Calibri"/>
          <w:kern w:val="2"/>
          <w:sz w:val="22"/>
          <w:szCs w:val="22"/>
          <w:lang w:val="en-US" w:eastAsia="en-US"/>
          <w14:ligatures w14:val="standardContextual"/>
        </w:rPr>
        <w:t xml:space="preserve">vague and lead to inconsistent interpretations, potentially resulting in divergent practices and legal uncertainty. </w:t>
      </w:r>
      <w:r w:rsidR="00537A67">
        <w:rPr>
          <w:rFonts w:ascii="Calibri" w:eastAsia="Calibri" w:hAnsi="Calibri"/>
          <w:kern w:val="2"/>
          <w:sz w:val="22"/>
          <w:szCs w:val="22"/>
          <w:lang w:val="en-US" w:eastAsia="en-US"/>
          <w14:ligatures w14:val="standardContextual"/>
        </w:rPr>
        <w:t xml:space="preserve">We suggest specifying </w:t>
      </w:r>
      <w:r w:rsidR="003E43FB" w:rsidRPr="003E43FB">
        <w:rPr>
          <w:rFonts w:ascii="Calibri" w:eastAsia="Calibri" w:hAnsi="Calibri"/>
          <w:kern w:val="2"/>
          <w:sz w:val="22"/>
          <w:szCs w:val="22"/>
          <w:lang w:eastAsia="en-US"/>
          <w14:ligatures w14:val="standardContextual"/>
        </w:rPr>
        <w:t xml:space="preserve">a </w:t>
      </w:r>
      <w:r w:rsidR="00DA55C5">
        <w:rPr>
          <w:rFonts w:ascii="Calibri" w:eastAsia="Calibri" w:hAnsi="Calibri"/>
          <w:kern w:val="2"/>
          <w:sz w:val="22"/>
          <w:szCs w:val="22"/>
          <w:lang w:eastAsia="en-US"/>
          <w14:ligatures w14:val="standardContextual"/>
        </w:rPr>
        <w:t>pre-</w:t>
      </w:r>
      <w:r w:rsidR="003E43FB" w:rsidRPr="003E43FB">
        <w:rPr>
          <w:rFonts w:ascii="Calibri" w:eastAsia="Calibri" w:hAnsi="Calibri"/>
          <w:kern w:val="2"/>
          <w:sz w:val="22"/>
          <w:szCs w:val="22"/>
          <w:lang w:eastAsia="en-US"/>
          <w14:ligatures w14:val="standardContextual"/>
        </w:rPr>
        <w:t xml:space="preserve">defined time window within which the self-declaration must be submitted – for example, </w:t>
      </w:r>
      <w:r w:rsidR="0086293C">
        <w:rPr>
          <w:rFonts w:ascii="Calibri" w:eastAsia="Calibri" w:hAnsi="Calibri"/>
          <w:kern w:val="2"/>
          <w:sz w:val="22"/>
          <w:szCs w:val="22"/>
          <w:lang w:eastAsia="en-US"/>
          <w14:ligatures w14:val="standardContextual"/>
        </w:rPr>
        <w:t>“</w:t>
      </w:r>
      <w:r w:rsidR="003E43FB" w:rsidRPr="003E43FB">
        <w:rPr>
          <w:rFonts w:ascii="Calibri" w:eastAsia="Calibri" w:hAnsi="Calibri"/>
          <w:i/>
          <w:iCs/>
          <w:kern w:val="2"/>
          <w:sz w:val="22"/>
          <w:szCs w:val="22"/>
          <w:lang w:eastAsia="en-US"/>
          <w14:ligatures w14:val="standardContextual"/>
        </w:rPr>
        <w:t>at least once every calendar year</w:t>
      </w:r>
      <w:r w:rsidR="0086293C" w:rsidRPr="0086293C">
        <w:rPr>
          <w:rFonts w:ascii="Calibri" w:eastAsia="Calibri" w:hAnsi="Calibri"/>
          <w:kern w:val="2"/>
          <w:sz w:val="22"/>
          <w:szCs w:val="22"/>
          <w:lang w:eastAsia="en-US"/>
          <w14:ligatures w14:val="standardContextual"/>
        </w:rPr>
        <w:t>”</w:t>
      </w:r>
      <w:r w:rsidR="0086293C">
        <w:rPr>
          <w:rFonts w:ascii="Calibri" w:eastAsia="Calibri" w:hAnsi="Calibri"/>
          <w:kern w:val="2"/>
          <w:sz w:val="22"/>
          <w:szCs w:val="22"/>
          <w:lang w:eastAsia="en-US"/>
          <w14:ligatures w14:val="standardContextual"/>
        </w:rPr>
        <w:t>.</w:t>
      </w:r>
    </w:p>
    <w:p w14:paraId="042061AC" w14:textId="6EAB534C" w:rsidR="00A86675" w:rsidRPr="00A86675" w:rsidRDefault="00A86675" w:rsidP="0009750F">
      <w:pPr>
        <w:spacing w:after="160" w:line="259" w:lineRule="auto"/>
        <w:jc w:val="both"/>
        <w:rPr>
          <w:rFonts w:ascii="Calibri" w:eastAsia="Calibri" w:hAnsi="Calibri"/>
          <w:kern w:val="2"/>
          <w:sz w:val="22"/>
          <w:szCs w:val="22"/>
          <w:lang w:val="en-US" w:eastAsia="en-US"/>
          <w14:ligatures w14:val="standardContextual"/>
        </w:rPr>
      </w:pPr>
      <w:r w:rsidRPr="00A86675">
        <w:rPr>
          <w:rFonts w:ascii="Calibri" w:eastAsia="Calibri" w:hAnsi="Calibri"/>
          <w:kern w:val="2"/>
          <w:sz w:val="22"/>
          <w:szCs w:val="22"/>
          <w:lang w:val="en-US" w:eastAsia="en-US"/>
          <w14:ligatures w14:val="standardContextual"/>
        </w:rPr>
        <w:lastRenderedPageBreak/>
        <w:t xml:space="preserve">Secondly, we suggest considering the extension of the contractual measures set out in Article 2(1)(e) to all safeguards related to the separation of business and activities. These measures – namely, </w:t>
      </w:r>
      <w:r w:rsidR="00F215B0">
        <w:rPr>
          <w:rFonts w:ascii="Calibri" w:eastAsia="Calibri" w:hAnsi="Calibri"/>
          <w:kern w:val="2"/>
          <w:sz w:val="22"/>
          <w:szCs w:val="22"/>
          <w:lang w:val="en-US" w:eastAsia="en-US"/>
          <w14:ligatures w14:val="standardContextual"/>
        </w:rPr>
        <w:t>“</w:t>
      </w:r>
      <w:r w:rsidRPr="00A86675">
        <w:rPr>
          <w:rFonts w:ascii="Calibri" w:eastAsia="Calibri" w:hAnsi="Calibri"/>
          <w:i/>
          <w:iCs/>
          <w:kern w:val="2"/>
          <w:sz w:val="22"/>
          <w:szCs w:val="22"/>
          <w:lang w:val="en-US" w:eastAsia="en-US"/>
          <w14:ligatures w14:val="standardContextual"/>
        </w:rPr>
        <w:t xml:space="preserve">contractual </w:t>
      </w:r>
      <w:r w:rsidR="00F215B0" w:rsidRPr="00296DCA">
        <w:rPr>
          <w:rFonts w:ascii="Calibri" w:eastAsia="Calibri" w:hAnsi="Calibri"/>
          <w:i/>
          <w:iCs/>
          <w:kern w:val="2"/>
          <w:sz w:val="22"/>
          <w:szCs w:val="22"/>
          <w:lang w:val="en-US" w:eastAsia="en-US"/>
          <w14:ligatures w14:val="standardContextual"/>
        </w:rPr>
        <w:t>measures</w:t>
      </w:r>
      <w:r w:rsidRPr="00A86675">
        <w:rPr>
          <w:rFonts w:ascii="Calibri" w:eastAsia="Calibri" w:hAnsi="Calibri"/>
          <w:i/>
          <w:iCs/>
          <w:kern w:val="2"/>
          <w:sz w:val="22"/>
          <w:szCs w:val="22"/>
          <w:lang w:val="en-US" w:eastAsia="en-US"/>
          <w14:ligatures w14:val="standardContextual"/>
        </w:rPr>
        <w:t xml:space="preserve"> that </w:t>
      </w:r>
      <w:r w:rsidR="00296DCA" w:rsidRPr="00296DCA">
        <w:rPr>
          <w:rFonts w:ascii="Calibri" w:eastAsia="Calibri" w:hAnsi="Calibri"/>
          <w:i/>
          <w:iCs/>
          <w:kern w:val="2"/>
          <w:sz w:val="22"/>
          <w:szCs w:val="22"/>
          <w:lang w:val="en-US" w:eastAsia="en-US"/>
          <w14:ligatures w14:val="standardContextual"/>
        </w:rPr>
        <w:t>ensure compliance of employees, throughout the term of their employment, with the internal policies of ESG rating providers</w:t>
      </w:r>
      <w:r w:rsidR="00296DCA">
        <w:rPr>
          <w:rFonts w:ascii="Calibri" w:eastAsia="Calibri" w:hAnsi="Calibri"/>
          <w:kern w:val="2"/>
          <w:sz w:val="22"/>
          <w:szCs w:val="22"/>
          <w:lang w:val="en-US" w:eastAsia="en-US"/>
          <w14:ligatures w14:val="standardContextual"/>
        </w:rPr>
        <w:t>”</w:t>
      </w:r>
      <w:r w:rsidRPr="00A86675">
        <w:rPr>
          <w:rFonts w:ascii="Calibri" w:eastAsia="Calibri" w:hAnsi="Calibri"/>
          <w:kern w:val="2"/>
          <w:sz w:val="22"/>
          <w:szCs w:val="22"/>
          <w:lang w:val="en-US" w:eastAsia="en-US"/>
          <w14:ligatures w14:val="standardContextual"/>
        </w:rPr>
        <w:t xml:space="preserve"> – can strengthen adherence to the regulatory framework without imposing an excessive burden on ESG rating providers.</w:t>
      </w:r>
      <w:r w:rsidR="00CD470F">
        <w:rPr>
          <w:rFonts w:ascii="Calibri" w:eastAsia="Calibri" w:hAnsi="Calibri"/>
          <w:kern w:val="2"/>
          <w:sz w:val="22"/>
          <w:szCs w:val="22"/>
          <w:lang w:val="en-US" w:eastAsia="en-US"/>
          <w14:ligatures w14:val="standardContextual"/>
        </w:rPr>
        <w:t xml:space="preserve"> Such</w:t>
      </w:r>
      <w:r w:rsidR="0009613B">
        <w:rPr>
          <w:rFonts w:ascii="Calibri" w:eastAsia="Calibri" w:hAnsi="Calibri"/>
          <w:kern w:val="2"/>
          <w:sz w:val="22"/>
          <w:szCs w:val="22"/>
          <w:lang w:val="en-US" w:eastAsia="en-US"/>
          <w14:ligatures w14:val="standardContextual"/>
        </w:rPr>
        <w:t xml:space="preserve"> con</w:t>
      </w:r>
      <w:r w:rsidR="00695AB6">
        <w:rPr>
          <w:rFonts w:ascii="Calibri" w:eastAsia="Calibri" w:hAnsi="Calibri"/>
          <w:kern w:val="2"/>
          <w:sz w:val="22"/>
          <w:szCs w:val="22"/>
          <w:lang w:val="en-US" w:eastAsia="en-US"/>
          <w14:ligatures w14:val="standardContextual"/>
        </w:rPr>
        <w:t>t</w:t>
      </w:r>
      <w:r w:rsidR="0009613B">
        <w:rPr>
          <w:rFonts w:ascii="Calibri" w:eastAsia="Calibri" w:hAnsi="Calibri"/>
          <w:kern w:val="2"/>
          <w:sz w:val="22"/>
          <w:szCs w:val="22"/>
          <w:lang w:val="en-US" w:eastAsia="en-US"/>
          <w14:ligatures w14:val="standardContextual"/>
        </w:rPr>
        <w:t>ractual</w:t>
      </w:r>
      <w:r w:rsidR="00CD470F">
        <w:rPr>
          <w:rFonts w:ascii="Calibri" w:eastAsia="Calibri" w:hAnsi="Calibri"/>
          <w:kern w:val="2"/>
          <w:sz w:val="22"/>
          <w:szCs w:val="22"/>
          <w:lang w:val="en-US" w:eastAsia="en-US"/>
          <w14:ligatures w14:val="standardContextual"/>
        </w:rPr>
        <w:t xml:space="preserve"> p</w:t>
      </w:r>
      <w:r w:rsidR="008254DD">
        <w:rPr>
          <w:rFonts w:ascii="Calibri" w:eastAsia="Calibri" w:hAnsi="Calibri"/>
          <w:kern w:val="2"/>
          <w:sz w:val="22"/>
          <w:szCs w:val="22"/>
          <w:lang w:val="en-US" w:eastAsia="en-US"/>
          <w14:ligatures w14:val="standardContextual"/>
        </w:rPr>
        <w:t xml:space="preserve">rovisions could accompany </w:t>
      </w:r>
      <w:r w:rsidR="0009613B">
        <w:rPr>
          <w:rFonts w:ascii="Calibri" w:eastAsia="Calibri" w:hAnsi="Calibri"/>
          <w:kern w:val="2"/>
          <w:sz w:val="22"/>
          <w:szCs w:val="22"/>
          <w:lang w:val="en-US" w:eastAsia="en-US"/>
          <w14:ligatures w14:val="standardContextual"/>
        </w:rPr>
        <w:t xml:space="preserve">the draft measures under Article </w:t>
      </w:r>
      <w:r w:rsidR="00921B57">
        <w:rPr>
          <w:rFonts w:ascii="Calibri" w:eastAsia="Calibri" w:hAnsi="Calibri"/>
          <w:kern w:val="2"/>
          <w:sz w:val="22"/>
          <w:szCs w:val="22"/>
          <w:lang w:val="en-US" w:eastAsia="en-US"/>
          <w14:ligatures w14:val="standardContextual"/>
        </w:rPr>
        <w:t>1(1)(a).</w:t>
      </w:r>
    </w:p>
    <w:p w14:paraId="02E4F5C4" w14:textId="5FBCC2B7" w:rsidR="00A86675" w:rsidRPr="00A86675" w:rsidRDefault="00A86675" w:rsidP="00A86675">
      <w:pPr>
        <w:spacing w:after="160" w:line="259" w:lineRule="auto"/>
        <w:jc w:val="both"/>
        <w:rPr>
          <w:rFonts w:ascii="Calibri" w:eastAsia="Calibri" w:hAnsi="Calibri"/>
          <w:kern w:val="2"/>
          <w:sz w:val="22"/>
          <w:szCs w:val="22"/>
          <w:lang w:val="en-US" w:eastAsia="en-US"/>
          <w14:ligatures w14:val="standardContextual"/>
        </w:rPr>
      </w:pPr>
      <w:r w:rsidRPr="00A86675">
        <w:rPr>
          <w:rFonts w:ascii="Calibri" w:eastAsia="Calibri" w:hAnsi="Calibri"/>
          <w:kern w:val="2"/>
          <w:sz w:val="22"/>
          <w:szCs w:val="22"/>
          <w:lang w:val="en-US" w:eastAsia="en-US"/>
          <w14:ligatures w14:val="standardContextual"/>
        </w:rPr>
        <w:t>Finally, we recommend that ESMA further consider the current structure of the ESG r</w:t>
      </w:r>
      <w:r w:rsidR="00D6745A">
        <w:rPr>
          <w:rFonts w:ascii="Calibri" w:eastAsia="Calibri" w:hAnsi="Calibri"/>
          <w:kern w:val="2"/>
          <w:sz w:val="22"/>
          <w:szCs w:val="22"/>
          <w:lang w:val="en-US" w:eastAsia="en-US"/>
          <w14:ligatures w14:val="standardContextual"/>
        </w:rPr>
        <w:t>ating providers market</w:t>
      </w:r>
      <w:r w:rsidRPr="00A86675">
        <w:rPr>
          <w:rFonts w:ascii="Calibri" w:eastAsia="Calibri" w:hAnsi="Calibri"/>
          <w:kern w:val="2"/>
          <w:sz w:val="22"/>
          <w:szCs w:val="22"/>
          <w:lang w:val="en-US" w:eastAsia="en-US"/>
          <w14:ligatures w14:val="standardContextual"/>
        </w:rPr>
        <w:t xml:space="preserve">, which is </w:t>
      </w:r>
      <w:proofErr w:type="spellStart"/>
      <w:r w:rsidRPr="00A86675">
        <w:rPr>
          <w:rFonts w:ascii="Calibri" w:eastAsia="Calibri" w:hAnsi="Calibri"/>
          <w:kern w:val="2"/>
          <w:sz w:val="22"/>
          <w:szCs w:val="22"/>
          <w:lang w:val="en-US" w:eastAsia="en-US"/>
          <w14:ligatures w14:val="standardContextual"/>
        </w:rPr>
        <w:t>characterised</w:t>
      </w:r>
      <w:proofErr w:type="spellEnd"/>
      <w:r w:rsidRPr="00A86675">
        <w:rPr>
          <w:rFonts w:ascii="Calibri" w:eastAsia="Calibri" w:hAnsi="Calibri"/>
          <w:kern w:val="2"/>
          <w:sz w:val="22"/>
          <w:szCs w:val="22"/>
          <w:lang w:val="en-US" w:eastAsia="en-US"/>
          <w14:ligatures w14:val="standardContextual"/>
        </w:rPr>
        <w:t xml:space="preserve"> by relatively high market concentration. As observed in analogous sectors such as credit rating agencies, market </w:t>
      </w:r>
      <w:r w:rsidR="00490CC3">
        <w:rPr>
          <w:rFonts w:ascii="Calibri" w:eastAsia="Calibri" w:hAnsi="Calibri"/>
          <w:kern w:val="2"/>
          <w:sz w:val="22"/>
          <w:szCs w:val="22"/>
          <w:lang w:val="en-US" w:eastAsia="en-US"/>
          <w14:ligatures w14:val="standardContextual"/>
        </w:rPr>
        <w:t>concentration</w:t>
      </w:r>
      <w:r w:rsidRPr="00A86675">
        <w:rPr>
          <w:rFonts w:ascii="Calibri" w:eastAsia="Calibri" w:hAnsi="Calibri"/>
          <w:kern w:val="2"/>
          <w:sz w:val="22"/>
          <w:szCs w:val="22"/>
          <w:lang w:val="en-US" w:eastAsia="en-US"/>
          <w14:ligatures w14:val="standardContextual"/>
        </w:rPr>
        <w:t xml:space="preserve"> can enhance efficiency but also increases the potential systemic impact of significant misjudgments.</w:t>
      </w:r>
    </w:p>
    <w:p w14:paraId="24B5084B" w14:textId="77777777" w:rsidR="00A86675" w:rsidRPr="00A86675" w:rsidRDefault="00A86675" w:rsidP="00A86675">
      <w:pPr>
        <w:spacing w:after="160" w:line="259" w:lineRule="auto"/>
        <w:jc w:val="both"/>
        <w:rPr>
          <w:rFonts w:ascii="Calibri" w:eastAsia="Calibri" w:hAnsi="Calibri"/>
          <w:kern w:val="2"/>
          <w:sz w:val="22"/>
          <w:szCs w:val="22"/>
          <w:lang w:val="en-US" w:eastAsia="en-US"/>
          <w14:ligatures w14:val="standardContextual"/>
        </w:rPr>
      </w:pPr>
      <w:r w:rsidRPr="00A86675">
        <w:rPr>
          <w:rFonts w:ascii="Calibri" w:eastAsia="Calibri" w:hAnsi="Calibri"/>
          <w:kern w:val="2"/>
          <w:sz w:val="22"/>
          <w:szCs w:val="22"/>
          <w:lang w:val="en-US" w:eastAsia="en-US"/>
          <w14:ligatures w14:val="standardContextual"/>
        </w:rPr>
        <w:t>In this context, we suggest two additional supportive measures:</w:t>
      </w:r>
    </w:p>
    <w:p w14:paraId="500BDF8B" w14:textId="4C2F631B" w:rsidR="00A86675" w:rsidRPr="00A86675" w:rsidRDefault="00D6745A" w:rsidP="00D6745A">
      <w:pPr>
        <w:numPr>
          <w:ilvl w:val="0"/>
          <w:numId w:val="40"/>
        </w:numPr>
        <w:spacing w:after="160" w:line="259" w:lineRule="auto"/>
        <w:jc w:val="both"/>
        <w:rPr>
          <w:rFonts w:ascii="Calibri" w:eastAsia="Calibri" w:hAnsi="Calibri"/>
          <w:kern w:val="2"/>
          <w:sz w:val="22"/>
          <w:szCs w:val="22"/>
          <w:lang w:val="en-US" w:eastAsia="en-US"/>
          <w14:ligatures w14:val="standardContextual"/>
        </w:rPr>
      </w:pPr>
      <w:r>
        <w:rPr>
          <w:rFonts w:ascii="Calibri" w:eastAsia="Calibri" w:hAnsi="Calibri"/>
          <w:kern w:val="2"/>
          <w:sz w:val="22"/>
          <w:szCs w:val="22"/>
          <w:lang w:val="en-US" w:eastAsia="en-US"/>
          <w14:ligatures w14:val="standardContextual"/>
        </w:rPr>
        <w:t>c</w:t>
      </w:r>
      <w:r w:rsidR="00A86675" w:rsidRPr="00A86675">
        <w:rPr>
          <w:rFonts w:ascii="Calibri" w:eastAsia="Calibri" w:hAnsi="Calibri"/>
          <w:kern w:val="2"/>
          <w:sz w:val="22"/>
          <w:szCs w:val="22"/>
          <w:lang w:val="en-US" w:eastAsia="en-US"/>
          <w14:ligatures w14:val="standardContextual"/>
        </w:rPr>
        <w:t xml:space="preserve">larification of proportionality: ESMA could clarify how certain requirements – particularly those involving physical separation or complex IT controls – should be applied proportionately to smaller ESG rating providers, for whom such measures may be disproportionately </w:t>
      </w:r>
      <w:proofErr w:type="gramStart"/>
      <w:r w:rsidR="00A86675" w:rsidRPr="00A86675">
        <w:rPr>
          <w:rFonts w:ascii="Calibri" w:eastAsia="Calibri" w:hAnsi="Calibri"/>
          <w:kern w:val="2"/>
          <w:sz w:val="22"/>
          <w:szCs w:val="22"/>
          <w:lang w:val="en-US" w:eastAsia="en-US"/>
          <w14:ligatures w14:val="standardContextual"/>
        </w:rPr>
        <w:t>burdensome</w:t>
      </w:r>
      <w:r>
        <w:rPr>
          <w:rFonts w:ascii="Calibri" w:eastAsia="Calibri" w:hAnsi="Calibri"/>
          <w:kern w:val="2"/>
          <w:sz w:val="22"/>
          <w:szCs w:val="22"/>
          <w:lang w:val="en-US" w:eastAsia="en-US"/>
          <w14:ligatures w14:val="standardContextual"/>
        </w:rPr>
        <w:t>;</w:t>
      </w:r>
      <w:proofErr w:type="gramEnd"/>
    </w:p>
    <w:p w14:paraId="6ACD0D93" w14:textId="3BB6ED80" w:rsidR="001B1B48" w:rsidRPr="00A86675" w:rsidRDefault="00D6745A" w:rsidP="00D6745A">
      <w:pPr>
        <w:numPr>
          <w:ilvl w:val="0"/>
          <w:numId w:val="40"/>
        </w:numPr>
        <w:spacing w:after="160" w:line="259" w:lineRule="auto"/>
        <w:jc w:val="both"/>
        <w:rPr>
          <w:rFonts w:ascii="Calibri" w:eastAsia="Calibri" w:hAnsi="Calibri"/>
          <w:kern w:val="2"/>
          <w:sz w:val="22"/>
          <w:szCs w:val="22"/>
          <w:lang w:val="en-US" w:eastAsia="en-US"/>
          <w14:ligatures w14:val="standardContextual"/>
        </w:rPr>
      </w:pPr>
      <w:r>
        <w:rPr>
          <w:rFonts w:ascii="Calibri" w:eastAsia="Calibri" w:hAnsi="Calibri"/>
          <w:kern w:val="2"/>
          <w:sz w:val="22"/>
          <w:szCs w:val="22"/>
          <w:lang w:val="en-US" w:eastAsia="en-US"/>
          <w14:ligatures w14:val="standardContextual"/>
        </w:rPr>
        <w:t>p</w:t>
      </w:r>
      <w:r w:rsidR="00A86675" w:rsidRPr="00A86675">
        <w:rPr>
          <w:rFonts w:ascii="Calibri" w:eastAsia="Calibri" w:hAnsi="Calibri"/>
          <w:kern w:val="2"/>
          <w:sz w:val="22"/>
          <w:szCs w:val="22"/>
          <w:lang w:val="en-US" w:eastAsia="en-US"/>
          <w14:ligatures w14:val="standardContextual"/>
        </w:rPr>
        <w:t>ractical implementation support:</w:t>
      </w:r>
      <w:r>
        <w:rPr>
          <w:rFonts w:ascii="Calibri" w:eastAsia="Calibri" w:hAnsi="Calibri"/>
          <w:kern w:val="2"/>
          <w:sz w:val="22"/>
          <w:szCs w:val="22"/>
          <w:lang w:val="en-US" w:eastAsia="en-US"/>
          <w14:ligatures w14:val="standardContextual"/>
        </w:rPr>
        <w:t xml:space="preserve"> </w:t>
      </w:r>
      <w:r w:rsidR="00F7608E">
        <w:rPr>
          <w:rFonts w:ascii="Calibri" w:eastAsia="Calibri" w:hAnsi="Calibri"/>
          <w:kern w:val="2"/>
          <w:sz w:val="22"/>
          <w:szCs w:val="22"/>
          <w:lang w:eastAsia="en-US"/>
          <w14:ligatures w14:val="standardContextual"/>
        </w:rPr>
        <w:t>s</w:t>
      </w:r>
      <w:r w:rsidR="00F7608E" w:rsidRPr="00F7608E">
        <w:rPr>
          <w:rFonts w:ascii="Calibri" w:eastAsia="Calibri" w:hAnsi="Calibri"/>
          <w:kern w:val="2"/>
          <w:sz w:val="22"/>
          <w:szCs w:val="22"/>
          <w:lang w:eastAsia="en-US"/>
          <w14:ligatures w14:val="standardContextual"/>
        </w:rPr>
        <w:t xml:space="preserve">upplementary guidance or illustrative examples of best practices would assist ESG rating providers — particularly </w:t>
      </w:r>
      <w:r w:rsidR="005511B4">
        <w:rPr>
          <w:rFonts w:ascii="Calibri" w:eastAsia="Calibri" w:hAnsi="Calibri"/>
          <w:kern w:val="2"/>
          <w:sz w:val="22"/>
          <w:szCs w:val="22"/>
          <w:lang w:eastAsia="en-US"/>
          <w14:ligatures w14:val="standardContextual"/>
        </w:rPr>
        <w:t xml:space="preserve">the </w:t>
      </w:r>
      <w:r w:rsidR="00F7608E" w:rsidRPr="00F7608E">
        <w:rPr>
          <w:rFonts w:ascii="Calibri" w:eastAsia="Calibri" w:hAnsi="Calibri"/>
          <w:kern w:val="2"/>
          <w:sz w:val="22"/>
          <w:szCs w:val="22"/>
          <w:lang w:eastAsia="en-US"/>
          <w14:ligatures w14:val="standardContextual"/>
        </w:rPr>
        <w:t>smaller ones — in applying the</w:t>
      </w:r>
      <w:r w:rsidR="00BA2B35">
        <w:rPr>
          <w:rFonts w:ascii="Calibri" w:eastAsia="Calibri" w:hAnsi="Calibri"/>
          <w:kern w:val="2"/>
          <w:sz w:val="22"/>
          <w:szCs w:val="22"/>
          <w:lang w:eastAsia="en-US"/>
          <w14:ligatures w14:val="standardContextual"/>
        </w:rPr>
        <w:t xml:space="preserve"> ESMA’s</w:t>
      </w:r>
      <w:r w:rsidR="00F7608E" w:rsidRPr="00F7608E">
        <w:rPr>
          <w:rFonts w:ascii="Calibri" w:eastAsia="Calibri" w:hAnsi="Calibri"/>
          <w:kern w:val="2"/>
          <w:sz w:val="22"/>
          <w:szCs w:val="22"/>
          <w:lang w:eastAsia="en-US"/>
          <w14:ligatures w14:val="standardContextual"/>
        </w:rPr>
        <w:t xml:space="preserve"> RTS consistently and effectively</w:t>
      </w:r>
      <w:r w:rsidR="00A86675" w:rsidRPr="00A86675">
        <w:rPr>
          <w:rFonts w:ascii="Calibri" w:eastAsia="Calibri" w:hAnsi="Calibri"/>
          <w:kern w:val="2"/>
          <w:sz w:val="22"/>
          <w:szCs w:val="22"/>
          <w:lang w:val="en-US" w:eastAsia="en-US"/>
          <w14:ligatures w14:val="standardContextual"/>
        </w:rPr>
        <w:t>.</w:t>
      </w:r>
    </w:p>
    <w:permEnd w:id="1667529024"/>
    <w:p w14:paraId="578EB98F" w14:textId="459174C9"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w:t>
      </w:r>
      <w:r w:rsidR="00AB2C3F">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_2&gt;</w:t>
      </w:r>
    </w:p>
    <w:p w14:paraId="19719837"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30B5FCEB" w14:textId="7A17AB27" w:rsidR="006372FE" w:rsidRPr="006372FE" w:rsidRDefault="006372FE" w:rsidP="00FC3B26">
      <w:pPr>
        <w:pStyle w:val="Paragraph"/>
        <w:numPr>
          <w:ilvl w:val="0"/>
          <w:numId w:val="0"/>
        </w:numPr>
        <w:ind w:left="708" w:hanging="708"/>
        <w:rPr>
          <w:b/>
          <w:bCs/>
        </w:rPr>
      </w:pPr>
      <w:r>
        <w:rPr>
          <w:b/>
          <w:bCs/>
        </w:rPr>
        <w:t xml:space="preserve">Q3. </w:t>
      </w:r>
      <w:r w:rsidR="00FC3B26">
        <w:rPr>
          <w:b/>
          <w:bCs/>
        </w:rPr>
        <w:tab/>
      </w:r>
      <w:r w:rsidRPr="006372FE">
        <w:rPr>
          <w:b/>
          <w:bCs/>
        </w:rPr>
        <w:t>Do you agree with ESMA’s proposals for the draft technical standard under Articles 23(4) and 24(3)?</w:t>
      </w:r>
    </w:p>
    <w:p w14:paraId="4E720D75" w14:textId="47BCF34E"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w:t>
      </w:r>
      <w:r w:rsidR="00322B55">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_3&gt;</w:t>
      </w:r>
    </w:p>
    <w:p w14:paraId="7387BA6A" w14:textId="25E2073C" w:rsidR="0003143E" w:rsidRDefault="00EB50D7" w:rsidP="00A86675">
      <w:pPr>
        <w:spacing w:after="160" w:line="259" w:lineRule="auto"/>
        <w:jc w:val="both"/>
        <w:rPr>
          <w:rFonts w:ascii="Calibri" w:eastAsia="Calibri" w:hAnsi="Calibri"/>
          <w:kern w:val="2"/>
          <w:sz w:val="22"/>
          <w:szCs w:val="22"/>
          <w:lang w:val="en-US" w:eastAsia="en-US"/>
          <w14:ligatures w14:val="standardContextual"/>
        </w:rPr>
      </w:pPr>
      <w:permStart w:id="669658389" w:edGrp="everyone"/>
      <w:r w:rsidRPr="00EB50D7">
        <w:rPr>
          <w:rFonts w:ascii="Calibri" w:eastAsia="Calibri" w:hAnsi="Calibri"/>
          <w:kern w:val="2"/>
          <w:sz w:val="22"/>
          <w:szCs w:val="22"/>
          <w:lang w:eastAsia="en-US"/>
          <w14:ligatures w14:val="standardContextual"/>
        </w:rPr>
        <w:t>Yes, we generally agree with ESMA’s proposal technical standards</w:t>
      </w:r>
      <w:r w:rsidR="005A3408">
        <w:rPr>
          <w:rFonts w:ascii="Calibri" w:eastAsia="Calibri" w:hAnsi="Calibri"/>
          <w:kern w:val="2"/>
          <w:sz w:val="22"/>
          <w:szCs w:val="22"/>
          <w:lang w:eastAsia="en-US"/>
          <w14:ligatures w14:val="standardContextual"/>
        </w:rPr>
        <w:t xml:space="preserve"> under Articles 23(4) and 24(3)</w:t>
      </w:r>
      <w:r w:rsidRPr="00EB50D7">
        <w:rPr>
          <w:rFonts w:ascii="Calibri" w:eastAsia="Calibri" w:hAnsi="Calibri"/>
          <w:kern w:val="2"/>
          <w:sz w:val="22"/>
          <w:szCs w:val="22"/>
          <w:lang w:eastAsia="en-US"/>
          <w14:ligatures w14:val="standardContextual"/>
        </w:rPr>
        <w:t>.</w:t>
      </w:r>
      <w:r w:rsidR="00A14C34" w:rsidRPr="00A14C34">
        <w:rPr>
          <w:rFonts w:ascii="Calibri" w:eastAsia="Calibri" w:hAnsi="Calibri"/>
          <w:kern w:val="2"/>
          <w:sz w:val="22"/>
          <w:szCs w:val="22"/>
          <w:lang w:eastAsia="en-US"/>
          <w14:ligatures w14:val="standardContextual"/>
        </w:rPr>
        <w:t xml:space="preserve"> Additional structured and standardised disclosures are indeed essential to better navigate and understand the underlying assumptions and approaches employed by different ESG rating providers.</w:t>
      </w:r>
      <w:r w:rsidR="005E3CB8">
        <w:rPr>
          <w:rFonts w:ascii="Calibri" w:eastAsia="Calibri" w:hAnsi="Calibri"/>
          <w:kern w:val="2"/>
          <w:sz w:val="22"/>
          <w:szCs w:val="22"/>
          <w:lang w:eastAsia="en-US"/>
          <w14:ligatures w14:val="standardContextual"/>
        </w:rPr>
        <w:t xml:space="preserve"> </w:t>
      </w:r>
      <w:r w:rsidR="0033582F">
        <w:rPr>
          <w:rFonts w:ascii="Calibri" w:eastAsia="Calibri" w:hAnsi="Calibri"/>
          <w:kern w:val="2"/>
          <w:sz w:val="22"/>
          <w:szCs w:val="22"/>
          <w:lang w:val="en-US" w:eastAsia="en-US"/>
          <w14:ligatures w14:val="standardContextual"/>
        </w:rPr>
        <w:t>S</w:t>
      </w:r>
      <w:r w:rsidR="00A86675" w:rsidRPr="00A86675">
        <w:rPr>
          <w:rFonts w:ascii="Calibri" w:eastAsia="Calibri" w:hAnsi="Calibri"/>
          <w:kern w:val="2"/>
          <w:sz w:val="22"/>
          <w:szCs w:val="22"/>
          <w:lang w:val="en-US" w:eastAsia="en-US"/>
          <w14:ligatures w14:val="standardContextual"/>
        </w:rPr>
        <w:t xml:space="preserve">pecifying these types of disclosures is essential to enhance the reliability of the information provided, particularly given the role of ESG rating providers as crucial information intermediaries. </w:t>
      </w:r>
    </w:p>
    <w:p w14:paraId="69F4DF81" w14:textId="294B6154" w:rsidR="00A86675" w:rsidRPr="005E3CB8" w:rsidRDefault="00A86675" w:rsidP="00A86675">
      <w:pPr>
        <w:spacing w:after="160" w:line="259" w:lineRule="auto"/>
        <w:jc w:val="both"/>
        <w:rPr>
          <w:rFonts w:ascii="Calibri" w:eastAsia="Calibri" w:hAnsi="Calibri"/>
          <w:kern w:val="2"/>
          <w:sz w:val="22"/>
          <w:szCs w:val="22"/>
          <w:lang w:eastAsia="en-US"/>
          <w14:ligatures w14:val="standardContextual"/>
        </w:rPr>
      </w:pPr>
      <w:r w:rsidRPr="00A86675">
        <w:rPr>
          <w:rFonts w:ascii="Calibri" w:eastAsia="Calibri" w:hAnsi="Calibri"/>
          <w:kern w:val="2"/>
          <w:sz w:val="22"/>
          <w:szCs w:val="22"/>
          <w:lang w:val="en-US" w:eastAsia="en-US"/>
          <w14:ligatures w14:val="standardContextual"/>
        </w:rPr>
        <w:t>Moreover, we consider that ESMA’s proposal is in line with Articles 23(4) and 24(3) of Regulation (EU) 2024/3005, which clearly state that the RTS shall not introduce any additional disclosure requirements beyond those listed in points 1 and 2 of Annex III</w:t>
      </w:r>
      <w:r w:rsidR="005A3408">
        <w:rPr>
          <w:rFonts w:ascii="Calibri" w:eastAsia="Calibri" w:hAnsi="Calibri"/>
          <w:kern w:val="2"/>
          <w:sz w:val="22"/>
          <w:szCs w:val="22"/>
          <w:lang w:val="en-US" w:eastAsia="en-US"/>
          <w14:ligatures w14:val="standardContextual"/>
        </w:rPr>
        <w:t xml:space="preserve"> of the same Regulation.</w:t>
      </w:r>
    </w:p>
    <w:p w14:paraId="722F56CA" w14:textId="684D7F6A" w:rsidR="00A86675" w:rsidRPr="00A86675" w:rsidRDefault="00A86675" w:rsidP="00A86675">
      <w:pPr>
        <w:spacing w:after="160" w:line="259" w:lineRule="auto"/>
        <w:jc w:val="both"/>
        <w:rPr>
          <w:rFonts w:ascii="Calibri" w:eastAsia="Calibri" w:hAnsi="Calibri"/>
          <w:kern w:val="2"/>
          <w:sz w:val="22"/>
          <w:szCs w:val="22"/>
          <w:lang w:val="en-US" w:eastAsia="en-US"/>
          <w14:ligatures w14:val="standardContextual"/>
        </w:rPr>
      </w:pPr>
      <w:r w:rsidRPr="00A86675">
        <w:rPr>
          <w:rFonts w:ascii="Calibri" w:eastAsia="Calibri" w:hAnsi="Calibri"/>
          <w:kern w:val="2"/>
          <w:sz w:val="22"/>
          <w:szCs w:val="22"/>
          <w:lang w:val="en-US" w:eastAsia="en-US"/>
          <w14:ligatures w14:val="standardContextual"/>
        </w:rPr>
        <w:t>However, we suggest a few modifications to further enhance the clarity and usability of the regulatory framework</w:t>
      </w:r>
      <w:r w:rsidR="00BF0EE0">
        <w:rPr>
          <w:rFonts w:ascii="Calibri" w:eastAsia="Calibri" w:hAnsi="Calibri"/>
          <w:kern w:val="2"/>
          <w:sz w:val="22"/>
          <w:szCs w:val="22"/>
          <w:lang w:val="en-US" w:eastAsia="en-US"/>
          <w14:ligatures w14:val="standardContextual"/>
        </w:rPr>
        <w:t>.</w:t>
      </w:r>
    </w:p>
    <w:p w14:paraId="1D21780C" w14:textId="221915A0" w:rsidR="00A86675" w:rsidRPr="00A86675" w:rsidRDefault="00A86675" w:rsidP="00A86675">
      <w:pPr>
        <w:spacing w:after="160" w:line="259" w:lineRule="auto"/>
        <w:jc w:val="both"/>
        <w:rPr>
          <w:rFonts w:ascii="Calibri" w:eastAsia="Calibri" w:hAnsi="Calibri"/>
          <w:kern w:val="2"/>
          <w:sz w:val="22"/>
          <w:szCs w:val="22"/>
          <w:lang w:val="en-US" w:eastAsia="en-US"/>
          <w14:ligatures w14:val="standardContextual"/>
        </w:rPr>
      </w:pPr>
      <w:r w:rsidRPr="00A86675">
        <w:rPr>
          <w:rFonts w:ascii="Calibri" w:eastAsia="Calibri" w:hAnsi="Calibri"/>
          <w:kern w:val="2"/>
          <w:sz w:val="22"/>
          <w:szCs w:val="22"/>
          <w:lang w:val="en-US" w:eastAsia="en-US"/>
          <w14:ligatures w14:val="standardContextual"/>
        </w:rPr>
        <w:t>Firstly, we propose reconsidering the overall structure of the</w:t>
      </w:r>
      <w:r w:rsidR="00202A12">
        <w:rPr>
          <w:rFonts w:ascii="Calibri" w:eastAsia="Calibri" w:hAnsi="Calibri"/>
          <w:kern w:val="2"/>
          <w:sz w:val="22"/>
          <w:szCs w:val="22"/>
          <w:lang w:val="en-US" w:eastAsia="en-US"/>
          <w14:ligatures w14:val="standardContextual"/>
        </w:rPr>
        <w:t xml:space="preserve"> </w:t>
      </w:r>
      <w:r w:rsidRPr="00A86675">
        <w:rPr>
          <w:rFonts w:ascii="Calibri" w:eastAsia="Calibri" w:hAnsi="Calibri"/>
          <w:kern w:val="2"/>
          <w:sz w:val="22"/>
          <w:szCs w:val="22"/>
          <w:lang w:val="en-US" w:eastAsia="en-US"/>
          <w14:ligatures w14:val="standardContextual"/>
        </w:rPr>
        <w:t>Commission Delegated Regulation</w:t>
      </w:r>
      <w:r w:rsidR="00F5435F">
        <w:rPr>
          <w:rFonts w:ascii="Calibri" w:eastAsia="Calibri" w:hAnsi="Calibri"/>
          <w:kern w:val="2"/>
          <w:sz w:val="22"/>
          <w:szCs w:val="22"/>
          <w:lang w:val="en-US" w:eastAsia="en-US"/>
          <w14:ligatures w14:val="standardContextual"/>
        </w:rPr>
        <w:t xml:space="preserve"> proposal</w:t>
      </w:r>
      <w:r w:rsidRPr="00A86675">
        <w:rPr>
          <w:rFonts w:ascii="Calibri" w:eastAsia="Calibri" w:hAnsi="Calibri"/>
          <w:kern w:val="2"/>
          <w:sz w:val="22"/>
          <w:szCs w:val="22"/>
          <w:lang w:val="en-US" w:eastAsia="en-US"/>
          <w14:ligatures w14:val="standardContextual"/>
        </w:rPr>
        <w:t>. As it currently stands, disclosure items are grouped by topic or category</w:t>
      </w:r>
      <w:r w:rsidR="00D127DF">
        <w:rPr>
          <w:rFonts w:ascii="Calibri" w:eastAsia="Calibri" w:hAnsi="Calibri"/>
          <w:kern w:val="2"/>
          <w:sz w:val="22"/>
          <w:szCs w:val="22"/>
          <w:lang w:val="en-US" w:eastAsia="en-US"/>
          <w14:ligatures w14:val="standardContextual"/>
        </w:rPr>
        <w:t xml:space="preserve"> </w:t>
      </w:r>
      <w:r w:rsidR="00221158" w:rsidRPr="00221158">
        <w:rPr>
          <w:rFonts w:ascii="Calibri" w:eastAsia="Calibri" w:hAnsi="Calibri"/>
          <w:kern w:val="2"/>
          <w:sz w:val="22"/>
          <w:szCs w:val="22"/>
          <w:lang w:eastAsia="en-US"/>
          <w14:ligatures w14:val="standardContextual"/>
        </w:rPr>
        <w:t>within each Article</w:t>
      </w:r>
      <w:r w:rsidRPr="00A86675">
        <w:rPr>
          <w:rFonts w:ascii="Calibri" w:eastAsia="Calibri" w:hAnsi="Calibri"/>
          <w:kern w:val="2"/>
          <w:sz w:val="22"/>
          <w:szCs w:val="22"/>
          <w:lang w:val="en-US" w:eastAsia="en-US"/>
          <w14:ligatures w14:val="standardContextual"/>
        </w:rPr>
        <w:t>. A more effective approach might be to align the RTS structure more closely with the sequence of disclosures outlined in Annex III</w:t>
      </w:r>
      <w:r w:rsidR="00221158">
        <w:rPr>
          <w:rFonts w:ascii="Calibri" w:eastAsia="Calibri" w:hAnsi="Calibri"/>
          <w:kern w:val="2"/>
          <w:sz w:val="22"/>
          <w:szCs w:val="22"/>
          <w:lang w:val="en-US" w:eastAsia="en-US"/>
          <w14:ligatures w14:val="standardContextual"/>
        </w:rPr>
        <w:t xml:space="preserve"> o</w:t>
      </w:r>
      <w:r w:rsidR="00E5782A">
        <w:rPr>
          <w:rFonts w:ascii="Calibri" w:eastAsia="Calibri" w:hAnsi="Calibri"/>
          <w:kern w:val="2"/>
          <w:sz w:val="22"/>
          <w:szCs w:val="22"/>
          <w:lang w:val="en-US" w:eastAsia="en-US"/>
          <w14:ligatures w14:val="standardContextual"/>
        </w:rPr>
        <w:t>f Regulation (EU) 2024/3005</w:t>
      </w:r>
      <w:r w:rsidRPr="00A86675">
        <w:rPr>
          <w:rFonts w:ascii="Calibri" w:eastAsia="Calibri" w:hAnsi="Calibri"/>
          <w:kern w:val="2"/>
          <w:sz w:val="22"/>
          <w:szCs w:val="22"/>
          <w:lang w:val="en-US" w:eastAsia="en-US"/>
          <w14:ligatures w14:val="standardContextual"/>
        </w:rPr>
        <w:t xml:space="preserve">. In this respect, it may be helpful to </w:t>
      </w:r>
      <w:r w:rsidRPr="00A86675">
        <w:rPr>
          <w:rFonts w:ascii="Calibri" w:eastAsia="Calibri" w:hAnsi="Calibri"/>
          <w:kern w:val="2"/>
          <w:sz w:val="22"/>
          <w:szCs w:val="22"/>
          <w:lang w:val="en-US" w:eastAsia="en-US"/>
          <w14:ligatures w14:val="standardContextual"/>
        </w:rPr>
        <w:lastRenderedPageBreak/>
        <w:t xml:space="preserve">restructure the RTS around just two </w:t>
      </w:r>
      <w:r w:rsidR="008C6D55">
        <w:rPr>
          <w:rFonts w:ascii="Calibri" w:eastAsia="Calibri" w:hAnsi="Calibri"/>
          <w:kern w:val="2"/>
          <w:sz w:val="22"/>
          <w:szCs w:val="22"/>
          <w:lang w:val="en-US" w:eastAsia="en-US"/>
          <w14:ligatures w14:val="standardContextual"/>
        </w:rPr>
        <w:t xml:space="preserve">core </w:t>
      </w:r>
      <w:r w:rsidRPr="00A86675">
        <w:rPr>
          <w:rFonts w:ascii="Calibri" w:eastAsia="Calibri" w:hAnsi="Calibri"/>
          <w:kern w:val="2"/>
          <w:sz w:val="22"/>
          <w:szCs w:val="22"/>
          <w:lang w:val="en-US" w:eastAsia="en-US"/>
          <w14:ligatures w14:val="standardContextual"/>
        </w:rPr>
        <w:t>Articles: one specifying the information required under Annex III, point 1,</w:t>
      </w:r>
      <w:r w:rsidR="00E5782A">
        <w:rPr>
          <w:rFonts w:ascii="Calibri" w:eastAsia="Calibri" w:hAnsi="Calibri"/>
          <w:kern w:val="2"/>
          <w:sz w:val="22"/>
          <w:szCs w:val="22"/>
          <w:lang w:val="en-US" w:eastAsia="en-US"/>
          <w14:ligatures w14:val="standardContextual"/>
        </w:rPr>
        <w:t xml:space="preserve"> of</w:t>
      </w:r>
      <w:r w:rsidR="001864CF">
        <w:rPr>
          <w:rFonts w:ascii="Calibri" w:eastAsia="Calibri" w:hAnsi="Calibri"/>
          <w:kern w:val="2"/>
          <w:sz w:val="22"/>
          <w:szCs w:val="22"/>
          <w:lang w:val="en-US" w:eastAsia="en-US"/>
          <w14:ligatures w14:val="standardContextual"/>
        </w:rPr>
        <w:t xml:space="preserve"> Regulation (EU) 2024/3005, and</w:t>
      </w:r>
      <w:r w:rsidR="00E5782A">
        <w:rPr>
          <w:rFonts w:ascii="Calibri" w:eastAsia="Calibri" w:hAnsi="Calibri"/>
          <w:kern w:val="2"/>
          <w:sz w:val="22"/>
          <w:szCs w:val="22"/>
          <w:lang w:val="en-US" w:eastAsia="en-US"/>
          <w14:ligatures w14:val="standardContextual"/>
        </w:rPr>
        <w:t xml:space="preserve"> </w:t>
      </w:r>
      <w:r w:rsidRPr="00A86675">
        <w:rPr>
          <w:rFonts w:ascii="Calibri" w:eastAsia="Calibri" w:hAnsi="Calibri"/>
          <w:kern w:val="2"/>
          <w:sz w:val="22"/>
          <w:szCs w:val="22"/>
          <w:lang w:val="en-US" w:eastAsia="en-US"/>
          <w14:ligatures w14:val="standardContextual"/>
        </w:rPr>
        <w:t xml:space="preserve">the other under Annex III, point 2, of </w:t>
      </w:r>
      <w:r w:rsidR="001864CF">
        <w:rPr>
          <w:rFonts w:ascii="Calibri" w:eastAsia="Calibri" w:hAnsi="Calibri"/>
          <w:kern w:val="2"/>
          <w:sz w:val="22"/>
          <w:szCs w:val="22"/>
          <w:lang w:val="en-US" w:eastAsia="en-US"/>
          <w14:ligatures w14:val="standardContextual"/>
        </w:rPr>
        <w:t>the same Regulation</w:t>
      </w:r>
      <w:r w:rsidRPr="00A86675">
        <w:rPr>
          <w:rFonts w:ascii="Calibri" w:eastAsia="Calibri" w:hAnsi="Calibri"/>
          <w:kern w:val="2"/>
          <w:sz w:val="22"/>
          <w:szCs w:val="22"/>
          <w:lang w:val="en-US" w:eastAsia="en-US"/>
          <w14:ligatures w14:val="standardContextual"/>
        </w:rPr>
        <w:t>. Additionally, adopting the alphabetical order already used in Annex</w:t>
      </w:r>
      <w:r w:rsidR="0040793D">
        <w:rPr>
          <w:rFonts w:ascii="Calibri" w:eastAsia="Calibri" w:hAnsi="Calibri"/>
          <w:kern w:val="2"/>
          <w:sz w:val="22"/>
          <w:szCs w:val="22"/>
          <w:lang w:val="en-US" w:eastAsia="en-US"/>
          <w14:ligatures w14:val="standardContextual"/>
        </w:rPr>
        <w:t xml:space="preserve"> III of Regulation (EU) 2024/3005</w:t>
      </w:r>
      <w:r w:rsidRPr="00A86675">
        <w:rPr>
          <w:rFonts w:ascii="Calibri" w:eastAsia="Calibri" w:hAnsi="Calibri"/>
          <w:kern w:val="2"/>
          <w:sz w:val="22"/>
          <w:szCs w:val="22"/>
          <w:lang w:val="en-US" w:eastAsia="en-US"/>
          <w14:ligatures w14:val="standardContextual"/>
        </w:rPr>
        <w:t xml:space="preserve"> would further enhance clarity and internal consistency. This revised structure would make compliance easier for ESG rating providers and ensure clearer alignment with the Regulation.</w:t>
      </w:r>
    </w:p>
    <w:p w14:paraId="28073728" w14:textId="072DDC2D" w:rsidR="00A86675" w:rsidRPr="00A86675" w:rsidRDefault="006B5EC6" w:rsidP="00A86675">
      <w:pPr>
        <w:spacing w:after="160" w:line="259" w:lineRule="auto"/>
        <w:jc w:val="both"/>
        <w:rPr>
          <w:rFonts w:ascii="Calibri" w:eastAsia="Calibri" w:hAnsi="Calibri"/>
          <w:kern w:val="2"/>
          <w:sz w:val="22"/>
          <w:szCs w:val="22"/>
          <w:lang w:val="en-US" w:eastAsia="en-US"/>
          <w14:ligatures w14:val="standardContextual"/>
        </w:rPr>
      </w:pPr>
      <w:r>
        <w:rPr>
          <w:rFonts w:ascii="Calibri" w:eastAsia="Calibri" w:hAnsi="Calibri"/>
          <w:kern w:val="2"/>
          <w:sz w:val="22"/>
          <w:szCs w:val="22"/>
          <w:lang w:val="en-US" w:eastAsia="en-US"/>
          <w14:ligatures w14:val="standardContextual"/>
        </w:rPr>
        <w:t>As an alternative</w:t>
      </w:r>
      <w:r w:rsidR="00A86675" w:rsidRPr="00A86675">
        <w:rPr>
          <w:rFonts w:ascii="Calibri" w:eastAsia="Calibri" w:hAnsi="Calibri"/>
          <w:kern w:val="2"/>
          <w:sz w:val="22"/>
          <w:szCs w:val="22"/>
          <w:lang w:val="en-US" w:eastAsia="en-US"/>
          <w14:ligatures w14:val="standardContextual"/>
        </w:rPr>
        <w:t>, we recommend repositioning certain paragraphs within individual Articles to follow alphabetical order. This would support more intuitive navigation and facilitate compliance. For example:</w:t>
      </w:r>
    </w:p>
    <w:p w14:paraId="37DBC85B" w14:textId="05645C07" w:rsidR="00A86675" w:rsidRPr="00A86675" w:rsidRDefault="00A86675" w:rsidP="00A86675">
      <w:pPr>
        <w:numPr>
          <w:ilvl w:val="0"/>
          <w:numId w:val="39"/>
        </w:numPr>
        <w:spacing w:after="160" w:line="259" w:lineRule="auto"/>
        <w:jc w:val="both"/>
        <w:rPr>
          <w:rFonts w:ascii="Calibri" w:eastAsia="Calibri" w:hAnsi="Calibri"/>
          <w:kern w:val="2"/>
          <w:sz w:val="22"/>
          <w:szCs w:val="22"/>
          <w:lang w:val="en-US" w:eastAsia="en-US"/>
          <w14:ligatures w14:val="standardContextual"/>
        </w:rPr>
      </w:pPr>
      <w:r w:rsidRPr="00A86675">
        <w:rPr>
          <w:rFonts w:ascii="Calibri" w:eastAsia="Calibri" w:hAnsi="Calibri"/>
          <w:kern w:val="2"/>
          <w:sz w:val="22"/>
          <w:szCs w:val="22"/>
          <w:lang w:val="en-US" w:eastAsia="en-US"/>
          <w14:ligatures w14:val="standardContextual"/>
        </w:rPr>
        <w:t>move Article 3</w:t>
      </w:r>
      <w:r w:rsidR="0095370F">
        <w:rPr>
          <w:rFonts w:ascii="Calibri" w:eastAsia="Calibri" w:hAnsi="Calibri"/>
          <w:kern w:val="2"/>
          <w:sz w:val="22"/>
          <w:szCs w:val="22"/>
          <w:lang w:val="en-US" w:eastAsia="en-US"/>
          <w14:ligatures w14:val="standardContextual"/>
        </w:rPr>
        <w:t>(4)</w:t>
      </w:r>
      <w:r w:rsidRPr="00A86675">
        <w:rPr>
          <w:rFonts w:ascii="Calibri" w:eastAsia="Calibri" w:hAnsi="Calibri"/>
          <w:kern w:val="2"/>
          <w:sz w:val="22"/>
          <w:szCs w:val="22"/>
          <w:lang w:val="en-US" w:eastAsia="en-US"/>
          <w14:ligatures w14:val="standardContextual"/>
        </w:rPr>
        <w:t xml:space="preserve"> </w:t>
      </w:r>
      <w:r w:rsidR="008E7D5B">
        <w:rPr>
          <w:rFonts w:ascii="Calibri" w:eastAsia="Calibri" w:hAnsi="Calibri"/>
          <w:kern w:val="2"/>
          <w:sz w:val="22"/>
          <w:szCs w:val="22"/>
          <w:lang w:val="en-US" w:eastAsia="en-US"/>
          <w14:ligatures w14:val="standardContextual"/>
        </w:rPr>
        <w:t xml:space="preserve">before </w:t>
      </w:r>
      <w:r w:rsidRPr="00A86675">
        <w:rPr>
          <w:rFonts w:ascii="Calibri" w:eastAsia="Calibri" w:hAnsi="Calibri"/>
          <w:kern w:val="2"/>
          <w:sz w:val="22"/>
          <w:szCs w:val="22"/>
          <w:lang w:val="en-US" w:eastAsia="en-US"/>
          <w14:ligatures w14:val="standardContextual"/>
        </w:rPr>
        <w:t xml:space="preserve">the current Article </w:t>
      </w:r>
      <w:proofErr w:type="gramStart"/>
      <w:r w:rsidRPr="00A86675">
        <w:rPr>
          <w:rFonts w:ascii="Calibri" w:eastAsia="Calibri" w:hAnsi="Calibri"/>
          <w:kern w:val="2"/>
          <w:sz w:val="22"/>
          <w:szCs w:val="22"/>
          <w:lang w:val="en-US" w:eastAsia="en-US"/>
          <w14:ligatures w14:val="standardContextual"/>
        </w:rPr>
        <w:t>3</w:t>
      </w:r>
      <w:r w:rsidR="0095370F">
        <w:rPr>
          <w:rFonts w:ascii="Calibri" w:eastAsia="Calibri" w:hAnsi="Calibri"/>
          <w:kern w:val="2"/>
          <w:sz w:val="22"/>
          <w:szCs w:val="22"/>
          <w:lang w:val="en-US" w:eastAsia="en-US"/>
          <w14:ligatures w14:val="standardContextual"/>
        </w:rPr>
        <w:t>(3)</w:t>
      </w:r>
      <w:r w:rsidRPr="00A86675">
        <w:rPr>
          <w:rFonts w:ascii="Calibri" w:eastAsia="Calibri" w:hAnsi="Calibri"/>
          <w:kern w:val="2"/>
          <w:sz w:val="22"/>
          <w:szCs w:val="22"/>
          <w:lang w:val="en-US" w:eastAsia="en-US"/>
          <w14:ligatures w14:val="standardContextual"/>
        </w:rPr>
        <w:t>;</w:t>
      </w:r>
      <w:proofErr w:type="gramEnd"/>
    </w:p>
    <w:p w14:paraId="05A22833" w14:textId="77777777" w:rsidR="00A86675" w:rsidRPr="00A86675" w:rsidRDefault="00A86675" w:rsidP="00A86675">
      <w:pPr>
        <w:numPr>
          <w:ilvl w:val="0"/>
          <w:numId w:val="39"/>
        </w:numPr>
        <w:spacing w:after="160" w:line="259" w:lineRule="auto"/>
        <w:jc w:val="both"/>
        <w:rPr>
          <w:rFonts w:ascii="Calibri" w:eastAsia="Calibri" w:hAnsi="Calibri"/>
          <w:kern w:val="2"/>
          <w:sz w:val="22"/>
          <w:szCs w:val="22"/>
          <w:lang w:val="en-US" w:eastAsia="en-US"/>
          <w14:ligatures w14:val="standardContextual"/>
        </w:rPr>
      </w:pPr>
      <w:proofErr w:type="gramStart"/>
      <w:r w:rsidRPr="00A86675">
        <w:rPr>
          <w:rFonts w:ascii="Calibri" w:eastAsia="Calibri" w:hAnsi="Calibri"/>
          <w:kern w:val="2"/>
          <w:sz w:val="22"/>
          <w:szCs w:val="22"/>
          <w:lang w:val="en-US" w:eastAsia="en-US"/>
          <w14:ligatures w14:val="standardContextual"/>
        </w:rPr>
        <w:t>similarly</w:t>
      </w:r>
      <w:proofErr w:type="gramEnd"/>
      <w:r w:rsidRPr="00A86675">
        <w:rPr>
          <w:rFonts w:ascii="Calibri" w:eastAsia="Calibri" w:hAnsi="Calibri"/>
          <w:kern w:val="2"/>
          <w:sz w:val="22"/>
          <w:szCs w:val="22"/>
          <w:lang w:val="en-US" w:eastAsia="en-US"/>
          <w14:ligatures w14:val="standardContextual"/>
        </w:rPr>
        <w:t xml:space="preserve">, adjust the sequence of paragraphs in Article 6 to reflect alphabetical </w:t>
      </w:r>
      <w:proofErr w:type="gramStart"/>
      <w:r w:rsidRPr="00A86675">
        <w:rPr>
          <w:rFonts w:ascii="Calibri" w:eastAsia="Calibri" w:hAnsi="Calibri"/>
          <w:kern w:val="2"/>
          <w:sz w:val="22"/>
          <w:szCs w:val="22"/>
          <w:lang w:val="en-US" w:eastAsia="en-US"/>
          <w14:ligatures w14:val="standardContextual"/>
        </w:rPr>
        <w:t>order;</w:t>
      </w:r>
      <w:proofErr w:type="gramEnd"/>
    </w:p>
    <w:p w14:paraId="38ECD789" w14:textId="762B3C6D" w:rsidR="00A86675" w:rsidRPr="00A86675" w:rsidRDefault="00A86675" w:rsidP="00A86675">
      <w:pPr>
        <w:numPr>
          <w:ilvl w:val="0"/>
          <w:numId w:val="39"/>
        </w:numPr>
        <w:spacing w:after="160" w:line="259" w:lineRule="auto"/>
        <w:jc w:val="both"/>
        <w:rPr>
          <w:rFonts w:ascii="Calibri" w:eastAsia="Calibri" w:hAnsi="Calibri"/>
          <w:kern w:val="2"/>
          <w:sz w:val="22"/>
          <w:szCs w:val="22"/>
          <w:lang w:val="en-US" w:eastAsia="en-US"/>
          <w14:ligatures w14:val="standardContextual"/>
        </w:rPr>
      </w:pPr>
      <w:r w:rsidRPr="00A86675">
        <w:rPr>
          <w:rFonts w:ascii="Calibri" w:eastAsia="Calibri" w:hAnsi="Calibri"/>
          <w:kern w:val="2"/>
          <w:sz w:val="22"/>
          <w:szCs w:val="22"/>
          <w:lang w:val="en-US" w:eastAsia="en-US"/>
          <w14:ligatures w14:val="standardContextual"/>
        </w:rPr>
        <w:t>likewise, move Article 7</w:t>
      </w:r>
      <w:r w:rsidR="001C7777">
        <w:rPr>
          <w:rFonts w:ascii="Calibri" w:eastAsia="Calibri" w:hAnsi="Calibri"/>
          <w:kern w:val="2"/>
          <w:sz w:val="22"/>
          <w:szCs w:val="22"/>
          <w:lang w:val="en-US" w:eastAsia="en-US"/>
          <w14:ligatures w14:val="standardContextual"/>
        </w:rPr>
        <w:t>(3)</w:t>
      </w:r>
      <w:r w:rsidRPr="00A86675">
        <w:rPr>
          <w:rFonts w:ascii="Calibri" w:eastAsia="Calibri" w:hAnsi="Calibri"/>
          <w:kern w:val="2"/>
          <w:sz w:val="22"/>
          <w:szCs w:val="22"/>
          <w:lang w:val="en-US" w:eastAsia="en-US"/>
          <w14:ligatures w14:val="standardContextual"/>
        </w:rPr>
        <w:t xml:space="preserve"> </w:t>
      </w:r>
      <w:r w:rsidR="008E7D5B">
        <w:rPr>
          <w:rFonts w:ascii="Calibri" w:eastAsia="Calibri" w:hAnsi="Calibri"/>
          <w:kern w:val="2"/>
          <w:sz w:val="22"/>
          <w:szCs w:val="22"/>
          <w:lang w:val="en-US" w:eastAsia="en-US"/>
          <w14:ligatures w14:val="standardContextual"/>
        </w:rPr>
        <w:t>before</w:t>
      </w:r>
      <w:r w:rsidRPr="00A86675">
        <w:rPr>
          <w:rFonts w:ascii="Calibri" w:eastAsia="Calibri" w:hAnsi="Calibri"/>
          <w:kern w:val="2"/>
          <w:sz w:val="22"/>
          <w:szCs w:val="22"/>
          <w:lang w:val="en-US" w:eastAsia="en-US"/>
          <w14:ligatures w14:val="standardContextual"/>
        </w:rPr>
        <w:t xml:space="preserve"> the current Article </w:t>
      </w:r>
      <w:r w:rsidR="001C7777">
        <w:rPr>
          <w:rFonts w:ascii="Calibri" w:eastAsia="Calibri" w:hAnsi="Calibri"/>
          <w:kern w:val="2"/>
          <w:sz w:val="22"/>
          <w:szCs w:val="22"/>
          <w:lang w:val="en-US" w:eastAsia="en-US"/>
          <w14:ligatures w14:val="standardContextual"/>
        </w:rPr>
        <w:t>7(</w:t>
      </w:r>
      <w:r w:rsidR="00800871">
        <w:rPr>
          <w:rFonts w:ascii="Calibri" w:eastAsia="Calibri" w:hAnsi="Calibri"/>
          <w:kern w:val="2"/>
          <w:sz w:val="22"/>
          <w:szCs w:val="22"/>
          <w:lang w:val="en-US" w:eastAsia="en-US"/>
          <w14:ligatures w14:val="standardContextual"/>
        </w:rPr>
        <w:t>1</w:t>
      </w:r>
      <w:r w:rsidR="001C7777">
        <w:rPr>
          <w:rFonts w:ascii="Calibri" w:eastAsia="Calibri" w:hAnsi="Calibri"/>
          <w:kern w:val="2"/>
          <w:sz w:val="22"/>
          <w:szCs w:val="22"/>
          <w:lang w:val="en-US" w:eastAsia="en-US"/>
          <w14:ligatures w14:val="standardContextual"/>
        </w:rPr>
        <w:t>)</w:t>
      </w:r>
      <w:r w:rsidRPr="00A86675">
        <w:rPr>
          <w:rFonts w:ascii="Calibri" w:eastAsia="Calibri" w:hAnsi="Calibri"/>
          <w:kern w:val="2"/>
          <w:sz w:val="22"/>
          <w:szCs w:val="22"/>
          <w:lang w:val="en-US" w:eastAsia="en-US"/>
          <w14:ligatures w14:val="standardContextual"/>
        </w:rPr>
        <w:t>.</w:t>
      </w:r>
    </w:p>
    <w:p w14:paraId="711586A5" w14:textId="73BA112A" w:rsidR="00A86675" w:rsidRPr="00A86675" w:rsidRDefault="00A86675" w:rsidP="00A86675">
      <w:pPr>
        <w:spacing w:after="160" w:line="259" w:lineRule="auto"/>
        <w:jc w:val="both"/>
        <w:rPr>
          <w:rFonts w:ascii="Calibri" w:eastAsia="Calibri" w:hAnsi="Calibri"/>
          <w:kern w:val="2"/>
          <w:sz w:val="22"/>
          <w:szCs w:val="22"/>
          <w:lang w:val="en-US" w:eastAsia="en-US"/>
          <w14:ligatures w14:val="standardContextual"/>
        </w:rPr>
      </w:pPr>
      <w:r w:rsidRPr="00A86675">
        <w:rPr>
          <w:rFonts w:ascii="Calibri" w:eastAsia="Calibri" w:hAnsi="Calibri"/>
          <w:kern w:val="2"/>
          <w:sz w:val="22"/>
          <w:szCs w:val="22"/>
          <w:lang w:val="en-US" w:eastAsia="en-US"/>
          <w14:ligatures w14:val="standardContextual"/>
        </w:rPr>
        <w:t>While these are formal modifications, they would nonetheless contribute meaningfully to improving clarity and usability.</w:t>
      </w:r>
    </w:p>
    <w:p w14:paraId="087B25C3" w14:textId="3EDCB82D" w:rsidR="001B1B48" w:rsidRDefault="0059390E" w:rsidP="00A86675">
      <w:pPr>
        <w:spacing w:after="160" w:line="259" w:lineRule="auto"/>
        <w:jc w:val="both"/>
        <w:rPr>
          <w:rFonts w:ascii="Calibri" w:eastAsia="Calibri" w:hAnsi="Calibri"/>
          <w:kern w:val="2"/>
          <w:sz w:val="22"/>
          <w:szCs w:val="22"/>
          <w:lang w:val="en-US" w:eastAsia="en-US"/>
          <w14:ligatures w14:val="standardContextual"/>
        </w:rPr>
      </w:pPr>
      <w:r>
        <w:rPr>
          <w:rFonts w:ascii="Calibri" w:eastAsia="Calibri" w:hAnsi="Calibri"/>
          <w:kern w:val="2"/>
          <w:sz w:val="22"/>
          <w:szCs w:val="22"/>
          <w:lang w:eastAsia="en-US"/>
          <w14:ligatures w14:val="standardContextual"/>
        </w:rPr>
        <w:t>Secondly</w:t>
      </w:r>
      <w:r w:rsidR="00AD51DE" w:rsidRPr="00AD51DE">
        <w:rPr>
          <w:rFonts w:ascii="Calibri" w:eastAsia="Calibri" w:hAnsi="Calibri"/>
          <w:kern w:val="2"/>
          <w:sz w:val="22"/>
          <w:szCs w:val="22"/>
          <w:lang w:eastAsia="en-US"/>
          <w14:ligatures w14:val="standardContextual"/>
        </w:rPr>
        <w:t xml:space="preserve">, we propose </w:t>
      </w:r>
      <w:r w:rsidR="008E29BD">
        <w:rPr>
          <w:rFonts w:ascii="Calibri" w:eastAsia="Calibri" w:hAnsi="Calibri"/>
          <w:kern w:val="2"/>
          <w:sz w:val="22"/>
          <w:szCs w:val="22"/>
          <w:lang w:eastAsia="en-US"/>
          <w14:ligatures w14:val="standardContextual"/>
        </w:rPr>
        <w:t>addin</w:t>
      </w:r>
      <w:r w:rsidR="00D31819">
        <w:rPr>
          <w:rFonts w:ascii="Calibri" w:eastAsia="Calibri" w:hAnsi="Calibri"/>
          <w:kern w:val="2"/>
          <w:sz w:val="22"/>
          <w:szCs w:val="22"/>
          <w:lang w:eastAsia="en-US"/>
          <w14:ligatures w14:val="standardContextual"/>
        </w:rPr>
        <w:t>g</w:t>
      </w:r>
      <w:r w:rsidR="008E29BD">
        <w:rPr>
          <w:rFonts w:ascii="Calibri" w:eastAsia="Calibri" w:hAnsi="Calibri"/>
          <w:kern w:val="2"/>
          <w:sz w:val="22"/>
          <w:szCs w:val="22"/>
          <w:lang w:eastAsia="en-US"/>
          <w14:ligatures w14:val="standardContextual"/>
        </w:rPr>
        <w:t xml:space="preserve"> some</w:t>
      </w:r>
      <w:r w:rsidR="00D31819">
        <w:rPr>
          <w:rFonts w:ascii="Calibri" w:eastAsia="Calibri" w:hAnsi="Calibri"/>
          <w:kern w:val="2"/>
          <w:sz w:val="22"/>
          <w:szCs w:val="22"/>
          <w:lang w:eastAsia="en-US"/>
          <w14:ligatures w14:val="standardContextual"/>
        </w:rPr>
        <w:t xml:space="preserve"> non-exhaustive examples to</w:t>
      </w:r>
      <w:r w:rsidR="00AD51DE" w:rsidRPr="00AD51DE">
        <w:rPr>
          <w:rFonts w:ascii="Calibri" w:eastAsia="Calibri" w:hAnsi="Calibri"/>
          <w:kern w:val="2"/>
          <w:sz w:val="22"/>
          <w:szCs w:val="22"/>
          <w:lang w:eastAsia="en-US"/>
          <w14:ligatures w14:val="standardContextual"/>
        </w:rPr>
        <w:t xml:space="preserve"> Article 3(</w:t>
      </w:r>
      <w:r w:rsidR="005774A8">
        <w:rPr>
          <w:rFonts w:ascii="Calibri" w:eastAsia="Calibri" w:hAnsi="Calibri"/>
          <w:kern w:val="2"/>
          <w:sz w:val="22"/>
          <w:szCs w:val="22"/>
          <w:lang w:eastAsia="en-US"/>
          <w14:ligatures w14:val="standardContextual"/>
        </w:rPr>
        <w:t>2</w:t>
      </w:r>
      <w:r w:rsidR="00AD51DE" w:rsidRPr="00AD51DE">
        <w:rPr>
          <w:rFonts w:ascii="Calibri" w:eastAsia="Calibri" w:hAnsi="Calibri"/>
          <w:kern w:val="2"/>
          <w:sz w:val="22"/>
          <w:szCs w:val="22"/>
          <w:lang w:eastAsia="en-US"/>
          <w14:ligatures w14:val="standardContextual"/>
        </w:rPr>
        <w:t xml:space="preserve">)(b), which requires </w:t>
      </w:r>
      <w:r w:rsidR="005774A8">
        <w:rPr>
          <w:rFonts w:ascii="Calibri" w:eastAsia="Calibri" w:hAnsi="Calibri"/>
          <w:kern w:val="2"/>
          <w:sz w:val="22"/>
          <w:szCs w:val="22"/>
          <w:lang w:eastAsia="en-US"/>
          <w14:ligatures w14:val="standardContextual"/>
        </w:rPr>
        <w:t>“</w:t>
      </w:r>
      <w:r w:rsidR="005774A8">
        <w:rPr>
          <w:rFonts w:ascii="Calibri" w:eastAsia="Calibri" w:hAnsi="Calibri"/>
          <w:i/>
          <w:iCs/>
          <w:kern w:val="2"/>
          <w:sz w:val="22"/>
          <w:szCs w:val="22"/>
          <w:lang w:eastAsia="en-US"/>
          <w14:ligatures w14:val="standardContextual"/>
        </w:rPr>
        <w:t>a description of the specific issues that the ESG rating covers</w:t>
      </w:r>
      <w:r w:rsidR="005774A8">
        <w:rPr>
          <w:rFonts w:ascii="Calibri" w:eastAsia="Calibri" w:hAnsi="Calibri"/>
          <w:kern w:val="2"/>
          <w:sz w:val="22"/>
          <w:szCs w:val="22"/>
          <w:lang w:eastAsia="en-US"/>
          <w14:ligatures w14:val="standardContextual"/>
        </w:rPr>
        <w:t>”.</w:t>
      </w:r>
      <w:r w:rsidR="00AD51DE">
        <w:rPr>
          <w:rFonts w:ascii="Calibri" w:eastAsia="Calibri" w:hAnsi="Calibri"/>
          <w:kern w:val="2"/>
          <w:sz w:val="22"/>
          <w:szCs w:val="22"/>
          <w:lang w:eastAsia="en-US"/>
          <w14:ligatures w14:val="standardContextual"/>
        </w:rPr>
        <w:t xml:space="preserve"> </w:t>
      </w:r>
      <w:r w:rsidR="00A86675" w:rsidRPr="00A86675">
        <w:rPr>
          <w:rFonts w:ascii="Calibri" w:eastAsia="Calibri" w:hAnsi="Calibri"/>
          <w:kern w:val="2"/>
          <w:sz w:val="22"/>
          <w:szCs w:val="22"/>
          <w:lang w:val="en-US" w:eastAsia="en-US"/>
          <w14:ligatures w14:val="standardContextual"/>
        </w:rPr>
        <w:t>For example, the Annex III, point 1</w:t>
      </w:r>
      <w:r w:rsidR="00C07BC8">
        <w:rPr>
          <w:rFonts w:ascii="Calibri" w:eastAsia="Calibri" w:hAnsi="Calibri"/>
          <w:kern w:val="2"/>
          <w:sz w:val="22"/>
          <w:szCs w:val="22"/>
          <w:lang w:val="en-US" w:eastAsia="en-US"/>
          <w14:ligatures w14:val="standardContextual"/>
        </w:rPr>
        <w:t>, letter (</w:t>
      </w:r>
      <w:r w:rsidR="00AF54AC">
        <w:rPr>
          <w:rFonts w:ascii="Calibri" w:eastAsia="Calibri" w:hAnsi="Calibri"/>
          <w:kern w:val="2"/>
          <w:sz w:val="22"/>
          <w:szCs w:val="22"/>
          <w:lang w:val="en-US" w:eastAsia="en-US"/>
          <w14:ligatures w14:val="standardContextual"/>
        </w:rPr>
        <w:t>g</w:t>
      </w:r>
      <w:r w:rsidR="00C07BC8">
        <w:rPr>
          <w:rFonts w:ascii="Calibri" w:eastAsia="Calibri" w:hAnsi="Calibri"/>
          <w:kern w:val="2"/>
          <w:sz w:val="22"/>
          <w:szCs w:val="22"/>
          <w:lang w:val="en-US" w:eastAsia="en-US"/>
          <w14:ligatures w14:val="standardContextual"/>
        </w:rPr>
        <w:t xml:space="preserve">), of Regulation (EU) 2024/3005 </w:t>
      </w:r>
      <w:r w:rsidR="00A86675" w:rsidRPr="00A86675">
        <w:rPr>
          <w:rFonts w:ascii="Calibri" w:eastAsia="Calibri" w:hAnsi="Calibri"/>
          <w:kern w:val="2"/>
          <w:sz w:val="22"/>
          <w:szCs w:val="22"/>
          <w:lang w:val="en-US" w:eastAsia="en-US"/>
          <w14:ligatures w14:val="standardContextual"/>
        </w:rPr>
        <w:t>refers to “</w:t>
      </w:r>
      <w:r w:rsidR="00A86675" w:rsidRPr="00A86675">
        <w:rPr>
          <w:rFonts w:ascii="Calibri" w:eastAsia="Calibri" w:hAnsi="Calibri"/>
          <w:i/>
          <w:iCs/>
          <w:kern w:val="2"/>
          <w:sz w:val="22"/>
          <w:szCs w:val="22"/>
          <w:lang w:val="en-US" w:eastAsia="en-US"/>
          <w14:ligatures w14:val="standardContextual"/>
        </w:rPr>
        <w:t>transition risks</w:t>
      </w:r>
      <w:r w:rsidR="00A86675" w:rsidRPr="00A86675">
        <w:rPr>
          <w:rFonts w:ascii="Calibri" w:eastAsia="Calibri" w:hAnsi="Calibri"/>
          <w:kern w:val="2"/>
          <w:sz w:val="22"/>
          <w:szCs w:val="22"/>
          <w:lang w:val="en-US" w:eastAsia="en-US"/>
          <w14:ligatures w14:val="standardContextual"/>
        </w:rPr>
        <w:t>” as one such issue. It would be beneficial for ESG rating providers if the RTS included a few more illustrative examples of what qualifies as “</w:t>
      </w:r>
      <w:r w:rsidR="00A86675" w:rsidRPr="00A86675">
        <w:rPr>
          <w:rFonts w:ascii="Calibri" w:eastAsia="Calibri" w:hAnsi="Calibri"/>
          <w:i/>
          <w:iCs/>
          <w:kern w:val="2"/>
          <w:sz w:val="22"/>
          <w:szCs w:val="22"/>
          <w:lang w:val="en-US" w:eastAsia="en-US"/>
          <w14:ligatures w14:val="standardContextual"/>
        </w:rPr>
        <w:t>specific issues</w:t>
      </w:r>
      <w:r w:rsidR="00A86675" w:rsidRPr="00A86675">
        <w:rPr>
          <w:rFonts w:ascii="Calibri" w:eastAsia="Calibri" w:hAnsi="Calibri"/>
          <w:kern w:val="2"/>
          <w:sz w:val="22"/>
          <w:szCs w:val="22"/>
          <w:lang w:val="en-US" w:eastAsia="en-US"/>
          <w14:ligatures w14:val="standardContextual"/>
        </w:rPr>
        <w:t xml:space="preserve">.” </w:t>
      </w:r>
      <w:r w:rsidR="007B707C" w:rsidRPr="007B707C">
        <w:rPr>
          <w:rFonts w:ascii="Calibri" w:eastAsia="Calibri" w:hAnsi="Calibri"/>
          <w:kern w:val="2"/>
          <w:sz w:val="22"/>
          <w:szCs w:val="22"/>
          <w:lang w:eastAsia="en-US"/>
          <w14:ligatures w14:val="standardContextual"/>
        </w:rPr>
        <w:t>This would support more consistent application and facilitate easier compliance.</w:t>
      </w:r>
    </w:p>
    <w:p w14:paraId="6FBBEBAF" w14:textId="453FDF33" w:rsidR="001D73BF" w:rsidRPr="001D73BF" w:rsidRDefault="001D73BF" w:rsidP="00695AB6">
      <w:pPr>
        <w:spacing w:after="160" w:line="259" w:lineRule="auto"/>
        <w:jc w:val="both"/>
        <w:rPr>
          <w:rFonts w:ascii="Calibri" w:eastAsia="Calibri" w:hAnsi="Calibri"/>
          <w:kern w:val="2"/>
          <w:sz w:val="22"/>
          <w:szCs w:val="22"/>
          <w:lang w:val="en-US" w:eastAsia="en-US"/>
          <w14:ligatures w14:val="standardContextual"/>
        </w:rPr>
      </w:pPr>
      <w:r>
        <w:rPr>
          <w:rFonts w:ascii="Calibri" w:eastAsia="Calibri" w:hAnsi="Calibri"/>
          <w:kern w:val="2"/>
          <w:sz w:val="22"/>
          <w:szCs w:val="22"/>
          <w:lang w:val="en-US" w:eastAsia="en-US"/>
          <w14:ligatures w14:val="standardContextual"/>
        </w:rPr>
        <w:t>Finally</w:t>
      </w:r>
      <w:r w:rsidRPr="001D73BF">
        <w:rPr>
          <w:rFonts w:ascii="Calibri" w:eastAsia="Calibri" w:hAnsi="Calibri"/>
          <w:kern w:val="2"/>
          <w:sz w:val="22"/>
          <w:szCs w:val="22"/>
          <w:lang w:val="en-US" w:eastAsia="en-US"/>
          <w14:ligatures w14:val="standardContextual"/>
        </w:rPr>
        <w:t>, we suggest revising Article 4(1)(e), which requires ESG rating providers to disclose how “</w:t>
      </w:r>
      <w:r w:rsidRPr="001D73BF">
        <w:rPr>
          <w:rFonts w:ascii="Calibri" w:eastAsia="Calibri" w:hAnsi="Calibri"/>
          <w:i/>
          <w:iCs/>
          <w:kern w:val="2"/>
          <w:sz w:val="22"/>
          <w:szCs w:val="22"/>
          <w:lang w:val="en-US" w:eastAsia="en-US"/>
          <w14:ligatures w14:val="standardContextual"/>
        </w:rPr>
        <w:t>major</w:t>
      </w:r>
      <w:r w:rsidRPr="001D73BF">
        <w:rPr>
          <w:rFonts w:ascii="Calibri" w:eastAsia="Calibri" w:hAnsi="Calibri"/>
          <w:kern w:val="2"/>
          <w:sz w:val="22"/>
          <w:szCs w:val="22"/>
          <w:lang w:val="en-US" w:eastAsia="en-US"/>
          <w14:ligatures w14:val="standardContextual"/>
        </w:rPr>
        <w:t>” new information is incorporated into their methodologies. We propose replacing the term “</w:t>
      </w:r>
      <w:r w:rsidRPr="001D73BF">
        <w:rPr>
          <w:rFonts w:ascii="Calibri" w:eastAsia="Calibri" w:hAnsi="Calibri"/>
          <w:i/>
          <w:iCs/>
          <w:kern w:val="2"/>
          <w:sz w:val="22"/>
          <w:szCs w:val="22"/>
          <w:lang w:val="en-US" w:eastAsia="en-US"/>
          <w14:ligatures w14:val="standardContextual"/>
        </w:rPr>
        <w:t>major</w:t>
      </w:r>
      <w:r w:rsidRPr="001D73BF">
        <w:rPr>
          <w:rFonts w:ascii="Calibri" w:eastAsia="Calibri" w:hAnsi="Calibri"/>
          <w:kern w:val="2"/>
          <w:sz w:val="22"/>
          <w:szCs w:val="22"/>
          <w:lang w:val="en-US" w:eastAsia="en-US"/>
          <w14:ligatures w14:val="standardContextual"/>
        </w:rPr>
        <w:t>” with “</w:t>
      </w:r>
      <w:r w:rsidRPr="001D73BF">
        <w:rPr>
          <w:rFonts w:ascii="Calibri" w:eastAsia="Calibri" w:hAnsi="Calibri"/>
          <w:i/>
          <w:iCs/>
          <w:kern w:val="2"/>
          <w:sz w:val="22"/>
          <w:szCs w:val="22"/>
          <w:lang w:val="en-US" w:eastAsia="en-US"/>
          <w14:ligatures w14:val="standardContextual"/>
        </w:rPr>
        <w:t>material</w:t>
      </w:r>
      <w:r w:rsidRPr="001D73BF">
        <w:rPr>
          <w:rFonts w:ascii="Calibri" w:eastAsia="Calibri" w:hAnsi="Calibri"/>
          <w:kern w:val="2"/>
          <w:sz w:val="22"/>
          <w:szCs w:val="22"/>
          <w:lang w:val="en-US" w:eastAsia="en-US"/>
          <w14:ligatures w14:val="standardContextual"/>
        </w:rPr>
        <w:t xml:space="preserve">” </w:t>
      </w:r>
      <w:r w:rsidR="00715060">
        <w:rPr>
          <w:rFonts w:ascii="Calibri" w:eastAsia="Calibri" w:hAnsi="Calibri"/>
          <w:kern w:val="2"/>
          <w:sz w:val="22"/>
          <w:szCs w:val="22"/>
          <w:lang w:val="en-US" w:eastAsia="en-US"/>
          <w14:ligatures w14:val="standardContextual"/>
        </w:rPr>
        <w:t xml:space="preserve">to </w:t>
      </w:r>
      <w:proofErr w:type="spellStart"/>
      <w:r w:rsidRPr="001D73BF">
        <w:rPr>
          <w:rFonts w:ascii="Calibri" w:eastAsia="Calibri" w:hAnsi="Calibri"/>
          <w:kern w:val="2"/>
          <w:sz w:val="22"/>
          <w:szCs w:val="22"/>
          <w:lang w:val="en-US" w:eastAsia="en-US"/>
          <w14:ligatures w14:val="standardContextual"/>
        </w:rPr>
        <w:t>standardise</w:t>
      </w:r>
      <w:proofErr w:type="spellEnd"/>
      <w:r w:rsidRPr="001D73BF">
        <w:rPr>
          <w:rFonts w:ascii="Calibri" w:eastAsia="Calibri" w:hAnsi="Calibri"/>
          <w:kern w:val="2"/>
          <w:sz w:val="22"/>
          <w:szCs w:val="22"/>
          <w:lang w:val="en-US" w:eastAsia="en-US"/>
          <w14:ligatures w14:val="standardContextual"/>
        </w:rPr>
        <w:t xml:space="preserve"> terminology </w:t>
      </w:r>
      <w:r w:rsidR="00715060">
        <w:rPr>
          <w:rFonts w:ascii="Calibri" w:eastAsia="Calibri" w:hAnsi="Calibri"/>
          <w:kern w:val="2"/>
          <w:sz w:val="22"/>
          <w:szCs w:val="22"/>
          <w:lang w:val="en-US" w:eastAsia="en-US"/>
          <w14:ligatures w14:val="standardContextual"/>
        </w:rPr>
        <w:t xml:space="preserve">(this </w:t>
      </w:r>
      <w:r w:rsidRPr="001D73BF">
        <w:rPr>
          <w:rFonts w:ascii="Calibri" w:eastAsia="Calibri" w:hAnsi="Calibri"/>
          <w:kern w:val="2"/>
          <w:sz w:val="22"/>
          <w:szCs w:val="22"/>
          <w:lang w:val="en-US" w:eastAsia="en-US"/>
          <w14:ligatures w14:val="standardContextual"/>
        </w:rPr>
        <w:t>ensur</w:t>
      </w:r>
      <w:r w:rsidR="00715060">
        <w:rPr>
          <w:rFonts w:ascii="Calibri" w:eastAsia="Calibri" w:hAnsi="Calibri"/>
          <w:kern w:val="2"/>
          <w:sz w:val="22"/>
          <w:szCs w:val="22"/>
          <w:lang w:val="en-US" w:eastAsia="en-US"/>
          <w14:ligatures w14:val="standardContextual"/>
        </w:rPr>
        <w:t>ing</w:t>
      </w:r>
      <w:r w:rsidRPr="001D73BF">
        <w:rPr>
          <w:rFonts w:ascii="Calibri" w:eastAsia="Calibri" w:hAnsi="Calibri"/>
          <w:kern w:val="2"/>
          <w:sz w:val="22"/>
          <w:szCs w:val="22"/>
          <w:lang w:val="en-US" w:eastAsia="en-US"/>
          <w14:ligatures w14:val="standardContextual"/>
        </w:rPr>
        <w:t xml:space="preserve"> consistency across related provisions</w:t>
      </w:r>
      <w:r w:rsidR="00D72A4C">
        <w:rPr>
          <w:rFonts w:ascii="Calibri" w:eastAsia="Calibri" w:hAnsi="Calibri"/>
          <w:kern w:val="2"/>
          <w:sz w:val="22"/>
          <w:szCs w:val="22"/>
          <w:lang w:val="en-US" w:eastAsia="en-US"/>
          <w14:ligatures w14:val="standardContextual"/>
        </w:rPr>
        <w:t xml:space="preserve">) and reflect the principle that </w:t>
      </w:r>
      <w:r w:rsidR="00957D75">
        <w:rPr>
          <w:rFonts w:ascii="Calibri" w:eastAsia="Calibri" w:hAnsi="Calibri"/>
          <w:kern w:val="2"/>
          <w:sz w:val="22"/>
          <w:szCs w:val="22"/>
          <w:lang w:val="en-US" w:eastAsia="en-US"/>
          <w14:ligatures w14:val="standardContextual"/>
        </w:rPr>
        <w:t xml:space="preserve">the selection of </w:t>
      </w:r>
      <w:r w:rsidR="0080710D">
        <w:rPr>
          <w:rFonts w:ascii="Calibri" w:eastAsia="Calibri" w:hAnsi="Calibri"/>
          <w:kern w:val="2"/>
          <w:sz w:val="22"/>
          <w:szCs w:val="22"/>
          <w:lang w:val="en-US" w:eastAsia="en-US"/>
          <w14:ligatures w14:val="standardContextual"/>
        </w:rPr>
        <w:t xml:space="preserve">relevant (i.e., material) information shall be made </w:t>
      </w:r>
      <w:r w:rsidR="003E43F5">
        <w:rPr>
          <w:rFonts w:ascii="Calibri" w:eastAsia="Calibri" w:hAnsi="Calibri"/>
          <w:kern w:val="2"/>
          <w:sz w:val="22"/>
          <w:szCs w:val="22"/>
          <w:lang w:val="en-US" w:eastAsia="en-US"/>
          <w14:ligatures w14:val="standardContextual"/>
        </w:rPr>
        <w:t>according to the applicable methodology</w:t>
      </w:r>
      <w:r w:rsidRPr="001D73BF">
        <w:rPr>
          <w:rFonts w:ascii="Calibri" w:eastAsia="Calibri" w:hAnsi="Calibri"/>
          <w:kern w:val="2"/>
          <w:sz w:val="22"/>
          <w:szCs w:val="22"/>
          <w:lang w:val="en-US" w:eastAsia="en-US"/>
          <w14:ligatures w14:val="standardContextual"/>
        </w:rPr>
        <w:t>.</w:t>
      </w:r>
    </w:p>
    <w:permEnd w:id="669658389"/>
    <w:p w14:paraId="77645EA9" w14:textId="67311EC5"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w:t>
      </w:r>
      <w:r w:rsidR="00322B55">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_3&gt;</w:t>
      </w:r>
    </w:p>
    <w:p w14:paraId="374EDE5B" w14:textId="29DF36F2" w:rsidR="00513DA2" w:rsidRPr="00513DA2" w:rsidRDefault="00655791" w:rsidP="00513DA2">
      <w:pPr>
        <w:pStyle w:val="Paragraph"/>
        <w:numPr>
          <w:ilvl w:val="0"/>
          <w:numId w:val="0"/>
        </w:numPr>
        <w:ind w:left="708" w:hanging="708"/>
        <w:rPr>
          <w:b/>
          <w:bCs/>
        </w:rPr>
      </w:pPr>
      <w:r>
        <w:rPr>
          <w:b/>
          <w:bCs/>
        </w:rPr>
        <w:t>Q4.</w:t>
      </w:r>
      <w:r>
        <w:rPr>
          <w:b/>
          <w:bCs/>
        </w:rPr>
        <w:tab/>
      </w:r>
      <w:r w:rsidR="00513DA2" w:rsidRPr="00513DA2">
        <w:rPr>
          <w:b/>
          <w:bCs/>
        </w:rPr>
        <w:t xml:space="preserve">Do you consider that the draft technical standards under Articles 23(4) or 24(3) </w:t>
      </w:r>
      <w:proofErr w:type="gramStart"/>
      <w:r w:rsidR="00513DA2" w:rsidRPr="00513DA2">
        <w:rPr>
          <w:b/>
          <w:bCs/>
        </w:rPr>
        <w:t>should  instead</w:t>
      </w:r>
      <w:proofErr w:type="gramEnd"/>
      <w:r w:rsidR="00513DA2" w:rsidRPr="00513DA2">
        <w:rPr>
          <w:b/>
          <w:bCs/>
        </w:rPr>
        <w:t xml:space="preserve"> provide an expanded table in Annex proposing a sequence and structure for all disclosures to be made under parts 1 and 2 of Annex III? If yes, please explain the benefits of such an approach.</w:t>
      </w:r>
    </w:p>
    <w:p w14:paraId="052AF9D6" w14:textId="43D4216A"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w:t>
      </w:r>
      <w:r w:rsidR="00655791">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_4&gt;</w:t>
      </w:r>
    </w:p>
    <w:p w14:paraId="5CBF3978" w14:textId="576CB676" w:rsidR="001B1B48" w:rsidRPr="00151159" w:rsidRDefault="00151159" w:rsidP="00A86675">
      <w:pPr>
        <w:spacing w:after="160" w:line="259" w:lineRule="auto"/>
        <w:jc w:val="both"/>
        <w:rPr>
          <w:rFonts w:ascii="Calibri" w:eastAsia="Calibri" w:hAnsi="Calibri"/>
          <w:kern w:val="2"/>
          <w:sz w:val="22"/>
          <w:szCs w:val="22"/>
          <w:lang w:val="en-US" w:eastAsia="en-US"/>
          <w14:ligatures w14:val="standardContextual"/>
        </w:rPr>
      </w:pPr>
      <w:permStart w:id="1645309941" w:edGrp="everyone"/>
      <w:r w:rsidRPr="00151159">
        <w:rPr>
          <w:rFonts w:ascii="Calibri" w:eastAsia="Calibri" w:hAnsi="Calibri"/>
          <w:kern w:val="2"/>
          <w:sz w:val="22"/>
          <w:szCs w:val="22"/>
          <w:lang w:val="en-US" w:eastAsia="en-US"/>
          <w14:ligatures w14:val="standardContextual"/>
        </w:rPr>
        <w:t>Yes, we support the inclusion of an expanded and unified disclosure table encompassing both Part 1 and Part 2 of Annex III. A comprehensive structure would offer significant advantages in terms of consistency, clarity, and comparability of ESG rating providers’ disclosures</w:t>
      </w:r>
      <w:r w:rsidR="005C05F8">
        <w:rPr>
          <w:rFonts w:ascii="Calibri" w:eastAsia="Calibri" w:hAnsi="Calibri"/>
          <w:kern w:val="2"/>
          <w:sz w:val="22"/>
          <w:szCs w:val="22"/>
          <w:lang w:val="en-US" w:eastAsia="en-US"/>
          <w14:ligatures w14:val="standardContextual"/>
        </w:rPr>
        <w:t xml:space="preserve"> – </w:t>
      </w:r>
      <w:r w:rsidRPr="00151159">
        <w:rPr>
          <w:rFonts w:ascii="Calibri" w:eastAsia="Calibri" w:hAnsi="Calibri"/>
          <w:kern w:val="2"/>
          <w:sz w:val="22"/>
          <w:szCs w:val="22"/>
          <w:lang w:val="en-US" w:eastAsia="en-US"/>
          <w14:ligatures w14:val="standardContextual"/>
        </w:rPr>
        <w:t>for both ESG rating providers and end users. On the one hand, although the information required under ESMA’s RTS in relation to point 2 of Annex III is less extensive than that required under point 1, it remains important and still places certain burdens on ESG rating providers. Introducing a unified disclosure table covering both parts of Annex III could therefore effectively facilitate compliance</w:t>
      </w:r>
      <w:r w:rsidR="00B8355E">
        <w:rPr>
          <w:rFonts w:ascii="Calibri" w:eastAsia="Calibri" w:hAnsi="Calibri"/>
          <w:kern w:val="2"/>
          <w:sz w:val="22"/>
          <w:szCs w:val="22"/>
          <w:lang w:val="en-US" w:eastAsia="en-US"/>
          <w14:ligatures w14:val="standardContextual"/>
        </w:rPr>
        <w:t xml:space="preserve"> – </w:t>
      </w:r>
      <w:r w:rsidRPr="00151159">
        <w:rPr>
          <w:rFonts w:ascii="Calibri" w:eastAsia="Calibri" w:hAnsi="Calibri"/>
          <w:kern w:val="2"/>
          <w:sz w:val="22"/>
          <w:szCs w:val="22"/>
          <w:lang w:val="en-US" w:eastAsia="en-US"/>
          <w14:ligatures w14:val="standardContextual"/>
        </w:rPr>
        <w:t xml:space="preserve">without, at the same time, becoming an overly burdensome task for the authority. On the other hand, this approach could also </w:t>
      </w:r>
      <w:r w:rsidRPr="00151159">
        <w:rPr>
          <w:rFonts w:ascii="Calibri" w:eastAsia="Calibri" w:hAnsi="Calibri"/>
          <w:kern w:val="2"/>
          <w:sz w:val="22"/>
          <w:szCs w:val="22"/>
          <w:lang w:val="en-US" w:eastAsia="en-US"/>
          <w14:ligatures w14:val="standardContextual"/>
        </w:rPr>
        <w:lastRenderedPageBreak/>
        <w:t xml:space="preserve">support end users </w:t>
      </w:r>
      <w:r w:rsidR="0038175A">
        <w:rPr>
          <w:rFonts w:ascii="Calibri" w:eastAsia="Calibri" w:hAnsi="Calibri"/>
          <w:kern w:val="2"/>
          <w:sz w:val="22"/>
          <w:szCs w:val="22"/>
          <w:lang w:val="en-US" w:eastAsia="en-US"/>
          <w14:ligatures w14:val="standardContextual"/>
        </w:rPr>
        <w:t xml:space="preserve">as it would facilitate comparison among </w:t>
      </w:r>
      <w:r w:rsidRPr="00151159">
        <w:rPr>
          <w:rFonts w:ascii="Calibri" w:eastAsia="Calibri" w:hAnsi="Calibri"/>
          <w:kern w:val="2"/>
          <w:sz w:val="22"/>
          <w:szCs w:val="22"/>
          <w:lang w:val="en-US" w:eastAsia="en-US"/>
          <w14:ligatures w14:val="standardContextual"/>
        </w:rPr>
        <w:t xml:space="preserve">disclosures and </w:t>
      </w:r>
      <w:r w:rsidR="00E657C7">
        <w:rPr>
          <w:rFonts w:ascii="Calibri" w:eastAsia="Calibri" w:hAnsi="Calibri"/>
          <w:kern w:val="2"/>
          <w:sz w:val="22"/>
          <w:szCs w:val="22"/>
          <w:lang w:val="en-US" w:eastAsia="en-US"/>
          <w14:ligatures w14:val="standardContextual"/>
        </w:rPr>
        <w:t xml:space="preserve">support the </w:t>
      </w:r>
      <w:proofErr w:type="gramStart"/>
      <w:r w:rsidRPr="00151159">
        <w:rPr>
          <w:rFonts w:ascii="Calibri" w:eastAsia="Calibri" w:hAnsi="Calibri"/>
          <w:kern w:val="2"/>
          <w:sz w:val="22"/>
          <w:szCs w:val="22"/>
          <w:lang w:val="en-US" w:eastAsia="en-US"/>
          <w14:ligatures w14:val="standardContextual"/>
        </w:rPr>
        <w:t>understanding</w:t>
      </w:r>
      <w:proofErr w:type="gramEnd"/>
      <w:r w:rsidRPr="00151159">
        <w:rPr>
          <w:rFonts w:ascii="Calibri" w:eastAsia="Calibri" w:hAnsi="Calibri"/>
          <w:kern w:val="2"/>
          <w:sz w:val="22"/>
          <w:szCs w:val="22"/>
          <w:lang w:val="en-US" w:eastAsia="en-US"/>
          <w14:ligatures w14:val="standardContextual"/>
        </w:rPr>
        <w:t xml:space="preserve"> the methodologies applied</w:t>
      </w:r>
      <w:r w:rsidR="00FA214B" w:rsidRPr="00151159">
        <w:rPr>
          <w:rFonts w:ascii="Calibri" w:eastAsia="Calibri" w:hAnsi="Calibri"/>
          <w:kern w:val="2"/>
          <w:sz w:val="22"/>
          <w:szCs w:val="22"/>
          <w:lang w:val="en-US" w:eastAsia="en-US"/>
          <w14:ligatures w14:val="standardContextual"/>
        </w:rPr>
        <w:t>.</w:t>
      </w:r>
    </w:p>
    <w:permEnd w:id="1645309941"/>
    <w:p w14:paraId="2F0C894F" w14:textId="7301DC4E"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w:t>
      </w:r>
      <w:r w:rsidR="00655791">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_4&gt;</w:t>
      </w:r>
    </w:p>
    <w:p w14:paraId="0EFC77F0"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0691FCAC" w14:textId="5B24CD2A" w:rsidR="001B1B48" w:rsidRPr="00EA357E" w:rsidRDefault="00EA357E" w:rsidP="00EA357E">
      <w:pPr>
        <w:pStyle w:val="Paragraph"/>
        <w:numPr>
          <w:ilvl w:val="0"/>
          <w:numId w:val="0"/>
        </w:numPr>
        <w:rPr>
          <w:b/>
          <w:bCs/>
        </w:rPr>
      </w:pPr>
      <w:proofErr w:type="gramStart"/>
      <w:r w:rsidRPr="00EA357E">
        <w:rPr>
          <w:b/>
          <w:bCs/>
        </w:rPr>
        <w:t>Q5</w:t>
      </w:r>
      <w:proofErr w:type="gramEnd"/>
      <w:r w:rsidRPr="00EA357E">
        <w:rPr>
          <w:b/>
          <w:bCs/>
        </w:rPr>
        <w:t xml:space="preserve"> </w:t>
      </w:r>
      <w:r w:rsidRPr="00EA357E">
        <w:rPr>
          <w:b/>
          <w:bCs/>
        </w:rPr>
        <w:tab/>
        <w:t>Do you agree with ESMA’s proposed cost benefit analysis? If not, please explain.</w:t>
      </w:r>
    </w:p>
    <w:p w14:paraId="2996F4BA" w14:textId="36938C88"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w:t>
      </w:r>
      <w:r w:rsidR="00EA357E">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_5&gt;</w:t>
      </w:r>
    </w:p>
    <w:p w14:paraId="6D6E7D1D" w14:textId="77777777" w:rsidR="009B22A4" w:rsidRDefault="009F49C6" w:rsidP="00A86675">
      <w:pPr>
        <w:spacing w:after="160" w:line="259" w:lineRule="auto"/>
        <w:jc w:val="both"/>
        <w:rPr>
          <w:rFonts w:ascii="Calibri" w:eastAsia="Calibri" w:hAnsi="Calibri"/>
          <w:kern w:val="2"/>
          <w:sz w:val="22"/>
          <w:szCs w:val="22"/>
          <w:lang w:eastAsia="en-US"/>
          <w14:ligatures w14:val="standardContextual"/>
        </w:rPr>
      </w:pPr>
      <w:permStart w:id="159149139" w:edGrp="everyone"/>
      <w:r w:rsidRPr="009F49C6">
        <w:rPr>
          <w:rFonts w:ascii="Calibri" w:eastAsia="Calibri" w:hAnsi="Calibri"/>
          <w:kern w:val="2"/>
          <w:sz w:val="22"/>
          <w:szCs w:val="22"/>
          <w:lang w:eastAsia="en-US"/>
          <w14:ligatures w14:val="standardContextual"/>
        </w:rPr>
        <w:t xml:space="preserve">We agree with ESMA’s overall assessment that the proposed technical standards are consistent with the objectives of </w:t>
      </w:r>
      <w:r w:rsidR="005E512B">
        <w:rPr>
          <w:rFonts w:ascii="Calibri" w:eastAsia="Calibri" w:hAnsi="Calibri"/>
          <w:kern w:val="2"/>
          <w:sz w:val="22"/>
          <w:szCs w:val="22"/>
          <w:lang w:eastAsia="en-US"/>
          <w14:ligatures w14:val="standardContextual"/>
        </w:rPr>
        <w:t>Regulation (EU) 2024/3005</w:t>
      </w:r>
      <w:r w:rsidRPr="009F49C6">
        <w:rPr>
          <w:rFonts w:ascii="Calibri" w:eastAsia="Calibri" w:hAnsi="Calibri"/>
          <w:kern w:val="2"/>
          <w:sz w:val="22"/>
          <w:szCs w:val="22"/>
          <w:lang w:eastAsia="en-US"/>
          <w14:ligatures w14:val="standardContextual"/>
        </w:rPr>
        <w:t xml:space="preserve">, and we recognise that many of the associated costs are already embedded </w:t>
      </w:r>
      <w:r w:rsidR="005E512B">
        <w:rPr>
          <w:rFonts w:ascii="Calibri" w:eastAsia="Calibri" w:hAnsi="Calibri"/>
          <w:kern w:val="2"/>
          <w:sz w:val="22"/>
          <w:szCs w:val="22"/>
          <w:lang w:eastAsia="en-US"/>
          <w14:ligatures w14:val="standardContextual"/>
        </w:rPr>
        <w:t>within the same Regulation</w:t>
      </w:r>
      <w:r w:rsidRPr="009F49C6">
        <w:rPr>
          <w:rFonts w:ascii="Calibri" w:eastAsia="Calibri" w:hAnsi="Calibri"/>
          <w:kern w:val="2"/>
          <w:sz w:val="22"/>
          <w:szCs w:val="22"/>
          <w:lang w:eastAsia="en-US"/>
          <w14:ligatures w14:val="standardContextual"/>
        </w:rPr>
        <w:t xml:space="preserve">. </w:t>
      </w:r>
    </w:p>
    <w:p w14:paraId="3548D134" w14:textId="060D8636" w:rsidR="009F49C6" w:rsidRDefault="009F49C6" w:rsidP="00A86675">
      <w:pPr>
        <w:spacing w:after="160" w:line="259" w:lineRule="auto"/>
        <w:jc w:val="both"/>
        <w:rPr>
          <w:rFonts w:ascii="Calibri" w:eastAsia="Calibri" w:hAnsi="Calibri"/>
          <w:kern w:val="2"/>
          <w:sz w:val="22"/>
          <w:szCs w:val="22"/>
          <w:lang w:eastAsia="en-US"/>
          <w14:ligatures w14:val="standardContextual"/>
        </w:rPr>
      </w:pPr>
      <w:r w:rsidRPr="009F49C6">
        <w:rPr>
          <w:rFonts w:ascii="Calibri" w:eastAsia="Calibri" w:hAnsi="Calibri"/>
          <w:kern w:val="2"/>
          <w:sz w:val="22"/>
          <w:szCs w:val="22"/>
          <w:lang w:eastAsia="en-US"/>
          <w14:ligatures w14:val="standardContextual"/>
        </w:rPr>
        <w:t>However, we recommend a more detailed assessment of the potential operational burden</w:t>
      </w:r>
      <w:r>
        <w:rPr>
          <w:rFonts w:ascii="Calibri" w:eastAsia="Calibri" w:hAnsi="Calibri"/>
          <w:kern w:val="2"/>
          <w:sz w:val="22"/>
          <w:szCs w:val="22"/>
          <w:lang w:eastAsia="en-US"/>
          <w14:ligatures w14:val="standardContextual"/>
        </w:rPr>
        <w:t xml:space="preserve"> – </w:t>
      </w:r>
      <w:r w:rsidRPr="009F49C6">
        <w:rPr>
          <w:rFonts w:ascii="Calibri" w:eastAsia="Calibri" w:hAnsi="Calibri"/>
          <w:kern w:val="2"/>
          <w:sz w:val="22"/>
          <w:szCs w:val="22"/>
          <w:lang w:eastAsia="en-US"/>
          <w14:ligatures w14:val="standardContextual"/>
        </w:rPr>
        <w:t xml:space="preserve">particularly for smaller ESG rating providers, given that the ESG rating market is characterised by high </w:t>
      </w:r>
      <w:r w:rsidR="009B22A4">
        <w:rPr>
          <w:rFonts w:ascii="Calibri" w:eastAsia="Calibri" w:hAnsi="Calibri"/>
          <w:kern w:val="2"/>
          <w:sz w:val="22"/>
          <w:szCs w:val="22"/>
          <w:lang w:eastAsia="en-US"/>
          <w14:ligatures w14:val="standardContextual"/>
        </w:rPr>
        <w:t xml:space="preserve">market </w:t>
      </w:r>
      <w:r w:rsidRPr="009F49C6">
        <w:rPr>
          <w:rFonts w:ascii="Calibri" w:eastAsia="Calibri" w:hAnsi="Calibri"/>
          <w:kern w:val="2"/>
          <w:sz w:val="22"/>
          <w:szCs w:val="22"/>
          <w:lang w:eastAsia="en-US"/>
          <w14:ligatures w14:val="standardContextual"/>
        </w:rPr>
        <w:t>concentration. It is therefore important to closely and carefully assess the costs and benefits of imposing highly burdensome obligations</w:t>
      </w:r>
      <w:r>
        <w:rPr>
          <w:rFonts w:ascii="Calibri" w:eastAsia="Calibri" w:hAnsi="Calibri"/>
          <w:kern w:val="2"/>
          <w:sz w:val="22"/>
          <w:szCs w:val="22"/>
          <w:lang w:eastAsia="en-US"/>
          <w14:ligatures w14:val="standardContextual"/>
        </w:rPr>
        <w:t>.</w:t>
      </w:r>
    </w:p>
    <w:p w14:paraId="1B779641" w14:textId="7A39AA06" w:rsidR="00A86675" w:rsidRPr="00A86675" w:rsidRDefault="00A86675" w:rsidP="00A86675">
      <w:pPr>
        <w:spacing w:after="160" w:line="259" w:lineRule="auto"/>
        <w:jc w:val="both"/>
        <w:rPr>
          <w:rFonts w:ascii="Calibri" w:eastAsia="Calibri" w:hAnsi="Calibri"/>
          <w:kern w:val="2"/>
          <w:sz w:val="22"/>
          <w:szCs w:val="22"/>
          <w:lang w:val="en-US" w:eastAsia="en-US"/>
          <w14:ligatures w14:val="standardContextual"/>
        </w:rPr>
      </w:pPr>
      <w:r w:rsidRPr="00A86675">
        <w:rPr>
          <w:rFonts w:ascii="Calibri" w:eastAsia="Calibri" w:hAnsi="Calibri"/>
          <w:kern w:val="2"/>
          <w:sz w:val="22"/>
          <w:szCs w:val="22"/>
          <w:lang w:val="en-US" w:eastAsia="en-US"/>
          <w14:ligatures w14:val="standardContextual"/>
        </w:rPr>
        <w:t xml:space="preserve">This is especially relevant </w:t>
      </w:r>
      <w:proofErr w:type="gramStart"/>
      <w:r w:rsidRPr="00A86675">
        <w:rPr>
          <w:rFonts w:ascii="Calibri" w:eastAsia="Calibri" w:hAnsi="Calibri"/>
          <w:kern w:val="2"/>
          <w:sz w:val="22"/>
          <w:szCs w:val="22"/>
          <w:lang w:val="en-US" w:eastAsia="en-US"/>
          <w14:ligatures w14:val="standardContextual"/>
        </w:rPr>
        <w:t>with regard to</w:t>
      </w:r>
      <w:proofErr w:type="gramEnd"/>
      <w:r w:rsidRPr="00A86675">
        <w:rPr>
          <w:rFonts w:ascii="Calibri" w:eastAsia="Calibri" w:hAnsi="Calibri"/>
          <w:kern w:val="2"/>
          <w:sz w:val="22"/>
          <w:szCs w:val="22"/>
          <w:lang w:val="en-US" w:eastAsia="en-US"/>
          <w14:ligatures w14:val="standardContextual"/>
        </w:rPr>
        <w:t xml:space="preserve"> the compliance costs associated with the </w:t>
      </w:r>
      <w:r w:rsidR="0069427B">
        <w:rPr>
          <w:rFonts w:ascii="Calibri" w:eastAsia="Calibri" w:hAnsi="Calibri"/>
          <w:kern w:val="2"/>
          <w:sz w:val="22"/>
          <w:szCs w:val="22"/>
          <w:lang w:val="en-US" w:eastAsia="en-US"/>
          <w14:ligatures w14:val="standardContextual"/>
        </w:rPr>
        <w:t xml:space="preserve">ESMA’s </w:t>
      </w:r>
      <w:r w:rsidRPr="00A86675">
        <w:rPr>
          <w:rFonts w:ascii="Calibri" w:eastAsia="Calibri" w:hAnsi="Calibri"/>
          <w:kern w:val="2"/>
          <w:sz w:val="22"/>
          <w:szCs w:val="22"/>
          <w:lang w:val="en-US" w:eastAsia="en-US"/>
          <w14:ligatures w14:val="standardContextual"/>
        </w:rPr>
        <w:t>RTS on the separation of activities. While we fully support the objective of ensuring a level playing field, it is equally important to avoid introducing unintended barriers to entry in an already highly concentrated market. Smaller providers may face disproportionately high compliance costs when implementing internal control and IT security measures necessary to guarantee functional separation</w:t>
      </w:r>
      <w:r w:rsidR="0069427B">
        <w:rPr>
          <w:rFonts w:ascii="Calibri" w:eastAsia="Calibri" w:hAnsi="Calibri"/>
          <w:kern w:val="2"/>
          <w:sz w:val="22"/>
          <w:szCs w:val="22"/>
          <w:lang w:val="en-US" w:eastAsia="en-US"/>
          <w14:ligatures w14:val="standardContextual"/>
        </w:rPr>
        <w:t xml:space="preserve"> – </w:t>
      </w:r>
      <w:r w:rsidRPr="00A86675">
        <w:rPr>
          <w:rFonts w:ascii="Calibri" w:eastAsia="Calibri" w:hAnsi="Calibri"/>
          <w:kern w:val="2"/>
          <w:sz w:val="22"/>
          <w:szCs w:val="22"/>
          <w:lang w:val="en-US" w:eastAsia="en-US"/>
          <w14:ligatures w14:val="standardContextual"/>
        </w:rPr>
        <w:t xml:space="preserve">costs that can vary considerably based on firm size and </w:t>
      </w:r>
      <w:proofErr w:type="spellStart"/>
      <w:r w:rsidRPr="00A86675">
        <w:rPr>
          <w:rFonts w:ascii="Calibri" w:eastAsia="Calibri" w:hAnsi="Calibri"/>
          <w:kern w:val="2"/>
          <w:sz w:val="22"/>
          <w:szCs w:val="22"/>
          <w:lang w:val="en-US" w:eastAsia="en-US"/>
          <w14:ligatures w14:val="standardContextual"/>
        </w:rPr>
        <w:t>organisational</w:t>
      </w:r>
      <w:proofErr w:type="spellEnd"/>
      <w:r w:rsidRPr="00A86675">
        <w:rPr>
          <w:rFonts w:ascii="Calibri" w:eastAsia="Calibri" w:hAnsi="Calibri"/>
          <w:kern w:val="2"/>
          <w:sz w:val="22"/>
          <w:szCs w:val="22"/>
          <w:lang w:val="en-US" w:eastAsia="en-US"/>
          <w14:ligatures w14:val="standardContextual"/>
        </w:rPr>
        <w:t xml:space="preserve"> structure.</w:t>
      </w:r>
    </w:p>
    <w:p w14:paraId="1F375DC9" w14:textId="646672BB" w:rsidR="001B1B48" w:rsidRPr="00A86675" w:rsidRDefault="00A86675" w:rsidP="00A86675">
      <w:pPr>
        <w:spacing w:after="160" w:line="259" w:lineRule="auto"/>
        <w:jc w:val="both"/>
        <w:rPr>
          <w:rFonts w:ascii="Calibri" w:eastAsia="Calibri" w:hAnsi="Calibri"/>
          <w:kern w:val="2"/>
          <w:sz w:val="22"/>
          <w:szCs w:val="22"/>
          <w:lang w:val="en-US" w:eastAsia="en-US"/>
          <w14:ligatures w14:val="standardContextual"/>
        </w:rPr>
      </w:pPr>
      <w:r w:rsidRPr="00A86675">
        <w:rPr>
          <w:rFonts w:ascii="Calibri" w:eastAsia="Calibri" w:hAnsi="Calibri"/>
          <w:kern w:val="2"/>
          <w:sz w:val="22"/>
          <w:szCs w:val="22"/>
          <w:lang w:val="en-US" w:eastAsia="en-US"/>
          <w14:ligatures w14:val="standardContextual"/>
        </w:rPr>
        <w:t xml:space="preserve">As noted above, further clarification on the proportional application of the </w:t>
      </w:r>
      <w:r w:rsidR="0069427B">
        <w:rPr>
          <w:rFonts w:ascii="Calibri" w:eastAsia="Calibri" w:hAnsi="Calibri"/>
          <w:kern w:val="2"/>
          <w:sz w:val="22"/>
          <w:szCs w:val="22"/>
          <w:lang w:val="en-US" w:eastAsia="en-US"/>
          <w14:ligatures w14:val="standardContextual"/>
        </w:rPr>
        <w:t xml:space="preserve">ESMA’s </w:t>
      </w:r>
      <w:r w:rsidRPr="00A86675">
        <w:rPr>
          <w:rFonts w:ascii="Calibri" w:eastAsia="Calibri" w:hAnsi="Calibri"/>
          <w:kern w:val="2"/>
          <w:sz w:val="22"/>
          <w:szCs w:val="22"/>
          <w:lang w:val="en-US" w:eastAsia="en-US"/>
          <w14:ligatures w14:val="standardContextual"/>
        </w:rPr>
        <w:t>RTS would be helpful to ensure that the overall cost-benefit balance remains both appropriate and sustainable for providers of varying sizes and capacities.</w:t>
      </w:r>
    </w:p>
    <w:permEnd w:id="159149139"/>
    <w:p w14:paraId="2A15B62C" w14:textId="1A40E171"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w:t>
      </w:r>
      <w:r w:rsidR="00EA357E">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_5&gt;</w:t>
      </w:r>
    </w:p>
    <w:sectPr w:rsidR="001B1B48" w:rsidRPr="001B1B48"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5375B" w14:textId="77777777" w:rsidR="00440C10" w:rsidRDefault="00440C10" w:rsidP="007E7997">
      <w:r>
        <w:separator/>
      </w:r>
    </w:p>
  </w:endnote>
  <w:endnote w:type="continuationSeparator" w:id="0">
    <w:p w14:paraId="484177B3" w14:textId="77777777" w:rsidR="00440C10" w:rsidRDefault="00440C10" w:rsidP="007E7997">
      <w:r>
        <w:continuationSeparator/>
      </w:r>
    </w:p>
  </w:endnote>
  <w:endnote w:type="continuationNotice" w:id="1">
    <w:p w14:paraId="33E59264" w14:textId="77777777" w:rsidR="00440C10" w:rsidRDefault="00440C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CF5505D" w14:textId="212D7D4F" w:rsidR="00E36813" w:rsidRDefault="00E36813">
        <w:pPr>
          <w:pStyle w:val="Pidipagina"/>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3915" w14:textId="58619407" w:rsidR="00E36813" w:rsidRDefault="00E36813" w:rsidP="007A160F">
    <w:pPr>
      <w:pStyle w:val="Pidipagina"/>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752247"/>
      <w:docPartObj>
        <w:docPartGallery w:val="Page Numbers (Bottom of Page)"/>
        <w:docPartUnique/>
      </w:docPartObj>
    </w:sdtPr>
    <w:sdtEndPr>
      <w:rPr>
        <w:noProof/>
      </w:rPr>
    </w:sdtEndPr>
    <w:sdtContent>
      <w:p w14:paraId="4C9B3DBF" w14:textId="6ECC1B82" w:rsidR="00E36813" w:rsidRDefault="00E36813">
        <w:pPr>
          <w:pStyle w:val="Pidipagina"/>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Pidipagina"/>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AB5D9" w14:textId="77777777" w:rsidR="00440C10" w:rsidRDefault="00440C10" w:rsidP="007E7997">
      <w:r>
        <w:separator/>
      </w:r>
    </w:p>
  </w:footnote>
  <w:footnote w:type="continuationSeparator" w:id="0">
    <w:p w14:paraId="02732A17" w14:textId="77777777" w:rsidR="00440C10" w:rsidRDefault="00440C10" w:rsidP="007E7997">
      <w:r>
        <w:continuationSeparator/>
      </w:r>
    </w:p>
  </w:footnote>
  <w:footnote w:type="continuationNotice" w:id="1">
    <w:p w14:paraId="1FF8B0E8" w14:textId="77777777" w:rsidR="00440C10" w:rsidRDefault="00440C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56F7" w14:textId="77777777" w:rsidR="00E36813" w:rsidRDefault="00E36813">
    <w:pPr>
      <w:pStyle w:val="Intestazione"/>
    </w:pPr>
  </w:p>
  <w:p w14:paraId="59FA3C9D" w14:textId="77777777" w:rsidR="00E36813" w:rsidRDefault="00E3681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23F5" w14:textId="11D11F90" w:rsidR="00FA64BE" w:rsidRDefault="00FA64BE" w:rsidP="00FA64BE">
    <w:pPr>
      <w:pStyle w:val="Intestazione"/>
      <w:jc w:val="right"/>
      <w:rPr>
        <w:rFonts w:asciiTheme="minorHAnsi" w:eastAsiaTheme="minorEastAsia" w:hAnsiTheme="minorHAnsi" w:cstheme="minorBidi"/>
        <w:color w:val="000000" w:themeColor="text1" w:themeShade="80"/>
        <w:sz w:val="16"/>
        <w:szCs w:val="20"/>
        <w:lang w:eastAsia="en-US"/>
      </w:rPr>
    </w:pPr>
    <w:r w:rsidRPr="001522DD">
      <w:rPr>
        <w:rFonts w:asciiTheme="minorHAnsi" w:eastAsiaTheme="minorEastAsia" w:hAnsiTheme="minorHAnsi" w:cstheme="minorBidi"/>
        <w:bCs/>
        <w:caps/>
        <w:noProof/>
        <w:color w:val="000000" w:themeColor="text1" w:themeShade="80"/>
        <w:sz w:val="16"/>
        <w:szCs w:val="20"/>
        <w:highlight w:val="yellow"/>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0310AB">
      <w:rPr>
        <w:rFonts w:asciiTheme="minorHAnsi" w:eastAsiaTheme="minorEastAsia" w:hAnsiTheme="minorHAnsi" w:cstheme="minorBidi"/>
        <w:color w:val="000000" w:themeColor="text1" w:themeShade="80"/>
        <w:sz w:val="16"/>
        <w:szCs w:val="20"/>
        <w:lang w:eastAsia="en-US"/>
      </w:rPr>
      <w:t>2 May 2025</w:t>
    </w:r>
    <w:r w:rsidR="00C00D4F">
      <w:rPr>
        <w:rFonts w:asciiTheme="minorHAnsi" w:eastAsiaTheme="minorEastAsia" w:hAnsiTheme="minorHAnsi" w:cstheme="minorBidi"/>
        <w:color w:val="000000" w:themeColor="text1" w:themeShade="80"/>
        <w:sz w:val="16"/>
        <w:szCs w:val="20"/>
        <w:lang w:eastAsia="en-US"/>
      </w:rPr>
      <w:br/>
    </w:r>
    <w:r w:rsidR="0013090E" w:rsidRPr="0013090E">
      <w:rPr>
        <w:rFonts w:asciiTheme="minorHAnsi" w:eastAsiaTheme="minorEastAsia" w:hAnsiTheme="minorHAnsi" w:cstheme="minorBidi"/>
        <w:color w:val="000000" w:themeColor="text1" w:themeShade="80"/>
        <w:sz w:val="16"/>
        <w:szCs w:val="20"/>
        <w:lang w:eastAsia="en-US"/>
      </w:rPr>
      <w:t>ESMA</w:t>
    </w:r>
    <w:r w:rsidR="00373AB8">
      <w:rPr>
        <w:rFonts w:asciiTheme="minorHAnsi" w:eastAsiaTheme="minorEastAsia" w:hAnsiTheme="minorHAnsi" w:cstheme="minorBidi"/>
        <w:color w:val="000000" w:themeColor="text1" w:themeShade="80"/>
        <w:sz w:val="16"/>
        <w:szCs w:val="20"/>
        <w:lang w:eastAsia="en-US"/>
      </w:rPr>
      <w:t>84</w:t>
    </w:r>
    <w:r w:rsidR="0013090E" w:rsidRPr="0013090E">
      <w:rPr>
        <w:rFonts w:asciiTheme="minorHAnsi" w:eastAsiaTheme="minorEastAsia" w:hAnsiTheme="minorHAnsi" w:cstheme="minorBidi"/>
        <w:color w:val="000000" w:themeColor="text1" w:themeShade="80"/>
        <w:sz w:val="16"/>
        <w:szCs w:val="20"/>
        <w:lang w:eastAsia="en-US"/>
      </w:rPr>
      <w:t>-</w:t>
    </w:r>
    <w:r w:rsidR="00373AB8">
      <w:rPr>
        <w:rFonts w:asciiTheme="minorHAnsi" w:eastAsiaTheme="minorEastAsia" w:hAnsiTheme="minorHAnsi" w:cstheme="minorBidi"/>
        <w:color w:val="000000" w:themeColor="text1" w:themeShade="80"/>
        <w:sz w:val="16"/>
        <w:szCs w:val="20"/>
        <w:lang w:eastAsia="en-US"/>
      </w:rPr>
      <w:t>858037815-6</w:t>
    </w:r>
    <w:r w:rsidR="006072C6">
      <w:rPr>
        <w:rFonts w:asciiTheme="minorHAnsi" w:eastAsiaTheme="minorEastAsia" w:hAnsiTheme="minorHAnsi" w:cstheme="minorBidi"/>
        <w:color w:val="000000" w:themeColor="text1" w:themeShade="80"/>
        <w:sz w:val="16"/>
        <w:szCs w:val="20"/>
        <w:lang w:eastAsia="en-US"/>
      </w:rPr>
      <w:t>83</w:t>
    </w:r>
  </w:p>
  <w:p w14:paraId="70391035" w14:textId="0FE57758" w:rsidR="00E36813" w:rsidRDefault="00FA64BE" w:rsidP="00FA64BE">
    <w:pPr>
      <w:pStyle w:val="Intestazione"/>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AFB6F"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6EC4" w14:textId="2AEFCC83" w:rsidR="00E36813" w:rsidRDefault="00FA64BE" w:rsidP="00B50534">
    <w:pPr>
      <w:pStyle w:val="Intestazione"/>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Intestazione"/>
      <w:jc w:val="right"/>
      <w:rPr>
        <w:rFonts w:asciiTheme="minorHAnsi" w:hAnsiTheme="minorHAnsi" w:cstheme="minorHAnsi"/>
        <w:color w:val="2F5496" w:themeColor="accent5" w:themeShade="BF"/>
        <w:sz w:val="20"/>
      </w:rPr>
    </w:pPr>
  </w:p>
  <w:p w14:paraId="3E983FE8" w14:textId="71D87355" w:rsidR="00FA64BE" w:rsidRDefault="00FA64BE" w:rsidP="00FA64BE">
    <w:pPr>
      <w:pStyle w:val="Intestazione"/>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Intestazione"/>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Intestazione"/>
      <w:jc w:val="right"/>
      <w:rPr>
        <w:color w:val="2F5496" w:themeColor="accent5" w:themeShade="BF"/>
        <w:sz w:val="20"/>
      </w:rPr>
    </w:pPr>
  </w:p>
  <w:p w14:paraId="5EAB6EC6" w14:textId="77777777" w:rsidR="00E36813" w:rsidRPr="00B50534" w:rsidRDefault="00E36813" w:rsidP="00B50534">
    <w:pPr>
      <w:pStyle w:val="Intestazione"/>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2573EF"/>
    <w:multiLevelType w:val="multilevel"/>
    <w:tmpl w:val="D9B8FA9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Titolo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181D69"/>
    <w:multiLevelType w:val="hybridMultilevel"/>
    <w:tmpl w:val="0A189E10"/>
    <w:lvl w:ilvl="0" w:tplc="52DE78C0">
      <w:start w:val="1"/>
      <w:numFmt w:val="upperLetter"/>
      <w:pStyle w:val="Paragrafoelenco"/>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3916DB"/>
    <w:multiLevelType w:val="hybridMultilevel"/>
    <w:tmpl w:val="B12A1BCA"/>
    <w:lvl w:ilvl="0" w:tplc="62468FBE">
      <w:start w:val="1"/>
      <w:numFmt w:val="decimal"/>
      <w:pStyle w:val="Paragraph"/>
      <w:lvlText w:val="%1."/>
      <w:lvlJc w:val="left"/>
      <w:pPr>
        <w:ind w:left="709" w:hanging="709"/>
      </w:pPr>
      <w:rPr>
        <w:b w:val="0"/>
        <w:bCs w:val="0"/>
        <w:i w:val="0"/>
        <w:iCs w:val="0"/>
      </w:rPr>
    </w:lvl>
    <w:lvl w:ilvl="1" w:tplc="AD0E719C">
      <w:start w:val="1"/>
      <w:numFmt w:val="lowerRoman"/>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0C038F"/>
    <w:multiLevelType w:val="multilevel"/>
    <w:tmpl w:val="DC065DD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7E6361"/>
    <w:multiLevelType w:val="multilevel"/>
    <w:tmpl w:val="077EA9B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2F2FCC"/>
    <w:multiLevelType w:val="hybridMultilevel"/>
    <w:tmpl w:val="AE325D84"/>
    <w:lvl w:ilvl="0" w:tplc="76FE66C0">
      <w:start w:val="3"/>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AD1101"/>
    <w:multiLevelType w:val="multilevel"/>
    <w:tmpl w:val="766C753E"/>
    <w:lvl w:ilvl="0">
      <w:start w:val="1"/>
      <w:numFmt w:val="upperRoman"/>
      <w:pStyle w:val="Titolo1"/>
      <w:lvlText w:val="%1."/>
      <w:lvlJc w:val="righ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8"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FB8009A"/>
    <w:multiLevelType w:val="multilevel"/>
    <w:tmpl w:val="69D0C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8975619">
    <w:abstractNumId w:val="3"/>
  </w:num>
  <w:num w:numId="2" w16cid:durableId="1495532731">
    <w:abstractNumId w:val="3"/>
  </w:num>
  <w:num w:numId="3" w16cid:durableId="994409496">
    <w:abstractNumId w:val="27"/>
  </w:num>
  <w:num w:numId="4" w16cid:durableId="1880320868">
    <w:abstractNumId w:val="4"/>
  </w:num>
  <w:num w:numId="5" w16cid:durableId="290864581">
    <w:abstractNumId w:val="14"/>
  </w:num>
  <w:num w:numId="6" w16cid:durableId="952590553">
    <w:abstractNumId w:val="29"/>
  </w:num>
  <w:num w:numId="7" w16cid:durableId="1159686949">
    <w:abstractNumId w:val="13"/>
  </w:num>
  <w:num w:numId="8" w16cid:durableId="765269892">
    <w:abstractNumId w:val="6"/>
  </w:num>
  <w:num w:numId="9" w16cid:durableId="1301960395">
    <w:abstractNumId w:val="9"/>
  </w:num>
  <w:num w:numId="10" w16cid:durableId="1228616548">
    <w:abstractNumId w:val="8"/>
  </w:num>
  <w:num w:numId="11" w16cid:durableId="2051027016">
    <w:abstractNumId w:val="7"/>
  </w:num>
  <w:num w:numId="12" w16cid:durableId="83380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30"/>
  </w:num>
  <w:num w:numId="15" w16cid:durableId="986476960">
    <w:abstractNumId w:val="24"/>
  </w:num>
  <w:num w:numId="16" w16cid:durableId="398749299">
    <w:abstractNumId w:val="28"/>
  </w:num>
  <w:num w:numId="17" w16cid:durableId="14076118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5"/>
  </w:num>
  <w:num w:numId="19" w16cid:durableId="558588771">
    <w:abstractNumId w:val="29"/>
  </w:num>
  <w:num w:numId="20" w16cid:durableId="1306933315">
    <w:abstractNumId w:val="11"/>
  </w:num>
  <w:num w:numId="21" w16cid:durableId="1623876054">
    <w:abstractNumId w:val="26"/>
  </w:num>
  <w:num w:numId="22" w16cid:durableId="783383837">
    <w:abstractNumId w:val="15"/>
  </w:num>
  <w:num w:numId="23" w16cid:durableId="2112964618">
    <w:abstractNumId w:val="23"/>
  </w:num>
  <w:num w:numId="24" w16cid:durableId="1958565453">
    <w:abstractNumId w:val="0"/>
  </w:num>
  <w:num w:numId="25" w16cid:durableId="1372725395">
    <w:abstractNumId w:val="21"/>
  </w:num>
  <w:num w:numId="26" w16cid:durableId="1686445133">
    <w:abstractNumId w:val="18"/>
  </w:num>
  <w:num w:numId="27" w16cid:durableId="1247768697">
    <w:abstractNumId w:val="10"/>
  </w:num>
  <w:num w:numId="28" w16cid:durableId="954170948">
    <w:abstractNumId w:val="2"/>
  </w:num>
  <w:num w:numId="29" w16cid:durableId="837424337">
    <w:abstractNumId w:val="20"/>
  </w:num>
  <w:num w:numId="30" w16cid:durableId="299657983">
    <w:abstractNumId w:val="5"/>
  </w:num>
  <w:num w:numId="31" w16cid:durableId="699822250">
    <w:abstractNumId w:val="17"/>
  </w:num>
  <w:num w:numId="32" w16cid:durableId="730466929">
    <w:abstractNumId w:val="12"/>
    <w:lvlOverride w:ilvl="0">
      <w:startOverride w:val="1"/>
    </w:lvlOverride>
  </w:num>
  <w:num w:numId="33" w16cid:durableId="552498262">
    <w:abstractNumId w:val="22"/>
  </w:num>
  <w:num w:numId="34" w16cid:durableId="1829132647">
    <w:abstractNumId w:val="12"/>
    <w:lvlOverride w:ilvl="0">
      <w:startOverride w:val="1"/>
    </w:lvlOverride>
  </w:num>
  <w:num w:numId="35" w16cid:durableId="1915964461">
    <w:abstractNumId w:val="12"/>
    <w:lvlOverride w:ilvl="0">
      <w:startOverride w:val="1"/>
    </w:lvlOverride>
  </w:num>
  <w:num w:numId="36" w16cid:durableId="1385182617">
    <w:abstractNumId w:val="12"/>
    <w:lvlOverride w:ilvl="0">
      <w:startOverride w:val="1"/>
    </w:lvlOverride>
  </w:num>
  <w:num w:numId="37" w16cid:durableId="247733403">
    <w:abstractNumId w:val="31"/>
  </w:num>
  <w:num w:numId="38" w16cid:durableId="1238512512">
    <w:abstractNumId w:val="19"/>
  </w:num>
  <w:num w:numId="39" w16cid:durableId="934098109">
    <w:abstractNumId w:val="16"/>
  </w:num>
  <w:num w:numId="40" w16cid:durableId="157504671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proofState w:spelling="clean" w:grammar="clean"/>
  <w:attachedTemplate r:id="rId1"/>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380B"/>
    <w:rsid w:val="00005505"/>
    <w:rsid w:val="000061F3"/>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10AB"/>
    <w:rsid w:val="0003143E"/>
    <w:rsid w:val="00033934"/>
    <w:rsid w:val="00035AD3"/>
    <w:rsid w:val="00036C09"/>
    <w:rsid w:val="000372BF"/>
    <w:rsid w:val="00040A52"/>
    <w:rsid w:val="00044C5A"/>
    <w:rsid w:val="00044E0A"/>
    <w:rsid w:val="00047C57"/>
    <w:rsid w:val="00054E00"/>
    <w:rsid w:val="00061B2B"/>
    <w:rsid w:val="000627C5"/>
    <w:rsid w:val="0006448C"/>
    <w:rsid w:val="0006449B"/>
    <w:rsid w:val="000655AD"/>
    <w:rsid w:val="00066FD1"/>
    <w:rsid w:val="00071784"/>
    <w:rsid w:val="00072BF9"/>
    <w:rsid w:val="00073DF9"/>
    <w:rsid w:val="00076B03"/>
    <w:rsid w:val="0007767E"/>
    <w:rsid w:val="0007796D"/>
    <w:rsid w:val="000830DA"/>
    <w:rsid w:val="00083FBB"/>
    <w:rsid w:val="00086F71"/>
    <w:rsid w:val="00091192"/>
    <w:rsid w:val="000921E6"/>
    <w:rsid w:val="00092D6C"/>
    <w:rsid w:val="00093239"/>
    <w:rsid w:val="0009613B"/>
    <w:rsid w:val="0009750F"/>
    <w:rsid w:val="000A03C9"/>
    <w:rsid w:val="000A12CC"/>
    <w:rsid w:val="000A2738"/>
    <w:rsid w:val="000A2DF1"/>
    <w:rsid w:val="000A3D10"/>
    <w:rsid w:val="000A409B"/>
    <w:rsid w:val="000A4336"/>
    <w:rsid w:val="000A66FC"/>
    <w:rsid w:val="000A741E"/>
    <w:rsid w:val="000B1615"/>
    <w:rsid w:val="000B2AAF"/>
    <w:rsid w:val="000B2E26"/>
    <w:rsid w:val="000B5D3D"/>
    <w:rsid w:val="000C0CE0"/>
    <w:rsid w:val="000C2400"/>
    <w:rsid w:val="000C299C"/>
    <w:rsid w:val="000C406A"/>
    <w:rsid w:val="000C5032"/>
    <w:rsid w:val="000C5ACC"/>
    <w:rsid w:val="000D0293"/>
    <w:rsid w:val="000D0850"/>
    <w:rsid w:val="000D1038"/>
    <w:rsid w:val="000D11A9"/>
    <w:rsid w:val="000D2D7B"/>
    <w:rsid w:val="000D2EAB"/>
    <w:rsid w:val="000D4A5D"/>
    <w:rsid w:val="000E2232"/>
    <w:rsid w:val="000E3DB1"/>
    <w:rsid w:val="000F0169"/>
    <w:rsid w:val="000F0951"/>
    <w:rsid w:val="000F2598"/>
    <w:rsid w:val="000F29C0"/>
    <w:rsid w:val="000F2BE6"/>
    <w:rsid w:val="000F474D"/>
    <w:rsid w:val="000F4752"/>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351B"/>
    <w:rsid w:val="001355E6"/>
    <w:rsid w:val="0013644A"/>
    <w:rsid w:val="00140762"/>
    <w:rsid w:val="00140BA6"/>
    <w:rsid w:val="00141946"/>
    <w:rsid w:val="00143DCA"/>
    <w:rsid w:val="00144AAD"/>
    <w:rsid w:val="001455E7"/>
    <w:rsid w:val="0014624E"/>
    <w:rsid w:val="00151159"/>
    <w:rsid w:val="001522DD"/>
    <w:rsid w:val="00155BAB"/>
    <w:rsid w:val="001608B2"/>
    <w:rsid w:val="00160FE0"/>
    <w:rsid w:val="00163AB3"/>
    <w:rsid w:val="00165047"/>
    <w:rsid w:val="00165FF8"/>
    <w:rsid w:val="0016669F"/>
    <w:rsid w:val="00170AD6"/>
    <w:rsid w:val="001735B8"/>
    <w:rsid w:val="00177AA7"/>
    <w:rsid w:val="00180917"/>
    <w:rsid w:val="00180E53"/>
    <w:rsid w:val="00181CB7"/>
    <w:rsid w:val="001843B5"/>
    <w:rsid w:val="001862A5"/>
    <w:rsid w:val="001864CF"/>
    <w:rsid w:val="00186A70"/>
    <w:rsid w:val="00191035"/>
    <w:rsid w:val="001918E5"/>
    <w:rsid w:val="00192A7A"/>
    <w:rsid w:val="00197AAF"/>
    <w:rsid w:val="001A1EF4"/>
    <w:rsid w:val="001A7046"/>
    <w:rsid w:val="001A710D"/>
    <w:rsid w:val="001A7E6F"/>
    <w:rsid w:val="001B0A77"/>
    <w:rsid w:val="001B1727"/>
    <w:rsid w:val="001B1B48"/>
    <w:rsid w:val="001B2151"/>
    <w:rsid w:val="001B3CFF"/>
    <w:rsid w:val="001B4957"/>
    <w:rsid w:val="001B4996"/>
    <w:rsid w:val="001C0E59"/>
    <w:rsid w:val="001C432D"/>
    <w:rsid w:val="001C469E"/>
    <w:rsid w:val="001C56C3"/>
    <w:rsid w:val="001C5D8C"/>
    <w:rsid w:val="001C64B0"/>
    <w:rsid w:val="001C7777"/>
    <w:rsid w:val="001C7E0A"/>
    <w:rsid w:val="001D0112"/>
    <w:rsid w:val="001D19F5"/>
    <w:rsid w:val="001D385A"/>
    <w:rsid w:val="001D3AC4"/>
    <w:rsid w:val="001D6B39"/>
    <w:rsid w:val="001D73BF"/>
    <w:rsid w:val="001E1ECD"/>
    <w:rsid w:val="001E3E0D"/>
    <w:rsid w:val="001E4A45"/>
    <w:rsid w:val="001E5AB7"/>
    <w:rsid w:val="001E5E30"/>
    <w:rsid w:val="001F0479"/>
    <w:rsid w:val="001F1F10"/>
    <w:rsid w:val="001F23C9"/>
    <w:rsid w:val="001F3171"/>
    <w:rsid w:val="001F3999"/>
    <w:rsid w:val="001F3D9D"/>
    <w:rsid w:val="001F4AC8"/>
    <w:rsid w:val="00200894"/>
    <w:rsid w:val="00202333"/>
    <w:rsid w:val="00202A12"/>
    <w:rsid w:val="00202FA8"/>
    <w:rsid w:val="002034B8"/>
    <w:rsid w:val="00205922"/>
    <w:rsid w:val="00206FB8"/>
    <w:rsid w:val="0020766F"/>
    <w:rsid w:val="00207A07"/>
    <w:rsid w:val="00210181"/>
    <w:rsid w:val="00210498"/>
    <w:rsid w:val="0021147A"/>
    <w:rsid w:val="00213BFB"/>
    <w:rsid w:val="002156A3"/>
    <w:rsid w:val="00217478"/>
    <w:rsid w:val="00220938"/>
    <w:rsid w:val="00221158"/>
    <w:rsid w:val="00224806"/>
    <w:rsid w:val="00232F8E"/>
    <w:rsid w:val="00233071"/>
    <w:rsid w:val="00235E99"/>
    <w:rsid w:val="00241010"/>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2E56"/>
    <w:rsid w:val="002630C0"/>
    <w:rsid w:val="0026332A"/>
    <w:rsid w:val="00263ECF"/>
    <w:rsid w:val="002645A8"/>
    <w:rsid w:val="0026493B"/>
    <w:rsid w:val="00265566"/>
    <w:rsid w:val="00265F44"/>
    <w:rsid w:val="002665E3"/>
    <w:rsid w:val="0027152F"/>
    <w:rsid w:val="0027199C"/>
    <w:rsid w:val="00272C4E"/>
    <w:rsid w:val="00273AA0"/>
    <w:rsid w:val="002751FC"/>
    <w:rsid w:val="002753BD"/>
    <w:rsid w:val="00282B3A"/>
    <w:rsid w:val="00282D38"/>
    <w:rsid w:val="00282FBE"/>
    <w:rsid w:val="00284802"/>
    <w:rsid w:val="00284AF2"/>
    <w:rsid w:val="0028536B"/>
    <w:rsid w:val="00285CED"/>
    <w:rsid w:val="00285EB5"/>
    <w:rsid w:val="00287C8F"/>
    <w:rsid w:val="00290893"/>
    <w:rsid w:val="002917B9"/>
    <w:rsid w:val="00291A55"/>
    <w:rsid w:val="0029394C"/>
    <w:rsid w:val="00296DCA"/>
    <w:rsid w:val="002A13B0"/>
    <w:rsid w:val="002A2C91"/>
    <w:rsid w:val="002A6C21"/>
    <w:rsid w:val="002A780E"/>
    <w:rsid w:val="002B144C"/>
    <w:rsid w:val="002B53F3"/>
    <w:rsid w:val="002C03FD"/>
    <w:rsid w:val="002C044D"/>
    <w:rsid w:val="002C1AA5"/>
    <w:rsid w:val="002C2A46"/>
    <w:rsid w:val="002C3048"/>
    <w:rsid w:val="002C76AE"/>
    <w:rsid w:val="002D184E"/>
    <w:rsid w:val="002D2992"/>
    <w:rsid w:val="002D37A0"/>
    <w:rsid w:val="002D5AB5"/>
    <w:rsid w:val="002D5AF3"/>
    <w:rsid w:val="002D6667"/>
    <w:rsid w:val="002D761A"/>
    <w:rsid w:val="002D79F3"/>
    <w:rsid w:val="002E1158"/>
    <w:rsid w:val="002E1C11"/>
    <w:rsid w:val="002E3D0B"/>
    <w:rsid w:val="002E3E7D"/>
    <w:rsid w:val="002E6A8E"/>
    <w:rsid w:val="002F1D97"/>
    <w:rsid w:val="002F6279"/>
    <w:rsid w:val="002F7780"/>
    <w:rsid w:val="00300F55"/>
    <w:rsid w:val="003013B7"/>
    <w:rsid w:val="00301993"/>
    <w:rsid w:val="00301E55"/>
    <w:rsid w:val="00307397"/>
    <w:rsid w:val="003101EF"/>
    <w:rsid w:val="00312BDD"/>
    <w:rsid w:val="00314117"/>
    <w:rsid w:val="00317EDF"/>
    <w:rsid w:val="0032141B"/>
    <w:rsid w:val="00322B55"/>
    <w:rsid w:val="003279E7"/>
    <w:rsid w:val="00327B62"/>
    <w:rsid w:val="00331FE9"/>
    <w:rsid w:val="0033324D"/>
    <w:rsid w:val="0033582F"/>
    <w:rsid w:val="0033587C"/>
    <w:rsid w:val="0033696D"/>
    <w:rsid w:val="00336BF9"/>
    <w:rsid w:val="003371E8"/>
    <w:rsid w:val="00337471"/>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2615"/>
    <w:rsid w:val="00372EA3"/>
    <w:rsid w:val="0037311D"/>
    <w:rsid w:val="0037358E"/>
    <w:rsid w:val="00373A3C"/>
    <w:rsid w:val="00373AB8"/>
    <w:rsid w:val="00373FCF"/>
    <w:rsid w:val="00376233"/>
    <w:rsid w:val="00377ED8"/>
    <w:rsid w:val="00380B30"/>
    <w:rsid w:val="0038175A"/>
    <w:rsid w:val="00381784"/>
    <w:rsid w:val="00381EB0"/>
    <w:rsid w:val="00382A72"/>
    <w:rsid w:val="00382B93"/>
    <w:rsid w:val="00382EBA"/>
    <w:rsid w:val="0038331A"/>
    <w:rsid w:val="0039135B"/>
    <w:rsid w:val="003A34E7"/>
    <w:rsid w:val="003A3CB1"/>
    <w:rsid w:val="003A3D55"/>
    <w:rsid w:val="003A73A4"/>
    <w:rsid w:val="003B102E"/>
    <w:rsid w:val="003B23E5"/>
    <w:rsid w:val="003B26BA"/>
    <w:rsid w:val="003B4E3D"/>
    <w:rsid w:val="003C167E"/>
    <w:rsid w:val="003C481D"/>
    <w:rsid w:val="003C4EB5"/>
    <w:rsid w:val="003D1099"/>
    <w:rsid w:val="003D2CED"/>
    <w:rsid w:val="003D344A"/>
    <w:rsid w:val="003D3BB8"/>
    <w:rsid w:val="003D72F4"/>
    <w:rsid w:val="003D7AF6"/>
    <w:rsid w:val="003D7C07"/>
    <w:rsid w:val="003E13FD"/>
    <w:rsid w:val="003E1C24"/>
    <w:rsid w:val="003E43F5"/>
    <w:rsid w:val="003E43FB"/>
    <w:rsid w:val="003E61FC"/>
    <w:rsid w:val="003E77BC"/>
    <w:rsid w:val="003F0EDF"/>
    <w:rsid w:val="003F1872"/>
    <w:rsid w:val="003F20C7"/>
    <w:rsid w:val="003F39B1"/>
    <w:rsid w:val="003F70DA"/>
    <w:rsid w:val="00400D9C"/>
    <w:rsid w:val="00400FBE"/>
    <w:rsid w:val="00402176"/>
    <w:rsid w:val="004022CF"/>
    <w:rsid w:val="004029B1"/>
    <w:rsid w:val="004038F1"/>
    <w:rsid w:val="00404282"/>
    <w:rsid w:val="00404ED5"/>
    <w:rsid w:val="0040743A"/>
    <w:rsid w:val="00407623"/>
    <w:rsid w:val="0040793D"/>
    <w:rsid w:val="00407A74"/>
    <w:rsid w:val="004114D5"/>
    <w:rsid w:val="00414210"/>
    <w:rsid w:val="004159DB"/>
    <w:rsid w:val="00420FD4"/>
    <w:rsid w:val="004242B3"/>
    <w:rsid w:val="00424A4F"/>
    <w:rsid w:val="00426D62"/>
    <w:rsid w:val="00427A89"/>
    <w:rsid w:val="00430C5B"/>
    <w:rsid w:val="00431968"/>
    <w:rsid w:val="00433936"/>
    <w:rsid w:val="0043475E"/>
    <w:rsid w:val="00435FE9"/>
    <w:rsid w:val="004360FF"/>
    <w:rsid w:val="00436279"/>
    <w:rsid w:val="00440C10"/>
    <w:rsid w:val="0044199E"/>
    <w:rsid w:val="0044206D"/>
    <w:rsid w:val="00444803"/>
    <w:rsid w:val="00445696"/>
    <w:rsid w:val="00446E5F"/>
    <w:rsid w:val="00450C4E"/>
    <w:rsid w:val="00455577"/>
    <w:rsid w:val="00456795"/>
    <w:rsid w:val="004578B3"/>
    <w:rsid w:val="0046150E"/>
    <w:rsid w:val="00461CC8"/>
    <w:rsid w:val="00462B2F"/>
    <w:rsid w:val="00462E09"/>
    <w:rsid w:val="00465EAA"/>
    <w:rsid w:val="004708CA"/>
    <w:rsid w:val="004709E7"/>
    <w:rsid w:val="00470ADE"/>
    <w:rsid w:val="004712C7"/>
    <w:rsid w:val="004759EB"/>
    <w:rsid w:val="00477919"/>
    <w:rsid w:val="00482611"/>
    <w:rsid w:val="00482A27"/>
    <w:rsid w:val="00483BEA"/>
    <w:rsid w:val="00487DCE"/>
    <w:rsid w:val="00490CC3"/>
    <w:rsid w:val="00492701"/>
    <w:rsid w:val="004950B7"/>
    <w:rsid w:val="0049534D"/>
    <w:rsid w:val="00497FEA"/>
    <w:rsid w:val="004A75F5"/>
    <w:rsid w:val="004B07B2"/>
    <w:rsid w:val="004B0955"/>
    <w:rsid w:val="004B1289"/>
    <w:rsid w:val="004B143D"/>
    <w:rsid w:val="004B1842"/>
    <w:rsid w:val="004B25D0"/>
    <w:rsid w:val="004B3553"/>
    <w:rsid w:val="004B5E92"/>
    <w:rsid w:val="004B6859"/>
    <w:rsid w:val="004C0A30"/>
    <w:rsid w:val="004C357C"/>
    <w:rsid w:val="004C3D18"/>
    <w:rsid w:val="004C6077"/>
    <w:rsid w:val="004D06E7"/>
    <w:rsid w:val="004D42B1"/>
    <w:rsid w:val="004D526F"/>
    <w:rsid w:val="004E0583"/>
    <w:rsid w:val="004E0688"/>
    <w:rsid w:val="004E19C0"/>
    <w:rsid w:val="004E1C54"/>
    <w:rsid w:val="004E2C37"/>
    <w:rsid w:val="004E4D9D"/>
    <w:rsid w:val="004E5285"/>
    <w:rsid w:val="004F0CF3"/>
    <w:rsid w:val="004F42AA"/>
    <w:rsid w:val="004F5740"/>
    <w:rsid w:val="004F58C9"/>
    <w:rsid w:val="005013FA"/>
    <w:rsid w:val="005028B9"/>
    <w:rsid w:val="00503A3F"/>
    <w:rsid w:val="00505E17"/>
    <w:rsid w:val="00511A59"/>
    <w:rsid w:val="00511C3B"/>
    <w:rsid w:val="00513DA2"/>
    <w:rsid w:val="00514440"/>
    <w:rsid w:val="005166C3"/>
    <w:rsid w:val="00520F7C"/>
    <w:rsid w:val="00523974"/>
    <w:rsid w:val="00526E5D"/>
    <w:rsid w:val="00527517"/>
    <w:rsid w:val="00531432"/>
    <w:rsid w:val="00532BC8"/>
    <w:rsid w:val="005333E8"/>
    <w:rsid w:val="00534912"/>
    <w:rsid w:val="005370E7"/>
    <w:rsid w:val="00537A67"/>
    <w:rsid w:val="005409B7"/>
    <w:rsid w:val="00545E62"/>
    <w:rsid w:val="00547ED8"/>
    <w:rsid w:val="00551070"/>
    <w:rsid w:val="005511B4"/>
    <w:rsid w:val="00552C8A"/>
    <w:rsid w:val="00555156"/>
    <w:rsid w:val="0055535B"/>
    <w:rsid w:val="00560A96"/>
    <w:rsid w:val="005619CB"/>
    <w:rsid w:val="00561B71"/>
    <w:rsid w:val="00561F98"/>
    <w:rsid w:val="00564607"/>
    <w:rsid w:val="00565193"/>
    <w:rsid w:val="005664AB"/>
    <w:rsid w:val="005725BD"/>
    <w:rsid w:val="005730B0"/>
    <w:rsid w:val="00575B7A"/>
    <w:rsid w:val="00575DCC"/>
    <w:rsid w:val="005774A8"/>
    <w:rsid w:val="00580F3B"/>
    <w:rsid w:val="005821B0"/>
    <w:rsid w:val="0059175F"/>
    <w:rsid w:val="00591AAC"/>
    <w:rsid w:val="0059390E"/>
    <w:rsid w:val="00595F08"/>
    <w:rsid w:val="00595FBE"/>
    <w:rsid w:val="005A1C55"/>
    <w:rsid w:val="005A3408"/>
    <w:rsid w:val="005B169D"/>
    <w:rsid w:val="005B467C"/>
    <w:rsid w:val="005B4ACA"/>
    <w:rsid w:val="005B6B12"/>
    <w:rsid w:val="005C05F8"/>
    <w:rsid w:val="005C19E9"/>
    <w:rsid w:val="005C2DBC"/>
    <w:rsid w:val="005C5F13"/>
    <w:rsid w:val="005C65F9"/>
    <w:rsid w:val="005C6B0E"/>
    <w:rsid w:val="005C7E1F"/>
    <w:rsid w:val="005D1B9E"/>
    <w:rsid w:val="005D1F6B"/>
    <w:rsid w:val="005D2DE7"/>
    <w:rsid w:val="005D331C"/>
    <w:rsid w:val="005D593F"/>
    <w:rsid w:val="005D6355"/>
    <w:rsid w:val="005D7AAF"/>
    <w:rsid w:val="005E0C59"/>
    <w:rsid w:val="005E18DE"/>
    <w:rsid w:val="005E1DA3"/>
    <w:rsid w:val="005E306B"/>
    <w:rsid w:val="005E3CB8"/>
    <w:rsid w:val="005E512B"/>
    <w:rsid w:val="005E53D0"/>
    <w:rsid w:val="005E5785"/>
    <w:rsid w:val="005E6098"/>
    <w:rsid w:val="005E7969"/>
    <w:rsid w:val="005F0C93"/>
    <w:rsid w:val="005F3F22"/>
    <w:rsid w:val="005F4FC0"/>
    <w:rsid w:val="005F540F"/>
    <w:rsid w:val="005F5491"/>
    <w:rsid w:val="005F6144"/>
    <w:rsid w:val="005F6573"/>
    <w:rsid w:val="005F71C5"/>
    <w:rsid w:val="00601541"/>
    <w:rsid w:val="0060361E"/>
    <w:rsid w:val="006040AD"/>
    <w:rsid w:val="00604A25"/>
    <w:rsid w:val="00606683"/>
    <w:rsid w:val="006072C6"/>
    <w:rsid w:val="00613BF6"/>
    <w:rsid w:val="00616D27"/>
    <w:rsid w:val="006234FE"/>
    <w:rsid w:val="00623840"/>
    <w:rsid w:val="006255EC"/>
    <w:rsid w:val="00625A25"/>
    <w:rsid w:val="0062736A"/>
    <w:rsid w:val="00632A35"/>
    <w:rsid w:val="0063565E"/>
    <w:rsid w:val="00636E02"/>
    <w:rsid w:val="006372FE"/>
    <w:rsid w:val="00640691"/>
    <w:rsid w:val="00641DB1"/>
    <w:rsid w:val="00642297"/>
    <w:rsid w:val="00644A34"/>
    <w:rsid w:val="00654824"/>
    <w:rsid w:val="00655791"/>
    <w:rsid w:val="00661766"/>
    <w:rsid w:val="00662882"/>
    <w:rsid w:val="0066298C"/>
    <w:rsid w:val="00663008"/>
    <w:rsid w:val="00663093"/>
    <w:rsid w:val="00665A7C"/>
    <w:rsid w:val="00665B0B"/>
    <w:rsid w:val="00666249"/>
    <w:rsid w:val="00666898"/>
    <w:rsid w:val="006705AF"/>
    <w:rsid w:val="006705CD"/>
    <w:rsid w:val="00671363"/>
    <w:rsid w:val="00672780"/>
    <w:rsid w:val="00672842"/>
    <w:rsid w:val="00673DB3"/>
    <w:rsid w:val="00676CFC"/>
    <w:rsid w:val="00677133"/>
    <w:rsid w:val="00681482"/>
    <w:rsid w:val="00687BF0"/>
    <w:rsid w:val="006904CF"/>
    <w:rsid w:val="006912FB"/>
    <w:rsid w:val="0069427B"/>
    <w:rsid w:val="00695AB6"/>
    <w:rsid w:val="00695AF2"/>
    <w:rsid w:val="00696A2B"/>
    <w:rsid w:val="00696BD5"/>
    <w:rsid w:val="006A04AE"/>
    <w:rsid w:val="006A0AE4"/>
    <w:rsid w:val="006A23F3"/>
    <w:rsid w:val="006A2706"/>
    <w:rsid w:val="006A2CF3"/>
    <w:rsid w:val="006A2F2B"/>
    <w:rsid w:val="006A5047"/>
    <w:rsid w:val="006A5E48"/>
    <w:rsid w:val="006A7A10"/>
    <w:rsid w:val="006B0DA4"/>
    <w:rsid w:val="006B1B6B"/>
    <w:rsid w:val="006B2C57"/>
    <w:rsid w:val="006B2EE9"/>
    <w:rsid w:val="006B391B"/>
    <w:rsid w:val="006B56ED"/>
    <w:rsid w:val="006B5EC6"/>
    <w:rsid w:val="006B79E0"/>
    <w:rsid w:val="006C0B2D"/>
    <w:rsid w:val="006C1633"/>
    <w:rsid w:val="006C5BF8"/>
    <w:rsid w:val="006C7CCB"/>
    <w:rsid w:val="006D11C9"/>
    <w:rsid w:val="006D3F14"/>
    <w:rsid w:val="006D3FDF"/>
    <w:rsid w:val="006D6009"/>
    <w:rsid w:val="006D7D41"/>
    <w:rsid w:val="006E2F4D"/>
    <w:rsid w:val="006E3FDD"/>
    <w:rsid w:val="006E58FB"/>
    <w:rsid w:val="006E5D82"/>
    <w:rsid w:val="006E66B2"/>
    <w:rsid w:val="006E6C50"/>
    <w:rsid w:val="006E7A69"/>
    <w:rsid w:val="006E7DE4"/>
    <w:rsid w:val="006F25DE"/>
    <w:rsid w:val="006F53E8"/>
    <w:rsid w:val="006F5FB8"/>
    <w:rsid w:val="006F6045"/>
    <w:rsid w:val="0070017B"/>
    <w:rsid w:val="0070427E"/>
    <w:rsid w:val="00704D53"/>
    <w:rsid w:val="007056C3"/>
    <w:rsid w:val="00706072"/>
    <w:rsid w:val="00713644"/>
    <w:rsid w:val="007148CC"/>
    <w:rsid w:val="00715060"/>
    <w:rsid w:val="00721256"/>
    <w:rsid w:val="007217AD"/>
    <w:rsid w:val="007219A9"/>
    <w:rsid w:val="00721F20"/>
    <w:rsid w:val="00723BA1"/>
    <w:rsid w:val="00724A1B"/>
    <w:rsid w:val="0073173E"/>
    <w:rsid w:val="007319C3"/>
    <w:rsid w:val="0073454F"/>
    <w:rsid w:val="00735C00"/>
    <w:rsid w:val="007364C6"/>
    <w:rsid w:val="00740BF3"/>
    <w:rsid w:val="00741D5C"/>
    <w:rsid w:val="0074352F"/>
    <w:rsid w:val="00747C5E"/>
    <w:rsid w:val="00750210"/>
    <w:rsid w:val="0075162F"/>
    <w:rsid w:val="00754844"/>
    <w:rsid w:val="00754B57"/>
    <w:rsid w:val="0075671D"/>
    <w:rsid w:val="0076002F"/>
    <w:rsid w:val="0076038B"/>
    <w:rsid w:val="00761744"/>
    <w:rsid w:val="00764582"/>
    <w:rsid w:val="00765FA3"/>
    <w:rsid w:val="00766961"/>
    <w:rsid w:val="00766B5A"/>
    <w:rsid w:val="0077026A"/>
    <w:rsid w:val="00770C33"/>
    <w:rsid w:val="007741C3"/>
    <w:rsid w:val="00777BE0"/>
    <w:rsid w:val="00777CFF"/>
    <w:rsid w:val="00780923"/>
    <w:rsid w:val="00781265"/>
    <w:rsid w:val="0078131F"/>
    <w:rsid w:val="007844C6"/>
    <w:rsid w:val="007876EF"/>
    <w:rsid w:val="00790306"/>
    <w:rsid w:val="0079364C"/>
    <w:rsid w:val="007942B9"/>
    <w:rsid w:val="00796C7F"/>
    <w:rsid w:val="00797E0C"/>
    <w:rsid w:val="007A160F"/>
    <w:rsid w:val="007A3606"/>
    <w:rsid w:val="007A48BC"/>
    <w:rsid w:val="007B0BC1"/>
    <w:rsid w:val="007B354B"/>
    <w:rsid w:val="007B4FC3"/>
    <w:rsid w:val="007B707C"/>
    <w:rsid w:val="007B73F3"/>
    <w:rsid w:val="007B7EE5"/>
    <w:rsid w:val="007C1C28"/>
    <w:rsid w:val="007C2A2C"/>
    <w:rsid w:val="007C3577"/>
    <w:rsid w:val="007C5E08"/>
    <w:rsid w:val="007D0002"/>
    <w:rsid w:val="007D1102"/>
    <w:rsid w:val="007D7A59"/>
    <w:rsid w:val="007E0E75"/>
    <w:rsid w:val="007E53F5"/>
    <w:rsid w:val="007E6E9E"/>
    <w:rsid w:val="007E7637"/>
    <w:rsid w:val="007E7997"/>
    <w:rsid w:val="007F014A"/>
    <w:rsid w:val="007F04EF"/>
    <w:rsid w:val="007F0763"/>
    <w:rsid w:val="007F1DE9"/>
    <w:rsid w:val="007F25C2"/>
    <w:rsid w:val="007F4F88"/>
    <w:rsid w:val="007F5642"/>
    <w:rsid w:val="007F5822"/>
    <w:rsid w:val="007F5B86"/>
    <w:rsid w:val="00800871"/>
    <w:rsid w:val="00800A7F"/>
    <w:rsid w:val="0080285D"/>
    <w:rsid w:val="0080710D"/>
    <w:rsid w:val="0081028F"/>
    <w:rsid w:val="008107D9"/>
    <w:rsid w:val="0081093B"/>
    <w:rsid w:val="008116D9"/>
    <w:rsid w:val="00811936"/>
    <w:rsid w:val="00812BE2"/>
    <w:rsid w:val="00813059"/>
    <w:rsid w:val="008157C8"/>
    <w:rsid w:val="00815C43"/>
    <w:rsid w:val="008173E2"/>
    <w:rsid w:val="008201C3"/>
    <w:rsid w:val="00820422"/>
    <w:rsid w:val="00820655"/>
    <w:rsid w:val="008227D7"/>
    <w:rsid w:val="008249A1"/>
    <w:rsid w:val="008254DD"/>
    <w:rsid w:val="00825D43"/>
    <w:rsid w:val="0082632D"/>
    <w:rsid w:val="008279D3"/>
    <w:rsid w:val="00832500"/>
    <w:rsid w:val="00832787"/>
    <w:rsid w:val="00833000"/>
    <w:rsid w:val="00833C79"/>
    <w:rsid w:val="00835192"/>
    <w:rsid w:val="00835805"/>
    <w:rsid w:val="0083595F"/>
    <w:rsid w:val="008372B6"/>
    <w:rsid w:val="00843A1A"/>
    <w:rsid w:val="00846433"/>
    <w:rsid w:val="008472C2"/>
    <w:rsid w:val="00850B43"/>
    <w:rsid w:val="008510D9"/>
    <w:rsid w:val="00851EE3"/>
    <w:rsid w:val="00853121"/>
    <w:rsid w:val="008555E4"/>
    <w:rsid w:val="0086293C"/>
    <w:rsid w:val="00864124"/>
    <w:rsid w:val="00864E60"/>
    <w:rsid w:val="00864FD5"/>
    <w:rsid w:val="00866A09"/>
    <w:rsid w:val="00871163"/>
    <w:rsid w:val="008712BF"/>
    <w:rsid w:val="00872209"/>
    <w:rsid w:val="008731EB"/>
    <w:rsid w:val="008733EB"/>
    <w:rsid w:val="00873656"/>
    <w:rsid w:val="00880140"/>
    <w:rsid w:val="00882FA5"/>
    <w:rsid w:val="008842F7"/>
    <w:rsid w:val="00885B94"/>
    <w:rsid w:val="0089075A"/>
    <w:rsid w:val="00890F80"/>
    <w:rsid w:val="00892BFD"/>
    <w:rsid w:val="0089338A"/>
    <w:rsid w:val="00894199"/>
    <w:rsid w:val="008948BE"/>
    <w:rsid w:val="008A1E27"/>
    <w:rsid w:val="008A2C86"/>
    <w:rsid w:val="008A6000"/>
    <w:rsid w:val="008A70A8"/>
    <w:rsid w:val="008A7FAC"/>
    <w:rsid w:val="008B04D0"/>
    <w:rsid w:val="008B1FD9"/>
    <w:rsid w:val="008B2AF1"/>
    <w:rsid w:val="008B5191"/>
    <w:rsid w:val="008B710D"/>
    <w:rsid w:val="008B7CA1"/>
    <w:rsid w:val="008C0177"/>
    <w:rsid w:val="008C0389"/>
    <w:rsid w:val="008C27D3"/>
    <w:rsid w:val="008C4B2B"/>
    <w:rsid w:val="008C5E91"/>
    <w:rsid w:val="008C686D"/>
    <w:rsid w:val="008C6B18"/>
    <w:rsid w:val="008C6D55"/>
    <w:rsid w:val="008C75E6"/>
    <w:rsid w:val="008C767A"/>
    <w:rsid w:val="008C7A73"/>
    <w:rsid w:val="008C7E4C"/>
    <w:rsid w:val="008D0569"/>
    <w:rsid w:val="008D28FD"/>
    <w:rsid w:val="008D3781"/>
    <w:rsid w:val="008D59F9"/>
    <w:rsid w:val="008D5C28"/>
    <w:rsid w:val="008E00A6"/>
    <w:rsid w:val="008E29BD"/>
    <w:rsid w:val="008E2D26"/>
    <w:rsid w:val="008E3C8E"/>
    <w:rsid w:val="008E4076"/>
    <w:rsid w:val="008E7D5B"/>
    <w:rsid w:val="008E7DBA"/>
    <w:rsid w:val="008F1993"/>
    <w:rsid w:val="008F3386"/>
    <w:rsid w:val="008F3AD9"/>
    <w:rsid w:val="008F4642"/>
    <w:rsid w:val="008F4C29"/>
    <w:rsid w:val="008F4E00"/>
    <w:rsid w:val="008F6163"/>
    <w:rsid w:val="008F761D"/>
    <w:rsid w:val="00900D44"/>
    <w:rsid w:val="00902520"/>
    <w:rsid w:val="00906DC4"/>
    <w:rsid w:val="00911A61"/>
    <w:rsid w:val="0091457F"/>
    <w:rsid w:val="0091729E"/>
    <w:rsid w:val="00921B57"/>
    <w:rsid w:val="00930A39"/>
    <w:rsid w:val="009318E9"/>
    <w:rsid w:val="0093261E"/>
    <w:rsid w:val="0093654A"/>
    <w:rsid w:val="0094008E"/>
    <w:rsid w:val="00941C0C"/>
    <w:rsid w:val="009437F2"/>
    <w:rsid w:val="00943DF5"/>
    <w:rsid w:val="0094528B"/>
    <w:rsid w:val="0095370F"/>
    <w:rsid w:val="00957D75"/>
    <w:rsid w:val="00960A8B"/>
    <w:rsid w:val="00965128"/>
    <w:rsid w:val="00967068"/>
    <w:rsid w:val="00973F43"/>
    <w:rsid w:val="0097467D"/>
    <w:rsid w:val="0097552A"/>
    <w:rsid w:val="0097785D"/>
    <w:rsid w:val="0098011D"/>
    <w:rsid w:val="00980C5E"/>
    <w:rsid w:val="00981912"/>
    <w:rsid w:val="009819C0"/>
    <w:rsid w:val="009835AD"/>
    <w:rsid w:val="00987A75"/>
    <w:rsid w:val="00990C72"/>
    <w:rsid w:val="00991A8A"/>
    <w:rsid w:val="00992611"/>
    <w:rsid w:val="00994303"/>
    <w:rsid w:val="0099526D"/>
    <w:rsid w:val="00996C8B"/>
    <w:rsid w:val="009A0054"/>
    <w:rsid w:val="009A0F6E"/>
    <w:rsid w:val="009A2D9C"/>
    <w:rsid w:val="009A38D9"/>
    <w:rsid w:val="009A5548"/>
    <w:rsid w:val="009B22A4"/>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49C6"/>
    <w:rsid w:val="00A02199"/>
    <w:rsid w:val="00A026A4"/>
    <w:rsid w:val="00A04044"/>
    <w:rsid w:val="00A055DD"/>
    <w:rsid w:val="00A0651D"/>
    <w:rsid w:val="00A11D0C"/>
    <w:rsid w:val="00A14C34"/>
    <w:rsid w:val="00A16579"/>
    <w:rsid w:val="00A17D1C"/>
    <w:rsid w:val="00A2396C"/>
    <w:rsid w:val="00A24843"/>
    <w:rsid w:val="00A25AB7"/>
    <w:rsid w:val="00A26D48"/>
    <w:rsid w:val="00A31C7C"/>
    <w:rsid w:val="00A367AA"/>
    <w:rsid w:val="00A378DF"/>
    <w:rsid w:val="00A379B0"/>
    <w:rsid w:val="00A37AC6"/>
    <w:rsid w:val="00A409C2"/>
    <w:rsid w:val="00A410CC"/>
    <w:rsid w:val="00A42B43"/>
    <w:rsid w:val="00A42BD0"/>
    <w:rsid w:val="00A433DC"/>
    <w:rsid w:val="00A460CD"/>
    <w:rsid w:val="00A50761"/>
    <w:rsid w:val="00A51DF2"/>
    <w:rsid w:val="00A53AF0"/>
    <w:rsid w:val="00A548ED"/>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8284E"/>
    <w:rsid w:val="00A86675"/>
    <w:rsid w:val="00A870EE"/>
    <w:rsid w:val="00A91D91"/>
    <w:rsid w:val="00A96F81"/>
    <w:rsid w:val="00A9709D"/>
    <w:rsid w:val="00A97B33"/>
    <w:rsid w:val="00AA054E"/>
    <w:rsid w:val="00AA0A10"/>
    <w:rsid w:val="00AA2094"/>
    <w:rsid w:val="00AA2903"/>
    <w:rsid w:val="00AA2947"/>
    <w:rsid w:val="00AA7461"/>
    <w:rsid w:val="00AB1894"/>
    <w:rsid w:val="00AB22DF"/>
    <w:rsid w:val="00AB2C3F"/>
    <w:rsid w:val="00AB30EA"/>
    <w:rsid w:val="00AB458B"/>
    <w:rsid w:val="00AB45E4"/>
    <w:rsid w:val="00AB6157"/>
    <w:rsid w:val="00AB7542"/>
    <w:rsid w:val="00AC022D"/>
    <w:rsid w:val="00AC0629"/>
    <w:rsid w:val="00AC70C7"/>
    <w:rsid w:val="00AC79E0"/>
    <w:rsid w:val="00AD32CE"/>
    <w:rsid w:val="00AD5187"/>
    <w:rsid w:val="00AD51DE"/>
    <w:rsid w:val="00AD6B11"/>
    <w:rsid w:val="00AD6B34"/>
    <w:rsid w:val="00AD6F90"/>
    <w:rsid w:val="00AD7603"/>
    <w:rsid w:val="00AE0286"/>
    <w:rsid w:val="00AE247F"/>
    <w:rsid w:val="00AE4A24"/>
    <w:rsid w:val="00AE4FC7"/>
    <w:rsid w:val="00AE67DD"/>
    <w:rsid w:val="00AF01E3"/>
    <w:rsid w:val="00AF23AE"/>
    <w:rsid w:val="00AF2EF7"/>
    <w:rsid w:val="00AF3741"/>
    <w:rsid w:val="00AF3B5C"/>
    <w:rsid w:val="00AF54AC"/>
    <w:rsid w:val="00B0014A"/>
    <w:rsid w:val="00B00B50"/>
    <w:rsid w:val="00B00DB2"/>
    <w:rsid w:val="00B016E3"/>
    <w:rsid w:val="00B02B0B"/>
    <w:rsid w:val="00B03817"/>
    <w:rsid w:val="00B04283"/>
    <w:rsid w:val="00B04929"/>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6EA"/>
    <w:rsid w:val="00B33D9A"/>
    <w:rsid w:val="00B40D81"/>
    <w:rsid w:val="00B424F5"/>
    <w:rsid w:val="00B430BB"/>
    <w:rsid w:val="00B43167"/>
    <w:rsid w:val="00B435BE"/>
    <w:rsid w:val="00B43A9D"/>
    <w:rsid w:val="00B451AE"/>
    <w:rsid w:val="00B467B0"/>
    <w:rsid w:val="00B47F9B"/>
    <w:rsid w:val="00B50534"/>
    <w:rsid w:val="00B51FCB"/>
    <w:rsid w:val="00B5289B"/>
    <w:rsid w:val="00B52E10"/>
    <w:rsid w:val="00B5331D"/>
    <w:rsid w:val="00B543D6"/>
    <w:rsid w:val="00B556B0"/>
    <w:rsid w:val="00B56736"/>
    <w:rsid w:val="00B574D3"/>
    <w:rsid w:val="00B57687"/>
    <w:rsid w:val="00B578E3"/>
    <w:rsid w:val="00B57CE5"/>
    <w:rsid w:val="00B63379"/>
    <w:rsid w:val="00B648F2"/>
    <w:rsid w:val="00B655D1"/>
    <w:rsid w:val="00B73FF2"/>
    <w:rsid w:val="00B74CBA"/>
    <w:rsid w:val="00B74ED3"/>
    <w:rsid w:val="00B768CF"/>
    <w:rsid w:val="00B81A44"/>
    <w:rsid w:val="00B8355E"/>
    <w:rsid w:val="00B86BB5"/>
    <w:rsid w:val="00B91072"/>
    <w:rsid w:val="00B91B6E"/>
    <w:rsid w:val="00B94B2C"/>
    <w:rsid w:val="00B96F7D"/>
    <w:rsid w:val="00B970D0"/>
    <w:rsid w:val="00BA2B35"/>
    <w:rsid w:val="00BA49F4"/>
    <w:rsid w:val="00BA5B29"/>
    <w:rsid w:val="00BA5C41"/>
    <w:rsid w:val="00BA6ACA"/>
    <w:rsid w:val="00BA7232"/>
    <w:rsid w:val="00BA7809"/>
    <w:rsid w:val="00BB29AA"/>
    <w:rsid w:val="00BB376A"/>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E7A5D"/>
    <w:rsid w:val="00BF0A29"/>
    <w:rsid w:val="00BF0EE0"/>
    <w:rsid w:val="00BF25CD"/>
    <w:rsid w:val="00BF4AB0"/>
    <w:rsid w:val="00BF5553"/>
    <w:rsid w:val="00BF75CD"/>
    <w:rsid w:val="00C00D4F"/>
    <w:rsid w:val="00C00F1C"/>
    <w:rsid w:val="00C0346D"/>
    <w:rsid w:val="00C0358F"/>
    <w:rsid w:val="00C03BB0"/>
    <w:rsid w:val="00C041CF"/>
    <w:rsid w:val="00C0696A"/>
    <w:rsid w:val="00C07BC8"/>
    <w:rsid w:val="00C11CFA"/>
    <w:rsid w:val="00C12034"/>
    <w:rsid w:val="00C13343"/>
    <w:rsid w:val="00C1396B"/>
    <w:rsid w:val="00C16775"/>
    <w:rsid w:val="00C1698A"/>
    <w:rsid w:val="00C17150"/>
    <w:rsid w:val="00C17E6C"/>
    <w:rsid w:val="00C21697"/>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568D0"/>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3D00"/>
    <w:rsid w:val="00C9545D"/>
    <w:rsid w:val="00C9625C"/>
    <w:rsid w:val="00C978C6"/>
    <w:rsid w:val="00C97F2A"/>
    <w:rsid w:val="00C97F9B"/>
    <w:rsid w:val="00CA112D"/>
    <w:rsid w:val="00CA1F9F"/>
    <w:rsid w:val="00CA2179"/>
    <w:rsid w:val="00CA3D8A"/>
    <w:rsid w:val="00CA4A87"/>
    <w:rsid w:val="00CB0C0C"/>
    <w:rsid w:val="00CB0D63"/>
    <w:rsid w:val="00CB4B3E"/>
    <w:rsid w:val="00CB50EF"/>
    <w:rsid w:val="00CB623F"/>
    <w:rsid w:val="00CB791A"/>
    <w:rsid w:val="00CB7D1B"/>
    <w:rsid w:val="00CC11DF"/>
    <w:rsid w:val="00CC1A6E"/>
    <w:rsid w:val="00CC3F62"/>
    <w:rsid w:val="00CC536E"/>
    <w:rsid w:val="00CC59DD"/>
    <w:rsid w:val="00CC7FC6"/>
    <w:rsid w:val="00CD0CC9"/>
    <w:rsid w:val="00CD470F"/>
    <w:rsid w:val="00CD47B2"/>
    <w:rsid w:val="00CD5AFD"/>
    <w:rsid w:val="00CD74EB"/>
    <w:rsid w:val="00CE49F8"/>
    <w:rsid w:val="00CE4E1E"/>
    <w:rsid w:val="00CE66B5"/>
    <w:rsid w:val="00CF52DF"/>
    <w:rsid w:val="00CF5832"/>
    <w:rsid w:val="00CF5911"/>
    <w:rsid w:val="00CF7221"/>
    <w:rsid w:val="00CF724E"/>
    <w:rsid w:val="00D059F5"/>
    <w:rsid w:val="00D117F5"/>
    <w:rsid w:val="00D11B30"/>
    <w:rsid w:val="00D11DE7"/>
    <w:rsid w:val="00D127DF"/>
    <w:rsid w:val="00D13661"/>
    <w:rsid w:val="00D142BD"/>
    <w:rsid w:val="00D146DE"/>
    <w:rsid w:val="00D16B53"/>
    <w:rsid w:val="00D17FEC"/>
    <w:rsid w:val="00D200E7"/>
    <w:rsid w:val="00D21427"/>
    <w:rsid w:val="00D21F4F"/>
    <w:rsid w:val="00D22164"/>
    <w:rsid w:val="00D22B86"/>
    <w:rsid w:val="00D22F2F"/>
    <w:rsid w:val="00D24194"/>
    <w:rsid w:val="00D2460F"/>
    <w:rsid w:val="00D2590F"/>
    <w:rsid w:val="00D26321"/>
    <w:rsid w:val="00D27150"/>
    <w:rsid w:val="00D27890"/>
    <w:rsid w:val="00D27EB3"/>
    <w:rsid w:val="00D31819"/>
    <w:rsid w:val="00D33B14"/>
    <w:rsid w:val="00D35E02"/>
    <w:rsid w:val="00D378C9"/>
    <w:rsid w:val="00D37B9F"/>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6745A"/>
    <w:rsid w:val="00D72A4C"/>
    <w:rsid w:val="00D73338"/>
    <w:rsid w:val="00D775F3"/>
    <w:rsid w:val="00D775F7"/>
    <w:rsid w:val="00D77868"/>
    <w:rsid w:val="00D77F25"/>
    <w:rsid w:val="00D8396B"/>
    <w:rsid w:val="00D84B93"/>
    <w:rsid w:val="00D84C2A"/>
    <w:rsid w:val="00D9064B"/>
    <w:rsid w:val="00D94640"/>
    <w:rsid w:val="00D95D17"/>
    <w:rsid w:val="00D978C6"/>
    <w:rsid w:val="00DA03F6"/>
    <w:rsid w:val="00DA134A"/>
    <w:rsid w:val="00DA149B"/>
    <w:rsid w:val="00DA1868"/>
    <w:rsid w:val="00DA1A2E"/>
    <w:rsid w:val="00DA3413"/>
    <w:rsid w:val="00DA426E"/>
    <w:rsid w:val="00DA4339"/>
    <w:rsid w:val="00DA462C"/>
    <w:rsid w:val="00DA4B1B"/>
    <w:rsid w:val="00DA4EFC"/>
    <w:rsid w:val="00DA55C5"/>
    <w:rsid w:val="00DA648D"/>
    <w:rsid w:val="00DA6A7B"/>
    <w:rsid w:val="00DA726D"/>
    <w:rsid w:val="00DB1B8D"/>
    <w:rsid w:val="00DB2693"/>
    <w:rsid w:val="00DB3DEA"/>
    <w:rsid w:val="00DB40BD"/>
    <w:rsid w:val="00DB4B8E"/>
    <w:rsid w:val="00DB4F4B"/>
    <w:rsid w:val="00DC070F"/>
    <w:rsid w:val="00DC3462"/>
    <w:rsid w:val="00DC3858"/>
    <w:rsid w:val="00DC3A57"/>
    <w:rsid w:val="00DC62F5"/>
    <w:rsid w:val="00DC7A95"/>
    <w:rsid w:val="00DD1DAF"/>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1A5B"/>
    <w:rsid w:val="00E333AC"/>
    <w:rsid w:val="00E3456B"/>
    <w:rsid w:val="00E35551"/>
    <w:rsid w:val="00E35C16"/>
    <w:rsid w:val="00E36085"/>
    <w:rsid w:val="00E36813"/>
    <w:rsid w:val="00E42382"/>
    <w:rsid w:val="00E47B12"/>
    <w:rsid w:val="00E5426C"/>
    <w:rsid w:val="00E5782A"/>
    <w:rsid w:val="00E603DF"/>
    <w:rsid w:val="00E608FB"/>
    <w:rsid w:val="00E63745"/>
    <w:rsid w:val="00E657C7"/>
    <w:rsid w:val="00E6699F"/>
    <w:rsid w:val="00E67845"/>
    <w:rsid w:val="00E67B40"/>
    <w:rsid w:val="00E703AE"/>
    <w:rsid w:val="00E72373"/>
    <w:rsid w:val="00E74A40"/>
    <w:rsid w:val="00E76AF9"/>
    <w:rsid w:val="00E84EF0"/>
    <w:rsid w:val="00E8649C"/>
    <w:rsid w:val="00E87886"/>
    <w:rsid w:val="00E87CDE"/>
    <w:rsid w:val="00E91FC1"/>
    <w:rsid w:val="00E92D54"/>
    <w:rsid w:val="00E9323C"/>
    <w:rsid w:val="00E95FD8"/>
    <w:rsid w:val="00E978F6"/>
    <w:rsid w:val="00EA0283"/>
    <w:rsid w:val="00EA357E"/>
    <w:rsid w:val="00EA5DE1"/>
    <w:rsid w:val="00EB0C86"/>
    <w:rsid w:val="00EB0E16"/>
    <w:rsid w:val="00EB1A57"/>
    <w:rsid w:val="00EB236F"/>
    <w:rsid w:val="00EB237E"/>
    <w:rsid w:val="00EB2FC6"/>
    <w:rsid w:val="00EB50D7"/>
    <w:rsid w:val="00EC1546"/>
    <w:rsid w:val="00EC15D5"/>
    <w:rsid w:val="00EC4D18"/>
    <w:rsid w:val="00EC5B23"/>
    <w:rsid w:val="00EC5DED"/>
    <w:rsid w:val="00EC6BD8"/>
    <w:rsid w:val="00ED0356"/>
    <w:rsid w:val="00ED0D71"/>
    <w:rsid w:val="00ED3DCD"/>
    <w:rsid w:val="00ED3DD5"/>
    <w:rsid w:val="00ED4FDB"/>
    <w:rsid w:val="00ED56BE"/>
    <w:rsid w:val="00ED74D7"/>
    <w:rsid w:val="00ED77DA"/>
    <w:rsid w:val="00EE0EF1"/>
    <w:rsid w:val="00EE40F8"/>
    <w:rsid w:val="00EE6DD6"/>
    <w:rsid w:val="00EF0867"/>
    <w:rsid w:val="00EF1A10"/>
    <w:rsid w:val="00EF1A9F"/>
    <w:rsid w:val="00EF1B27"/>
    <w:rsid w:val="00EF4370"/>
    <w:rsid w:val="00EF5AD7"/>
    <w:rsid w:val="00F03FA7"/>
    <w:rsid w:val="00F048EF"/>
    <w:rsid w:val="00F05D9D"/>
    <w:rsid w:val="00F06AAD"/>
    <w:rsid w:val="00F146BE"/>
    <w:rsid w:val="00F215B0"/>
    <w:rsid w:val="00F22013"/>
    <w:rsid w:val="00F22356"/>
    <w:rsid w:val="00F226E0"/>
    <w:rsid w:val="00F2522F"/>
    <w:rsid w:val="00F252A8"/>
    <w:rsid w:val="00F30180"/>
    <w:rsid w:val="00F31A29"/>
    <w:rsid w:val="00F3279A"/>
    <w:rsid w:val="00F34DB4"/>
    <w:rsid w:val="00F37236"/>
    <w:rsid w:val="00F44634"/>
    <w:rsid w:val="00F45473"/>
    <w:rsid w:val="00F505EC"/>
    <w:rsid w:val="00F5088F"/>
    <w:rsid w:val="00F51657"/>
    <w:rsid w:val="00F5223C"/>
    <w:rsid w:val="00F5435F"/>
    <w:rsid w:val="00F55501"/>
    <w:rsid w:val="00F55F69"/>
    <w:rsid w:val="00F57787"/>
    <w:rsid w:val="00F61E82"/>
    <w:rsid w:val="00F6243A"/>
    <w:rsid w:val="00F63323"/>
    <w:rsid w:val="00F636FE"/>
    <w:rsid w:val="00F648B2"/>
    <w:rsid w:val="00F67EBD"/>
    <w:rsid w:val="00F70EA4"/>
    <w:rsid w:val="00F7608E"/>
    <w:rsid w:val="00F77851"/>
    <w:rsid w:val="00F80FAB"/>
    <w:rsid w:val="00F81AAC"/>
    <w:rsid w:val="00F81E3B"/>
    <w:rsid w:val="00F827E1"/>
    <w:rsid w:val="00F867DA"/>
    <w:rsid w:val="00F927B5"/>
    <w:rsid w:val="00F94BD0"/>
    <w:rsid w:val="00F94C67"/>
    <w:rsid w:val="00F95403"/>
    <w:rsid w:val="00F96705"/>
    <w:rsid w:val="00F96750"/>
    <w:rsid w:val="00F9704D"/>
    <w:rsid w:val="00FA0166"/>
    <w:rsid w:val="00FA214B"/>
    <w:rsid w:val="00FA2400"/>
    <w:rsid w:val="00FA33E9"/>
    <w:rsid w:val="00FA55C8"/>
    <w:rsid w:val="00FA64BE"/>
    <w:rsid w:val="00FA74C6"/>
    <w:rsid w:val="00FB24ED"/>
    <w:rsid w:val="00FB29AF"/>
    <w:rsid w:val="00FB313D"/>
    <w:rsid w:val="00FB4003"/>
    <w:rsid w:val="00FB4EBA"/>
    <w:rsid w:val="00FB7086"/>
    <w:rsid w:val="00FC1B94"/>
    <w:rsid w:val="00FC3B26"/>
    <w:rsid w:val="00FC6384"/>
    <w:rsid w:val="00FC6733"/>
    <w:rsid w:val="00FD2677"/>
    <w:rsid w:val="00FD28B8"/>
    <w:rsid w:val="00FD4D00"/>
    <w:rsid w:val="00FE0BD8"/>
    <w:rsid w:val="00FE1709"/>
    <w:rsid w:val="00FE1FC9"/>
    <w:rsid w:val="00FF32DE"/>
    <w:rsid w:val="00FF4205"/>
    <w:rsid w:val="00FF5858"/>
    <w:rsid w:val="00FF6930"/>
    <w:rsid w:val="36725D5C"/>
    <w:rsid w:val="3CFE2AD9"/>
    <w:rsid w:val="3EC79034"/>
    <w:rsid w:val="4119874D"/>
    <w:rsid w:val="42EC885E"/>
    <w:rsid w:val="440F045F"/>
    <w:rsid w:val="563EF20D"/>
    <w:rsid w:val="6233BE84"/>
    <w:rsid w:val="77E8262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12FC402E-3C4A-4D9E-A44D-1C36B76C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Titolo1">
    <w:name w:val="heading 1"/>
    <w:basedOn w:val="Normale"/>
    <w:next w:val="Normale"/>
    <w:link w:val="Titolo1Carattere"/>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Titolo2">
    <w:name w:val="heading 2"/>
    <w:basedOn w:val="Normale"/>
    <w:next w:val="Normale"/>
    <w:link w:val="Titolo2Carattere"/>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Titolo3">
    <w:name w:val="heading 3"/>
    <w:basedOn w:val="Normale"/>
    <w:next w:val="Normale"/>
    <w:link w:val="Titolo3Carattere"/>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Titolo4">
    <w:name w:val="heading 4"/>
    <w:basedOn w:val="Normale"/>
    <w:next w:val="Normale"/>
    <w:link w:val="Titolo4Carattere"/>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Titolo5">
    <w:name w:val="heading 5"/>
    <w:basedOn w:val="Normale"/>
    <w:next w:val="Normale"/>
    <w:link w:val="Titolo5Carattere"/>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Titolo6">
    <w:name w:val="heading 6"/>
    <w:basedOn w:val="Normale"/>
    <w:next w:val="Normale"/>
    <w:link w:val="Titolo6Carattere"/>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Titolo7">
    <w:name w:val="heading 7"/>
    <w:basedOn w:val="Normale"/>
    <w:next w:val="Normale"/>
    <w:link w:val="Titolo7Carattere"/>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Titolo8">
    <w:name w:val="heading 8"/>
    <w:basedOn w:val="Normale"/>
    <w:next w:val="Normale"/>
    <w:link w:val="Titolo8Carattere"/>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Titolo9">
    <w:name w:val="heading 9"/>
    <w:basedOn w:val="Normale"/>
    <w:next w:val="Normale"/>
    <w:link w:val="Titolo9Carattere"/>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5B6B12"/>
    <w:pPr>
      <w:spacing w:after="0" w:line="240" w:lineRule="auto"/>
    </w:pPr>
    <w:rPr>
      <w:lang w:val="en-GB"/>
    </w:rPr>
  </w:style>
  <w:style w:type="character" w:customStyle="1" w:styleId="Titolo4Carattere">
    <w:name w:val="Titolo 4 Carattere"/>
    <w:basedOn w:val="Carpredefinitoparagrafo"/>
    <w:link w:val="Titolo4"/>
    <w:rsid w:val="00020300"/>
    <w:rPr>
      <w:rFonts w:asciiTheme="majorHAnsi" w:eastAsiaTheme="majorEastAsia" w:hAnsiTheme="majorHAnsi" w:cstheme="majorBidi"/>
      <w:sz w:val="24"/>
      <w:szCs w:val="22"/>
      <w:lang w:val="en-GB" w:eastAsia="en-GB"/>
    </w:rPr>
  </w:style>
  <w:style w:type="character" w:customStyle="1" w:styleId="Titolo3Carattere">
    <w:name w:val="Titolo 3 Carattere"/>
    <w:basedOn w:val="Carpredefinitoparagrafo"/>
    <w:link w:val="Titolo3"/>
    <w:rsid w:val="00020300"/>
    <w:rPr>
      <w:rFonts w:asciiTheme="majorHAnsi" w:eastAsiaTheme="majorEastAsia" w:hAnsiTheme="majorHAnsi" w:cstheme="majorBidi"/>
      <w:sz w:val="24"/>
      <w:szCs w:val="24"/>
      <w:lang w:val="en-GB" w:eastAsia="en-GB"/>
    </w:rPr>
  </w:style>
  <w:style w:type="character" w:customStyle="1" w:styleId="Titolo1Carattere">
    <w:name w:val="Titolo 1 Carattere"/>
    <w:basedOn w:val="Carpredefinitoparagrafo"/>
    <w:link w:val="Titolo1"/>
    <w:rsid w:val="00FE0BD8"/>
    <w:rPr>
      <w:rFonts w:asciiTheme="majorHAnsi" w:eastAsiaTheme="majorEastAsia" w:hAnsiTheme="majorHAnsi" w:cstheme="majorBidi"/>
      <w:b/>
      <w:sz w:val="32"/>
      <w:szCs w:val="32"/>
      <w:lang w:val="en-GB" w:eastAsia="en-GB"/>
    </w:rPr>
  </w:style>
  <w:style w:type="character" w:customStyle="1" w:styleId="Titolo2Carattere">
    <w:name w:val="Titolo 2 Carattere"/>
    <w:basedOn w:val="Carpredefinitoparagrafo"/>
    <w:link w:val="Titolo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e"/>
    <w:link w:val="Subtitle1Char"/>
    <w:autoRedefine/>
    <w:rsid w:val="003C4EB5"/>
    <w:pPr>
      <w:tabs>
        <w:tab w:val="left" w:pos="414"/>
      </w:tabs>
    </w:pPr>
    <w:rPr>
      <w:b/>
    </w:rPr>
  </w:style>
  <w:style w:type="character" w:customStyle="1" w:styleId="Subtitle1Char">
    <w:name w:val="Subtitle1 Char"/>
    <w:basedOn w:val="Carpredefinitoparagrafo"/>
    <w:link w:val="Subtitle1"/>
    <w:rsid w:val="003C4EB5"/>
    <w:rPr>
      <w:rFonts w:cs="Times New Roman"/>
      <w:b/>
      <w:sz w:val="20"/>
      <w:szCs w:val="24"/>
      <w:lang w:val="en-GB" w:eastAsia="de-DE"/>
    </w:rPr>
  </w:style>
  <w:style w:type="paragraph" w:customStyle="1" w:styleId="Title1">
    <w:name w:val="Title 1"/>
    <w:basedOn w:val="Paragrafoelenco"/>
    <w:link w:val="Title1Char"/>
    <w:autoRedefine/>
    <w:rsid w:val="002574D1"/>
    <w:pPr>
      <w:numPr>
        <w:numId w:val="2"/>
      </w:numPr>
    </w:pPr>
    <w:rPr>
      <w:b/>
      <w:sz w:val="28"/>
    </w:rPr>
  </w:style>
  <w:style w:type="character" w:customStyle="1" w:styleId="Title1Char">
    <w:name w:val="Title 1 Char"/>
    <w:basedOn w:val="Carpredefinitoparagrafo"/>
    <w:link w:val="Title1"/>
    <w:rsid w:val="003C4EB5"/>
    <w:rPr>
      <w:rFonts w:eastAsiaTheme="majorEastAsia" w:cstheme="minorHAnsi"/>
      <w:b/>
      <w:sz w:val="28"/>
      <w:szCs w:val="22"/>
      <w:lang w:val="en-GB" w:eastAsia="en-GB"/>
    </w:rPr>
  </w:style>
  <w:style w:type="paragraph" w:styleId="Paragrafoelenco">
    <w:name w:val="List Paragraph"/>
    <w:aliases w:val="Paragraphe EI,Paragraphe de liste1,EC,Paragraphe de liste,Normal Nivel 1,List Paragraph Main,List first level,List Paragraph_Sections"/>
    <w:basedOn w:val="Normale"/>
    <w:link w:val="ParagrafoelencoCarattere"/>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Paragrafoelenco"/>
    <w:link w:val="Title3Char"/>
    <w:autoRedefine/>
    <w:rsid w:val="002574D1"/>
    <w:pPr>
      <w:numPr>
        <w:ilvl w:val="3"/>
        <w:numId w:val="2"/>
      </w:numPr>
    </w:pPr>
  </w:style>
  <w:style w:type="character" w:customStyle="1" w:styleId="Title3Char">
    <w:name w:val="Title 3 Char"/>
    <w:basedOn w:val="Carpredefinitoparagrafo"/>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e"/>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Carpredefinitoparagrafo"/>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e"/>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Carpredefinitoparagrafo"/>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e"/>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Carpredefinitoparagrafo"/>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e"/>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Carpredefinitoparagrafo"/>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e"/>
    <w:link w:val="IntroductionheadingChar"/>
    <w:autoRedefine/>
    <w:rsid w:val="00044C5A"/>
    <w:pPr>
      <w:spacing w:line="300" w:lineRule="exact"/>
    </w:pPr>
    <w:rPr>
      <w:b/>
      <w:sz w:val="28"/>
      <w:lang w:eastAsia="de-DE"/>
    </w:rPr>
  </w:style>
  <w:style w:type="character" w:customStyle="1" w:styleId="IntroductionheadingChar">
    <w:name w:val="Introduction heading Char"/>
    <w:basedOn w:val="Carpredefinitoparagrafo"/>
    <w:link w:val="Introductionheading"/>
    <w:rsid w:val="00044C5A"/>
    <w:rPr>
      <w:rFonts w:ascii="Arial" w:eastAsia="Times New Roman" w:hAnsi="Arial" w:cs="Times New Roman"/>
      <w:b/>
      <w:sz w:val="28"/>
      <w:szCs w:val="24"/>
      <w:lang w:val="en-GB" w:eastAsia="de-DE"/>
    </w:rPr>
  </w:style>
  <w:style w:type="character" w:customStyle="1" w:styleId="Titolo5Carattere">
    <w:name w:val="Titolo 5 Carattere"/>
    <w:basedOn w:val="Carpredefinitoparagrafo"/>
    <w:link w:val="Titolo5"/>
    <w:uiPriority w:val="9"/>
    <w:rsid w:val="007E7997"/>
    <w:rPr>
      <w:rFonts w:asciiTheme="majorHAnsi" w:eastAsiaTheme="majorEastAsia" w:hAnsiTheme="majorHAnsi" w:cstheme="majorBidi"/>
      <w:sz w:val="24"/>
      <w:szCs w:val="22"/>
      <w:lang w:val="en-GB" w:eastAsia="en-GB"/>
    </w:rPr>
  </w:style>
  <w:style w:type="paragraph" w:styleId="Corpotesto">
    <w:name w:val="Body Text"/>
    <w:basedOn w:val="Normale"/>
    <w:link w:val="CorpotestoCarattere"/>
    <w:uiPriority w:val="99"/>
    <w:semiHidden/>
    <w:unhideWhenUsed/>
    <w:rsid w:val="00044C5A"/>
  </w:style>
  <w:style w:type="character" w:customStyle="1" w:styleId="CorpotestoCarattere">
    <w:name w:val="Corpo testo Carattere"/>
    <w:basedOn w:val="Carpredefinitoparagrafo"/>
    <w:link w:val="Corpotesto"/>
    <w:uiPriority w:val="99"/>
    <w:semiHidden/>
    <w:rsid w:val="00044C5A"/>
    <w:rPr>
      <w:rFonts w:ascii="Arial" w:eastAsiaTheme="minorEastAsia" w:hAnsi="Arial"/>
    </w:rPr>
  </w:style>
  <w:style w:type="paragraph" w:styleId="Primorientrocorpodeltesto">
    <w:name w:val="Body Text First Indent"/>
    <w:basedOn w:val="Corpotesto"/>
    <w:link w:val="PrimorientrocorpodeltestoCarattere"/>
    <w:uiPriority w:val="99"/>
    <w:semiHidden/>
    <w:unhideWhenUsed/>
    <w:rsid w:val="00044C5A"/>
    <w:pPr>
      <w:ind w:firstLine="360"/>
    </w:pPr>
  </w:style>
  <w:style w:type="character" w:customStyle="1" w:styleId="PrimorientrocorpodeltestoCarattere">
    <w:name w:val="Primo rientro corpo del testo Carattere"/>
    <w:basedOn w:val="CorpotestoCarattere"/>
    <w:link w:val="Primorientrocorpodeltesto"/>
    <w:uiPriority w:val="99"/>
    <w:semiHidden/>
    <w:rsid w:val="00044C5A"/>
    <w:rPr>
      <w:rFonts w:ascii="Arial" w:eastAsiaTheme="minorEastAsia" w:hAnsi="Arial"/>
    </w:rPr>
  </w:style>
  <w:style w:type="character" w:customStyle="1" w:styleId="Titolo6Carattere">
    <w:name w:val="Titolo 6 Carattere"/>
    <w:basedOn w:val="Carpredefinitoparagrafo"/>
    <w:link w:val="Titolo6"/>
    <w:rsid w:val="00AA054E"/>
    <w:rPr>
      <w:rFonts w:asciiTheme="majorHAnsi" w:eastAsiaTheme="majorEastAsia" w:hAnsiTheme="majorHAnsi" w:cstheme="majorBidi"/>
      <w:i/>
      <w:iCs/>
      <w:color w:val="44546A" w:themeColor="text2"/>
      <w:sz w:val="21"/>
      <w:szCs w:val="21"/>
      <w:lang w:val="en-GB" w:eastAsia="en-GB"/>
    </w:rPr>
  </w:style>
  <w:style w:type="paragraph" w:styleId="Titolo">
    <w:name w:val="Title"/>
    <w:basedOn w:val="Normale"/>
    <w:next w:val="Normale"/>
    <w:link w:val="TitoloCarattere"/>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oloCarattere">
    <w:name w:val="Titolo Carattere"/>
    <w:basedOn w:val="Carpredefinitoparagrafo"/>
    <w:link w:val="Titolo"/>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ottotitolo">
    <w:name w:val="Subtitle"/>
    <w:basedOn w:val="Normale"/>
    <w:next w:val="Normale"/>
    <w:link w:val="SottotitoloCarattere"/>
    <w:uiPriority w:val="11"/>
    <w:qFormat/>
    <w:rsid w:val="00366D42"/>
    <w:pPr>
      <w:numPr>
        <w:ilvl w:val="1"/>
      </w:numPr>
    </w:pPr>
    <w:rPr>
      <w:rFonts w:asciiTheme="majorHAnsi" w:eastAsiaTheme="majorEastAsia" w:hAnsiTheme="majorHAnsi" w:cstheme="majorBidi"/>
      <w:b/>
      <w:sz w:val="28"/>
    </w:rPr>
  </w:style>
  <w:style w:type="character" w:customStyle="1" w:styleId="SottotitoloCarattere">
    <w:name w:val="Sottotitolo Carattere"/>
    <w:basedOn w:val="Carpredefinitoparagrafo"/>
    <w:link w:val="Sottotitolo"/>
    <w:uiPriority w:val="11"/>
    <w:rsid w:val="00366D42"/>
    <w:rPr>
      <w:rFonts w:asciiTheme="majorHAnsi" w:eastAsiaTheme="majorEastAsia" w:hAnsiTheme="majorHAnsi" w:cstheme="majorBidi"/>
      <w:b/>
      <w:sz w:val="28"/>
      <w:szCs w:val="24"/>
      <w:lang w:val="en-GB"/>
    </w:rPr>
  </w:style>
  <w:style w:type="character" w:customStyle="1" w:styleId="Titolo7Carattere">
    <w:name w:val="Titolo 7 Carattere"/>
    <w:basedOn w:val="Carpredefinitoparagrafo"/>
    <w:link w:val="Titolo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Titolo8Carattere">
    <w:name w:val="Titolo 8 Carattere"/>
    <w:basedOn w:val="Carpredefinitoparagrafo"/>
    <w:link w:val="Titolo8"/>
    <w:rsid w:val="00AA054E"/>
    <w:rPr>
      <w:rFonts w:asciiTheme="majorHAnsi" w:eastAsiaTheme="majorEastAsia" w:hAnsiTheme="majorHAnsi" w:cstheme="majorBidi"/>
      <w:b/>
      <w:bCs/>
      <w:color w:val="44546A" w:themeColor="text2"/>
      <w:sz w:val="24"/>
      <w:szCs w:val="24"/>
      <w:lang w:val="en-GB" w:eastAsia="en-GB"/>
    </w:rPr>
  </w:style>
  <w:style w:type="character" w:customStyle="1" w:styleId="Titolo9Carattere">
    <w:name w:val="Titolo 9 Carattere"/>
    <w:basedOn w:val="Carpredefinitoparagrafo"/>
    <w:link w:val="Titolo9"/>
    <w:rsid w:val="00AA054E"/>
    <w:rPr>
      <w:rFonts w:asciiTheme="majorHAnsi" w:eastAsiaTheme="majorEastAsia" w:hAnsiTheme="majorHAnsi" w:cstheme="majorBidi"/>
      <w:b/>
      <w:bCs/>
      <w:i/>
      <w:iCs/>
      <w:color w:val="44546A" w:themeColor="text2"/>
      <w:sz w:val="24"/>
      <w:szCs w:val="24"/>
      <w:lang w:val="en-GB" w:eastAsia="en-GB"/>
    </w:rPr>
  </w:style>
  <w:style w:type="paragraph" w:styleId="Didascalia">
    <w:name w:val="caption"/>
    <w:basedOn w:val="Normale"/>
    <w:next w:val="Normale"/>
    <w:uiPriority w:val="35"/>
    <w:semiHidden/>
    <w:unhideWhenUsed/>
    <w:qFormat/>
    <w:rsid w:val="00AA054E"/>
    <w:rPr>
      <w:b/>
      <w:bCs/>
      <w:smallCaps/>
      <w:color w:val="595959" w:themeColor="text1" w:themeTint="A6"/>
      <w:spacing w:val="6"/>
    </w:rPr>
  </w:style>
  <w:style w:type="character" w:styleId="Enfasigrassetto">
    <w:name w:val="Strong"/>
    <w:basedOn w:val="Carpredefinitoparagrafo"/>
    <w:uiPriority w:val="22"/>
    <w:qFormat/>
    <w:rsid w:val="00AA054E"/>
    <w:rPr>
      <w:b/>
      <w:bCs/>
    </w:rPr>
  </w:style>
  <w:style w:type="character" w:styleId="Enfasicorsivo">
    <w:name w:val="Emphasis"/>
    <w:basedOn w:val="Carpredefinitoparagrafo"/>
    <w:uiPriority w:val="20"/>
    <w:qFormat/>
    <w:rsid w:val="00AA054E"/>
    <w:rPr>
      <w:i/>
      <w:iCs/>
    </w:rPr>
  </w:style>
  <w:style w:type="paragraph" w:styleId="Citazione">
    <w:name w:val="Quote"/>
    <w:basedOn w:val="Normale"/>
    <w:next w:val="Normale"/>
    <w:link w:val="CitazioneCarattere"/>
    <w:uiPriority w:val="29"/>
    <w:qFormat/>
    <w:rsid w:val="00AA054E"/>
    <w:pPr>
      <w:spacing w:before="160"/>
      <w:ind w:left="720" w:right="720"/>
    </w:pPr>
    <w:rPr>
      <w:i/>
      <w:iCs/>
      <w:color w:val="404040" w:themeColor="text1" w:themeTint="BF"/>
    </w:rPr>
  </w:style>
  <w:style w:type="character" w:customStyle="1" w:styleId="CitazioneCarattere">
    <w:name w:val="Citazione Carattere"/>
    <w:basedOn w:val="Carpredefinitoparagrafo"/>
    <w:link w:val="Citazione"/>
    <w:uiPriority w:val="29"/>
    <w:rsid w:val="00AA054E"/>
    <w:rPr>
      <w:i/>
      <w:iCs/>
      <w:color w:val="404040" w:themeColor="text1" w:themeTint="BF"/>
    </w:rPr>
  </w:style>
  <w:style w:type="paragraph" w:styleId="Citazioneintensa">
    <w:name w:val="Intense Quote"/>
    <w:basedOn w:val="Normale"/>
    <w:next w:val="Normale"/>
    <w:link w:val="CitazioneintensaCarattere"/>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zioneintensaCarattere">
    <w:name w:val="Citazione intensa Carattere"/>
    <w:basedOn w:val="Carpredefinitoparagrafo"/>
    <w:link w:val="Citazioneintensa"/>
    <w:uiPriority w:val="30"/>
    <w:rsid w:val="00AA054E"/>
    <w:rPr>
      <w:rFonts w:asciiTheme="majorHAnsi" w:eastAsiaTheme="majorEastAsia" w:hAnsiTheme="majorHAnsi" w:cstheme="majorBidi"/>
      <w:color w:val="5B9BD5" w:themeColor="accent1"/>
      <w:sz w:val="28"/>
      <w:szCs w:val="28"/>
    </w:rPr>
  </w:style>
  <w:style w:type="character" w:styleId="Enfasidelicata">
    <w:name w:val="Subtle Emphasis"/>
    <w:aliases w:val="Text,Emphase pâle,Diskret betoning"/>
    <w:basedOn w:val="Carpredefinitoparagrafo"/>
    <w:uiPriority w:val="19"/>
    <w:qFormat/>
    <w:rsid w:val="00287C8F"/>
    <w:rPr>
      <w:rFonts w:asciiTheme="majorHAnsi" w:hAnsiTheme="majorHAnsi"/>
      <w:i/>
      <w:iCs/>
      <w:color w:val="auto"/>
      <w:sz w:val="22"/>
    </w:rPr>
  </w:style>
  <w:style w:type="character" w:styleId="Enfasiintensa">
    <w:name w:val="Intense Emphasis"/>
    <w:basedOn w:val="Carpredefinitoparagrafo"/>
    <w:uiPriority w:val="21"/>
    <w:qFormat/>
    <w:rsid w:val="00AA054E"/>
    <w:rPr>
      <w:b/>
      <w:bCs/>
      <w:i/>
      <w:iCs/>
    </w:rPr>
  </w:style>
  <w:style w:type="character" w:styleId="Riferimentodelicato">
    <w:name w:val="Subtle Reference"/>
    <w:basedOn w:val="Carpredefinitoparagrafo"/>
    <w:uiPriority w:val="31"/>
    <w:qFormat/>
    <w:rsid w:val="00AA054E"/>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AA054E"/>
    <w:rPr>
      <w:b/>
      <w:bCs/>
      <w:smallCaps/>
      <w:spacing w:val="5"/>
      <w:u w:val="single"/>
    </w:rPr>
  </w:style>
  <w:style w:type="character" w:styleId="Titolodellibro">
    <w:name w:val="Book Title"/>
    <w:basedOn w:val="Carpredefinitoparagrafo"/>
    <w:uiPriority w:val="33"/>
    <w:qFormat/>
    <w:rsid w:val="00AA054E"/>
    <w:rPr>
      <w:b/>
      <w:bCs/>
      <w:smallCaps/>
    </w:rPr>
  </w:style>
  <w:style w:type="paragraph" w:styleId="Titolosommario">
    <w:name w:val="TOC Heading"/>
    <w:basedOn w:val="Titolo1"/>
    <w:next w:val="Normale"/>
    <w:uiPriority w:val="39"/>
    <w:unhideWhenUsed/>
    <w:qFormat/>
    <w:rsid w:val="00AA054E"/>
    <w:pPr>
      <w:outlineLvl w:val="9"/>
    </w:pPr>
  </w:style>
  <w:style w:type="character" w:customStyle="1" w:styleId="NessunaspaziaturaCarattere">
    <w:name w:val="Nessuna spaziatura Carattere"/>
    <w:basedOn w:val="Carpredefinitoparagrafo"/>
    <w:link w:val="Nessunaspaziatura"/>
    <w:uiPriority w:val="1"/>
    <w:rsid w:val="005B6B12"/>
    <w:rPr>
      <w:lang w:val="en-GB"/>
    </w:rPr>
  </w:style>
  <w:style w:type="paragraph" w:styleId="Intestazione">
    <w:name w:val="header"/>
    <w:basedOn w:val="Normale"/>
    <w:link w:val="IntestazioneCarattere"/>
    <w:unhideWhenUsed/>
    <w:qFormat/>
    <w:rsid w:val="007E7997"/>
    <w:pPr>
      <w:tabs>
        <w:tab w:val="center" w:pos="4536"/>
        <w:tab w:val="right" w:pos="9072"/>
      </w:tabs>
    </w:pPr>
  </w:style>
  <w:style w:type="character" w:customStyle="1" w:styleId="IntestazioneCarattere">
    <w:name w:val="Intestazione Carattere"/>
    <w:basedOn w:val="Carpredefinitoparagrafo"/>
    <w:link w:val="Intestazione"/>
    <w:rsid w:val="007E7997"/>
    <w:rPr>
      <w:sz w:val="22"/>
    </w:rPr>
  </w:style>
  <w:style w:type="paragraph" w:styleId="Pidipagina">
    <w:name w:val="footer"/>
    <w:basedOn w:val="Normale"/>
    <w:link w:val="PidipaginaCarattere"/>
    <w:uiPriority w:val="99"/>
    <w:unhideWhenUsed/>
    <w:rsid w:val="007E7997"/>
    <w:pPr>
      <w:tabs>
        <w:tab w:val="center" w:pos="4536"/>
        <w:tab w:val="right" w:pos="9072"/>
      </w:tabs>
    </w:pPr>
  </w:style>
  <w:style w:type="character" w:customStyle="1" w:styleId="PidipaginaCarattere">
    <w:name w:val="Piè di pagina Carattere"/>
    <w:basedOn w:val="Carpredefinitoparagrafo"/>
    <w:link w:val="Pidipagina"/>
    <w:uiPriority w:val="99"/>
    <w:rsid w:val="007E7997"/>
    <w:rPr>
      <w:sz w:val="22"/>
    </w:rPr>
  </w:style>
  <w:style w:type="paragraph" w:customStyle="1" w:styleId="00aPagenumber">
    <w:name w:val="00a_Page number"/>
    <w:basedOn w:val="Normale"/>
    <w:rsid w:val="007E7997"/>
    <w:pPr>
      <w:spacing w:line="280" w:lineRule="atLeast"/>
      <w:jc w:val="right"/>
    </w:pPr>
    <w:rPr>
      <w:rFonts w:ascii="Georgia" w:hAnsi="Georgia"/>
      <w:color w:val="000000"/>
      <w:lang w:eastAsia="de-DE"/>
    </w:rPr>
  </w:style>
  <w:style w:type="paragraph" w:customStyle="1" w:styleId="02Date">
    <w:name w:val="02_Date"/>
    <w:basedOn w:val="Normale"/>
    <w:rsid w:val="00636E02"/>
    <w:pPr>
      <w:spacing w:line="220" w:lineRule="exact"/>
    </w:pPr>
    <w:rPr>
      <w:rFonts w:ascii="Georgia" w:hAnsi="Georgia"/>
      <w:sz w:val="17"/>
      <w:lang w:eastAsia="de-DE"/>
    </w:rPr>
  </w:style>
  <w:style w:type="paragraph" w:styleId="Sommario1">
    <w:name w:val="toc 1"/>
    <w:basedOn w:val="Normale"/>
    <w:next w:val="Normale"/>
    <w:autoRedefine/>
    <w:uiPriority w:val="39"/>
    <w:unhideWhenUsed/>
    <w:rsid w:val="00B81A44"/>
    <w:pPr>
      <w:tabs>
        <w:tab w:val="left" w:pos="440"/>
        <w:tab w:val="right" w:leader="dot" w:pos="9062"/>
      </w:tabs>
      <w:spacing w:after="100"/>
    </w:pPr>
  </w:style>
  <w:style w:type="paragraph" w:styleId="Sommario2">
    <w:name w:val="toc 2"/>
    <w:basedOn w:val="Normale"/>
    <w:next w:val="Normale"/>
    <w:autoRedefine/>
    <w:uiPriority w:val="39"/>
    <w:unhideWhenUsed/>
    <w:rsid w:val="00BC422A"/>
    <w:pPr>
      <w:spacing w:after="100"/>
      <w:ind w:left="220"/>
    </w:pPr>
  </w:style>
  <w:style w:type="paragraph" w:styleId="Sommario3">
    <w:name w:val="toc 3"/>
    <w:basedOn w:val="Normale"/>
    <w:next w:val="Normale"/>
    <w:autoRedefine/>
    <w:uiPriority w:val="39"/>
    <w:unhideWhenUsed/>
    <w:rsid w:val="00BC422A"/>
    <w:pPr>
      <w:spacing w:after="100"/>
      <w:ind w:left="440"/>
    </w:pPr>
  </w:style>
  <w:style w:type="character" w:styleId="Collegamentoipertestuale">
    <w:name w:val="Hyperlink"/>
    <w:basedOn w:val="Carpredefinitoparagrafo"/>
    <w:uiPriority w:val="99"/>
    <w:unhideWhenUsed/>
    <w:rsid w:val="00BC422A"/>
    <w:rPr>
      <w:color w:val="0563C1" w:themeColor="hyperlink"/>
      <w:u w:val="single"/>
    </w:rPr>
  </w:style>
  <w:style w:type="paragraph" w:customStyle="1" w:styleId="Questionstyle">
    <w:name w:val="Question style"/>
    <w:basedOn w:val="Normale"/>
    <w:next w:val="Normale"/>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Carpredefinitoparagrafo"/>
    <w:link w:val="Questionstyle"/>
    <w:rsid w:val="00871163"/>
    <w:rPr>
      <w:rFonts w:eastAsia="Times New Roman" w:cstheme="minorHAnsi"/>
      <w:b/>
      <w:bCs/>
      <w:sz w:val="22"/>
      <w:szCs w:val="22"/>
      <w:lang w:val="en-GB" w:eastAsia="en-GB"/>
    </w:rPr>
  </w:style>
  <w:style w:type="paragraph" w:customStyle="1" w:styleId="Listing2">
    <w:name w:val="Listing2"/>
    <w:basedOn w:val="Normale"/>
    <w:link w:val="Listing2Char"/>
    <w:autoRedefine/>
    <w:rsid w:val="00DF3785"/>
  </w:style>
  <w:style w:type="character" w:customStyle="1" w:styleId="Listing2Char">
    <w:name w:val="Listing2 Char"/>
    <w:basedOn w:val="Carpredefinitoparagrafo"/>
    <w:link w:val="Listing2"/>
    <w:rsid w:val="00DF3785"/>
    <w:rPr>
      <w:lang w:val="en-GB"/>
    </w:rPr>
  </w:style>
  <w:style w:type="table" w:styleId="Grigliatabella">
    <w:name w:val="Table Grid"/>
    <w:basedOn w:val="Tabellanorma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iPriority w:val="99"/>
    <w:semiHidden/>
    <w:unhideWhenUsed/>
    <w:rsid w:val="00B50534"/>
  </w:style>
  <w:style w:type="character" w:customStyle="1" w:styleId="TestonotadichiusuraCarattere">
    <w:name w:val="Testo nota di chiusura Carattere"/>
    <w:basedOn w:val="Carpredefinitoparagrafo"/>
    <w:link w:val="Testonotadichiusura"/>
    <w:uiPriority w:val="99"/>
    <w:semiHidden/>
    <w:rsid w:val="00B50534"/>
    <w:rPr>
      <w:lang w:val="en-GB"/>
    </w:rPr>
  </w:style>
  <w:style w:type="character" w:styleId="Rimandonotadichiusura">
    <w:name w:val="endnote reference"/>
    <w:basedOn w:val="Carpredefinitoparagrafo"/>
    <w:uiPriority w:val="99"/>
    <w:semiHidden/>
    <w:unhideWhenUsed/>
    <w:rsid w:val="00B50534"/>
    <w:rPr>
      <w:vertAlign w:val="superscript"/>
    </w:rPr>
  </w:style>
  <w:style w:type="paragraph" w:styleId="Testonotaapidipagina">
    <w:name w:val="footnote text"/>
    <w:basedOn w:val="Normale"/>
    <w:link w:val="TestonotaapidipaginaCarattere"/>
    <w:autoRedefine/>
    <w:uiPriority w:val="99"/>
    <w:semiHidden/>
    <w:unhideWhenUsed/>
    <w:qFormat/>
    <w:rsid w:val="006F53E8"/>
    <w:rPr>
      <w:sz w:val="16"/>
    </w:rPr>
  </w:style>
  <w:style w:type="character" w:customStyle="1" w:styleId="TestonotaapidipaginaCarattere">
    <w:name w:val="Testo nota a piè di pagina Carattere"/>
    <w:basedOn w:val="Carpredefinitoparagrafo"/>
    <w:link w:val="Testonotaapidipagina"/>
    <w:uiPriority w:val="99"/>
    <w:semiHidden/>
    <w:rsid w:val="006F53E8"/>
    <w:rPr>
      <w:sz w:val="16"/>
      <w:lang w:val="en-GB"/>
    </w:rPr>
  </w:style>
  <w:style w:type="character" w:styleId="Rimandonotaapidipagina">
    <w:name w:val="footnote reference"/>
    <w:aliases w:val="SUPERS,Footnote reference number,Footnote symbol,note TESI,-E Fußnotenzeichen,number,BVI fnr,Footnote Reference Superscript,(Footnote Reference),EN Footnote Reference,Voetnootverwijzing,Times 10 Point,Exposant 3 Poi,16 Point"/>
    <w:basedOn w:val="Carpredefinitoparagrafo"/>
    <w:uiPriority w:val="99"/>
    <w:unhideWhenUsed/>
    <w:qFormat/>
    <w:rsid w:val="00A91D91"/>
    <w:rPr>
      <w:rFonts w:asciiTheme="majorHAnsi" w:hAnsiTheme="majorHAnsi"/>
      <w:sz w:val="16"/>
      <w:vertAlign w:val="superscript"/>
    </w:rPr>
  </w:style>
  <w:style w:type="paragraph" w:customStyle="1" w:styleId="Footnote">
    <w:name w:val="Footnote"/>
    <w:basedOn w:val="Testonotaapidipagina"/>
    <w:link w:val="FootnoteChar"/>
    <w:rsid w:val="00B50534"/>
    <w:rPr>
      <w:lang w:val="nl-BE"/>
    </w:rPr>
  </w:style>
  <w:style w:type="character" w:customStyle="1" w:styleId="FootnoteChar">
    <w:name w:val="Footnote Char"/>
    <w:basedOn w:val="TestonotaapidipaginaCarattere"/>
    <w:link w:val="Footnote"/>
    <w:rsid w:val="00B50534"/>
    <w:rPr>
      <w:sz w:val="16"/>
      <w:lang w:val="en-GB"/>
    </w:rPr>
  </w:style>
  <w:style w:type="table" w:customStyle="1" w:styleId="GridTable4-Accent11">
    <w:name w:val="Grid Table 4 - Accent 11"/>
    <w:basedOn w:val="Tabellanorma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e"/>
    <w:rsid w:val="00287C8F"/>
    <w:pPr>
      <w:numPr>
        <w:numId w:val="5"/>
      </w:numPr>
      <w:tabs>
        <w:tab w:val="clear" w:pos="284"/>
        <w:tab w:val="num" w:pos="567"/>
      </w:tabs>
      <w:ind w:left="567" w:hanging="454"/>
    </w:pPr>
    <w:rPr>
      <w:rFonts w:ascii="Georgia" w:hAnsi="Georgia"/>
      <w:sz w:val="20"/>
      <w:lang w:eastAsia="de-DE"/>
    </w:rPr>
  </w:style>
  <w:style w:type="paragraph" w:styleId="Testofumetto">
    <w:name w:val="Balloon Text"/>
    <w:basedOn w:val="Normale"/>
    <w:link w:val="TestofumettoCarattere"/>
    <w:uiPriority w:val="99"/>
    <w:semiHidden/>
    <w:unhideWhenUsed/>
    <w:rsid w:val="003C167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C167E"/>
    <w:rPr>
      <w:rFonts w:ascii="Tahoma" w:hAnsi="Tahoma" w:cs="Tahoma"/>
      <w:sz w:val="16"/>
      <w:szCs w:val="16"/>
      <w:lang w:val="en-GB"/>
    </w:rPr>
  </w:style>
  <w:style w:type="character" w:styleId="Rimandocommento">
    <w:name w:val="annotation reference"/>
    <w:basedOn w:val="Carpredefinitoparagrafo"/>
    <w:uiPriority w:val="99"/>
    <w:semiHidden/>
    <w:unhideWhenUsed/>
    <w:rsid w:val="00FA2400"/>
    <w:rPr>
      <w:sz w:val="16"/>
      <w:szCs w:val="16"/>
    </w:rPr>
  </w:style>
  <w:style w:type="paragraph" w:styleId="Testocommento">
    <w:name w:val="annotation text"/>
    <w:basedOn w:val="Normale"/>
    <w:link w:val="TestocommentoCarattere"/>
    <w:uiPriority w:val="99"/>
    <w:unhideWhenUsed/>
    <w:rsid w:val="00FA2400"/>
    <w:rPr>
      <w:sz w:val="20"/>
    </w:rPr>
  </w:style>
  <w:style w:type="character" w:customStyle="1" w:styleId="TestocommentoCarattere">
    <w:name w:val="Testo commento Carattere"/>
    <w:basedOn w:val="Carpredefinitoparagrafo"/>
    <w:link w:val="Testocommento"/>
    <w:uiPriority w:val="99"/>
    <w:rsid w:val="00FA2400"/>
    <w:rPr>
      <w:lang w:val="en-GB"/>
    </w:rPr>
  </w:style>
  <w:style w:type="paragraph" w:styleId="Soggettocommento">
    <w:name w:val="annotation subject"/>
    <w:basedOn w:val="Testocommento"/>
    <w:next w:val="Testocommento"/>
    <w:link w:val="SoggettocommentoCarattere"/>
    <w:uiPriority w:val="99"/>
    <w:semiHidden/>
    <w:unhideWhenUsed/>
    <w:rsid w:val="00FA2400"/>
    <w:rPr>
      <w:b/>
      <w:bCs/>
    </w:rPr>
  </w:style>
  <w:style w:type="character" w:customStyle="1" w:styleId="SoggettocommentoCarattere">
    <w:name w:val="Soggetto commento Carattere"/>
    <w:basedOn w:val="TestocommentoCarattere"/>
    <w:link w:val="Soggettocommento"/>
    <w:uiPriority w:val="99"/>
    <w:semiHidden/>
    <w:rsid w:val="00FA2400"/>
    <w:rPr>
      <w:b/>
      <w:bCs/>
      <w:lang w:val="en-GB"/>
    </w:rPr>
  </w:style>
  <w:style w:type="paragraph" w:styleId="Revisione">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Collegamentovisitato">
    <w:name w:val="FollowedHyperlink"/>
    <w:basedOn w:val="Carpredefinitoparagrafo"/>
    <w:uiPriority w:val="99"/>
    <w:semiHidden/>
    <w:unhideWhenUsed/>
    <w:rsid w:val="007B354B"/>
    <w:rPr>
      <w:color w:val="954F72" w:themeColor="followedHyperlink"/>
      <w:u w:val="single"/>
    </w:rPr>
  </w:style>
  <w:style w:type="paragraph" w:styleId="NormaleWeb">
    <w:name w:val="Normal (Web)"/>
    <w:basedOn w:val="Normale"/>
    <w:uiPriority w:val="99"/>
    <w:unhideWhenUsed/>
    <w:rsid w:val="00B424F5"/>
    <w:pPr>
      <w:spacing w:before="100" w:beforeAutospacing="1" w:after="100" w:afterAutospacing="1"/>
    </w:pPr>
  </w:style>
  <w:style w:type="character" w:customStyle="1" w:styleId="outputecliaff">
    <w:name w:val="outputecliaff"/>
    <w:basedOn w:val="Carpredefinitoparagrafo"/>
    <w:rsid w:val="00595F08"/>
  </w:style>
  <w:style w:type="paragraph" w:customStyle="1" w:styleId="05HeadlinenoIndex">
    <w:name w:val="05_Headline no Index"/>
    <w:basedOn w:val="Normale"/>
    <w:rsid w:val="005C7E1F"/>
    <w:pPr>
      <w:spacing w:after="250" w:line="300" w:lineRule="exact"/>
      <w:jc w:val="both"/>
    </w:pPr>
    <w:rPr>
      <w:rFonts w:ascii="Georgia" w:hAnsi="Georgia"/>
      <w:b/>
      <w:lang w:eastAsia="de-DE"/>
    </w:rPr>
  </w:style>
  <w:style w:type="paragraph" w:customStyle="1" w:styleId="04BodyText">
    <w:name w:val="04_Body Text"/>
    <w:basedOn w:val="Normale"/>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ellanormale"/>
    <w:next w:val="Grigliatabella"/>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lanormale"/>
    <w:next w:val="Grigliatabella"/>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Paragraphe EI Carattere,Paragraphe de liste1 Carattere,EC Carattere,Paragraphe de liste Carattere,Normal Nivel 1 Carattere,List Paragraph Main Carattere,List first level Carattere,List Paragraph_Sections Carattere"/>
    <w:basedOn w:val="Carpredefinitoparagrafo"/>
    <w:link w:val="Paragrafoelenco"/>
    <w:uiPriority w:val="34"/>
    <w:rsid w:val="00695AF2"/>
    <w:rPr>
      <w:rFonts w:eastAsiaTheme="majorEastAsia" w:cstheme="minorHAnsi"/>
      <w:sz w:val="22"/>
      <w:szCs w:val="22"/>
      <w:lang w:val="en-GB" w:eastAsia="en-GB"/>
    </w:rPr>
  </w:style>
  <w:style w:type="table" w:customStyle="1" w:styleId="TableGrid3">
    <w:name w:val="Table Grid3"/>
    <w:basedOn w:val="Tabellanormale"/>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lanormale"/>
    <w:next w:val="Grigliatabella"/>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Enfasigrassetto"/>
    <w:uiPriority w:val="1"/>
    <w:qFormat/>
    <w:rsid w:val="00FA64BE"/>
    <w:rPr>
      <w:b w:val="0"/>
      <w:bCs/>
      <w:caps/>
      <w:smallCaps w:val="0"/>
      <w:color w:val="70AD47" w:themeColor="accent6"/>
      <w:sz w:val="22"/>
    </w:rPr>
  </w:style>
  <w:style w:type="paragraph" w:customStyle="1" w:styleId="Paragraph">
    <w:name w:val="Paragraph"/>
    <w:basedOn w:val="Paragrafoelenco"/>
    <w:link w:val="ParagraphChar"/>
    <w:qFormat/>
    <w:rsid w:val="00CB0C0C"/>
    <w:pPr>
      <w:numPr>
        <w:numId w:val="32"/>
      </w:numPr>
      <w:tabs>
        <w:tab w:val="clear" w:pos="0"/>
        <w:tab w:val="clear" w:pos="142"/>
        <w:tab w:val="clear" w:pos="284"/>
        <w:tab w:val="clear" w:pos="567"/>
      </w:tabs>
      <w:autoSpaceDE/>
      <w:autoSpaceDN/>
      <w:adjustRightInd/>
      <w:spacing w:before="120" w:after="120" w:line="276" w:lineRule="auto"/>
      <w:textAlignment w:val="baseline"/>
    </w:pPr>
    <w:rPr>
      <w:rFonts w:ascii="Arial" w:eastAsiaTheme="minorEastAsia" w:hAnsi="Arial" w:cs="Arial"/>
      <w:color w:val="1A1A1A" w:themeColor="background1" w:themeShade="1A"/>
    </w:rPr>
  </w:style>
  <w:style w:type="character" w:customStyle="1" w:styleId="ParagraphChar">
    <w:name w:val="Paragraph Char"/>
    <w:basedOn w:val="Carpredefinitoparagrafo"/>
    <w:link w:val="Paragraph"/>
    <w:rsid w:val="00CB0C0C"/>
    <w:rPr>
      <w:rFonts w:ascii="Arial" w:hAnsi="Arial" w:cs="Arial"/>
      <w:color w:val="1A1A1A" w:themeColor="background1" w:themeShade="1A"/>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084644">
      <w:bodyDiv w:val="1"/>
      <w:marLeft w:val="0"/>
      <w:marRight w:val="0"/>
      <w:marTop w:val="0"/>
      <w:marBottom w:val="0"/>
      <w:divBdr>
        <w:top w:val="none" w:sz="0" w:space="0" w:color="auto"/>
        <w:left w:val="none" w:sz="0" w:space="0" w:color="auto"/>
        <w:bottom w:val="none" w:sz="0" w:space="0" w:color="auto"/>
        <w:right w:val="none" w:sz="0" w:space="0" w:color="auto"/>
      </w:divBdr>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672097625">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0fb0f98-34f9-4d57-9559-eb8efd17aa5e">ESMA84-2037069784-2285</_dlc_DocId>
    <TaxCatchAll xmlns="d0fb0f98-34f9-4d57-9559-eb8efd17aa5e">
      <Value>425</Value>
      <Value>500</Value>
      <Value>9</Value>
      <Value>8</Value>
      <Value>86</Value>
    </TaxCatchAll>
    <_dlc_DocIdUrl xmlns="d0fb0f98-34f9-4d57-9559-eb8efd17aa5e">
      <Url>https://securitiesandmarketsauth.sharepoint.com/sites/sherpa-craunit/_layouts/15/DocIdRedir.aspx?ID=ESMA84-2037069784-2285</Url>
      <Description>ESMA84-2037069784-2285</Description>
    </_dlc_DocIdUrl>
    <Year xmlns="d0fb0f98-34f9-4d57-9559-eb8efd17aa5e">2024</Year>
    <MeetingDate xmlns="d0fb0f98-34f9-4d57-9559-eb8efd17aa5e" xsi:nil="true"/>
    <dd0664d3f47447a8943f346211d0253e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dd0664d3f47447a8943f346211d0253e>
    <f289fbc384b1484ea5f6ff6b522b513c xmlns="d0fb0f98-34f9-4d57-9559-eb8efd17aa5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f289fbc384b1484ea5f6ff6b522b513c>
    <ab8b5864a6dc4f2ea5aeb44d6d375f74 xmlns="d0fb0f98-34f9-4d57-9559-eb8efd17aa5e">
      <Terms xmlns="http://schemas.microsoft.com/office/infopath/2007/PartnerControls">
        <TermInfo xmlns="http://schemas.microsoft.com/office/infopath/2007/PartnerControls">
          <TermName xmlns="http://schemas.microsoft.com/office/infopath/2007/PartnerControls">European Green Bonds</TermName>
          <TermId xmlns="http://schemas.microsoft.com/office/infopath/2007/PartnerControls">f68cfe7f-8b0c-4445-b5d7-ad808afd8270</TermId>
        </TermInfo>
      </Terms>
    </ab8b5864a6dc4f2ea5aeb44d6d375f74>
    <i3322e601ac8421cbd1b686355963f37 xmlns="d0fb0f98-34f9-4d57-9559-eb8efd17aa5e">
      <Terms xmlns="http://schemas.microsoft.com/office/infopath/2007/PartnerControls">
        <TermInfo xmlns="http://schemas.microsoft.com/office/infopath/2007/PartnerControls">
          <TermName xmlns="http://schemas.microsoft.com/office/infopath/2007/PartnerControls">Credit Ratings Agency Unit</TermName>
          <TermId xmlns="http://schemas.microsoft.com/office/infopath/2007/PartnerControls">ac587c9e-f6a3-4205-8197-96cf16201777</TermId>
        </TermInfo>
      </Terms>
    </i3322e601ac8421cbd1b686355963f37>
    <k47b2c662a4d451c94b6991b27ccdf61 xmlns="d0fb0f98-34f9-4d57-9559-eb8efd17aa5e">
      <Terms xmlns="http://schemas.microsoft.com/office/infopath/2007/PartnerControls">
        <TermInfo xmlns="http://schemas.microsoft.com/office/infopath/2007/PartnerControls">
          <TermName xmlns="http://schemas.microsoft.com/office/infopath/2007/PartnerControls">Qualification of crypto-assets - ESMA Guidelines on classification</TermName>
          <TermId xmlns="http://schemas.microsoft.com/office/infopath/2007/PartnerControls">4332d316-c095-4f91-9af2-56426177b6b7</TermId>
        </TermInfo>
      </Terms>
    </k47b2c662a4d451c94b6991b27ccdf61>
    <hb56520e44e642c88c7a09896d1bc2ee xmlns="d0fb0f98-34f9-4d57-9559-eb8efd17aa5e">
      <Terms xmlns="http://schemas.microsoft.com/office/infopath/2007/PartnerControls"/>
    </hb56520e44e642c88c7a09896d1bc2e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olicy Document" ma:contentTypeID="0x01010027D61B08324E424895FDA0DDD821312D02001CC94A2DC0878047AC79B02E1A10AE02" ma:contentTypeVersion="26" ma:contentTypeDescription="" ma:contentTypeScope="" ma:versionID="6f488500bae95708088b3fc3aa0ff7d6">
  <xsd:schema xmlns:xsd="http://www.w3.org/2001/XMLSchema" xmlns:xs="http://www.w3.org/2001/XMLSchema" xmlns:p="http://schemas.microsoft.com/office/2006/metadata/properties" xmlns:ns2="d0fb0f98-34f9-4d57-9559-eb8efd17aa5e" xmlns:ns3="85a93b33-139e-46e0-b278-f2636ec41d6c" xmlns:ns4="http://schemas.microsoft.com/sharepoint/v4" targetNamespace="http://schemas.microsoft.com/office/2006/metadata/properties" ma:root="true" ma:fieldsID="3df2a5322de19772e33045280ac2c293" ns2:_="" ns3:_="" ns4:_="">
    <xsd:import namespace="d0fb0f98-34f9-4d57-9559-eb8efd17aa5e"/>
    <xsd:import namespace="85a93b33-139e-46e0-b278-f2636ec41d6c"/>
    <xsd:import namespace="http://schemas.microsoft.com/sharepoint/v4"/>
    <xsd:element name="properties">
      <xsd:complexType>
        <xsd:sequence>
          <xsd:element name="documentManagement">
            <xsd:complexType>
              <xsd:all>
                <xsd:element ref="ns2:Year"/>
                <xsd:element ref="ns2:MeetingDate" minOccurs="0"/>
                <xsd:element ref="ns2:TaxCatchAll" minOccurs="0"/>
                <xsd:element ref="ns2:f289fbc384b1484ea5f6ff6b522b513c" minOccurs="0"/>
                <xsd:element ref="ns2:TaxCatchAllLabel" minOccurs="0"/>
                <xsd:element ref="ns2:dd0664d3f47447a8943f346211d0253e" minOccurs="0"/>
                <xsd:element ref="ns2:hb56520e44e642c88c7a09896d1bc2ee" minOccurs="0"/>
                <xsd:element ref="ns2:ab8b5864a6dc4f2ea5aeb44d6d375f74" minOccurs="0"/>
                <xsd:element ref="ns2:k47b2c662a4d451c94b6991b27ccdf61" minOccurs="0"/>
                <xsd:element ref="ns2:i3322e601ac8421cbd1b686355963f37"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4:IconOverla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5b907423-e2da-4975-b472-6afe0f796169}"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f289fbc384b1484ea5f6ff6b522b513c" ma:index="17" nillable="true" ma:taxonomy="true" ma:internalName="f289fbc384b1484ea5f6ff6b522b513c" ma:taxonomyFieldName="DocumentType" ma:displayName="Document Type" ma:readOnly="false" ma:default="-1;#Note|b9e1c92e-303a-4555-86f0-5c711c65937e" ma:fieldId="{f289fbc3-84b1-484e-a5f6-ff6b522b513c}"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5b907423-e2da-4975-b472-6afe0f796169}"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dd0664d3f47447a8943f346211d0253e" ma:index="19" ma:taxonomy="true" ma:internalName="dd0664d3f47447a8943f346211d0253e" ma:taxonomyFieldName="ConfidentialityLevel" ma:displayName="Confidentiality Level" ma:readOnly="false" ma:default="8;#Regular|07f1e362-856b-423d-bea6-a14079762141" ma:fieldId="{dd0664d3-f474-47a8-943f-346211d0253e}"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hb56520e44e642c88c7a09896d1bc2ee" ma:index="20" nillable="true" ma:taxonomy="true" ma:internalName="hb56520e44e642c88c7a09896d1bc2ee" ma:taxonomyFieldName="EsmaAudience" ma:displayName="Audience" ma:readOnly="false" ma:fieldId="{1b56520e-44e6-42c8-8c7a-09896d1bc2ee}"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ab8b5864a6dc4f2ea5aeb44d6d375f74" ma:index="21" nillable="true" ma:taxonomy="true" ma:internalName="ab8b5864a6dc4f2ea5aeb44d6d375f74" ma:taxonomyFieldName="Topic" ma:displayName="Topic" ma:readOnly="false" ma:default="" ma:fieldId="{ab8b5864-a6dc-4f2e-a5ae-b44d6d375f74}" ma:sspId="d4b01e31-ead0-4f68-a8e9-2aaca35f2e62" ma:termSetId="62b2e372-4427-4135-8089-e892b057348d" ma:anchorId="00000000-0000-0000-0000-000000000000" ma:open="true" ma:isKeyword="false">
      <xsd:complexType>
        <xsd:sequence>
          <xsd:element ref="pc:Terms" minOccurs="0" maxOccurs="1"/>
        </xsd:sequence>
      </xsd:complexType>
    </xsd:element>
    <xsd:element name="k47b2c662a4d451c94b6991b27ccdf61" ma:index="22" nillable="true" ma:taxonomy="true" ma:internalName="k47b2c662a4d451c94b6991b27ccdf61" ma:taxonomyFieldName="SubTopic" ma:displayName="Sub Topic" ma:readOnly="false" ma:default="" ma:fieldId="{447b2c66-2a4d-451c-94b6-991b27ccdf61}" ma:sspId="d4b01e31-ead0-4f68-a8e9-2aaca35f2e62" ma:termSetId="714f31ba-385c-4cd5-bfdf-fc4e6400a430" ma:anchorId="00000000-0000-0000-0000-000000000000" ma:open="true" ma:isKeyword="false">
      <xsd:complexType>
        <xsd:sequence>
          <xsd:element ref="pc:Terms" minOccurs="0" maxOccurs="1"/>
        </xsd:sequence>
      </xsd:complexType>
    </xsd:element>
    <xsd:element name="i3322e601ac8421cbd1b686355963f37" ma:index="23" nillable="true" ma:taxonomy="true" ma:internalName="i3322e601ac8421cbd1b686355963f37" ma:taxonomyFieldName="TeamName" ma:displayName="Team Name" ma:readOnly="false" ma:fieldId="{23322e60-1ac8-421c-bd1b-686355963f37}"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a93b33-139e-46e0-b278-f2636ec41d6c"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d0fb0f98-34f9-4d57-9559-eb8efd17aa5e"/>
    <ds:schemaRef ds:uri="http://schemas.microsoft.com/sharepoint/v4"/>
  </ds:schemaRefs>
</ds:datastoreItem>
</file>

<file path=customXml/itemProps3.xml><?xml version="1.0" encoding="utf-8"?>
<ds:datastoreItem xmlns:ds="http://schemas.openxmlformats.org/officeDocument/2006/customXml" ds:itemID="{A2427B20-4B54-4527-A38C-7303C74BA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85a93b33-139e-46e0-b278-f2636ec41d6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4FA6A0-161D-491E-A20C-FF2A62A7B680}">
  <ds:schemaRefs>
    <ds:schemaRef ds:uri="http://schemas.microsoft.com/sharepoint/events"/>
  </ds:schemaRefs>
</ds:datastoreItem>
</file>

<file path=customXml/itemProps5.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6</TotalTime>
  <Pages>8</Pages>
  <Words>2037</Words>
  <Characters>11612</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ESMA</Company>
  <LinksUpToDate>false</LinksUpToDate>
  <CharactersWithSpaces>13622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Utente</cp:lastModifiedBy>
  <cp:revision>4</cp:revision>
  <cp:lastPrinted>2017-07-24T14:47:00Z</cp:lastPrinted>
  <dcterms:created xsi:type="dcterms:W3CDTF">2025-06-18T08:45:00Z</dcterms:created>
  <dcterms:modified xsi:type="dcterms:W3CDTF">2025-06-18T10:20:00Z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8;#Regular|07f1e362-856b-423d-bea6-a14079762141</vt:lpwstr>
  </property>
  <property fmtid="{D5CDD505-2E9C-101B-9397-08002B2CF9AE}" pid="4" name="ContentTypeId">
    <vt:lpwstr>0x01010027D61B08324E424895FDA0DDD821312D02001CC94A2DC0878047AC79B02E1A10AE02</vt:lpwstr>
  </property>
  <property fmtid="{D5CDD505-2E9C-101B-9397-08002B2CF9AE}" pid="5" name="_dlc_DocIdItemGuid">
    <vt:lpwstr>374eb300-0e59-42cf-be6a-f8786a7b085e</vt:lpwstr>
  </property>
  <property fmtid="{D5CDD505-2E9C-101B-9397-08002B2CF9AE}" pid="6" name="DocumentType">
    <vt:lpwstr>86;#Report|78753201-1e9e-4a21-a088-6ff602b5c999</vt:lpwstr>
  </property>
  <property fmtid="{D5CDD505-2E9C-101B-9397-08002B2CF9AE}" pid="7" name="Topic">
    <vt:lpwstr>425;#European Green Bonds|f68cfe7f-8b0c-4445-b5d7-ad808afd8270</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9;#Credit Ratings Agency Unit|ac587c9e-f6a3-4205-8197-96cf16201777</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500;#Qualification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y fmtid="{D5CDD505-2E9C-101B-9397-08002B2CF9AE}" pid="21" name="MSIP_Label_e5413819-eea3-48a9-a4ad-6a99e0a978e6_Enabled">
    <vt:lpwstr>True</vt:lpwstr>
  </property>
  <property fmtid="{D5CDD505-2E9C-101B-9397-08002B2CF9AE}" pid="22" name="MSIP_Label_e5413819-eea3-48a9-a4ad-6a99e0a978e6_SiteId">
    <vt:lpwstr>e406f268-4ae7-4c80-8994-02493da00c03</vt:lpwstr>
  </property>
  <property fmtid="{D5CDD505-2E9C-101B-9397-08002B2CF9AE}" pid="23" name="MSIP_Label_e5413819-eea3-48a9-a4ad-6a99e0a978e6_SetDate">
    <vt:lpwstr>2025-05-02T09:49:13Z</vt:lpwstr>
  </property>
  <property fmtid="{D5CDD505-2E9C-101B-9397-08002B2CF9AE}" pid="24" name="MSIP_Label_e5413819-eea3-48a9-a4ad-6a99e0a978e6_Name">
    <vt:lpwstr>Generic</vt:lpwstr>
  </property>
  <property fmtid="{D5CDD505-2E9C-101B-9397-08002B2CF9AE}" pid="25" name="MSIP_Label_e5413819-eea3-48a9-a4ad-6a99e0a978e6_ActionId">
    <vt:lpwstr>80c57b31-08da-4cb1-bed9-328fd72d4919</vt:lpwstr>
  </property>
  <property fmtid="{D5CDD505-2E9C-101B-9397-08002B2CF9AE}" pid="26" name="MSIP_Label_e5413819-eea3-48a9-a4ad-6a99e0a978e6_Removed">
    <vt:lpwstr>False</vt:lpwstr>
  </property>
  <property fmtid="{D5CDD505-2E9C-101B-9397-08002B2CF9AE}" pid="27" name="MSIP_Label_e5413819-eea3-48a9-a4ad-6a99e0a978e6_Parent">
    <vt:lpwstr/>
  </property>
  <property fmtid="{D5CDD505-2E9C-101B-9397-08002B2CF9AE}" pid="28" name="MSIP_Label_e5413819-eea3-48a9-a4ad-6a99e0a978e6_Extended_MSFT_Method">
    <vt:lpwstr>Standard</vt:lpwstr>
  </property>
  <property fmtid="{D5CDD505-2E9C-101B-9397-08002B2CF9AE}" pid="29" name="Sensitivity">
    <vt:lpwstr>Generic</vt:lpwstr>
  </property>
</Properties>
</file>