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6ED64E55"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62E1A5FB" w:rsidR="00635BCA" w:rsidRPr="00557BD2" w:rsidRDefault="00592D7D" w:rsidP="00D21C35">
                <w:r>
                  <w:t>German Investment Funds Association BVI</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7F51BD2E" w:rsidR="00B17279" w:rsidRDefault="009A34E4"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5DBDA6A0" w:rsidR="00B17279" w:rsidRPr="00557BD2" w:rsidRDefault="00E132AF" w:rsidP="00B17279">
                <w:r>
                  <w:t>Germany</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berschrift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37ADAADA" w14:textId="77777777" w:rsidR="009A34E4" w:rsidRPr="003D1125" w:rsidRDefault="009A34E4" w:rsidP="009A34E4">
      <w:pPr>
        <w:pStyle w:val="Standa1"/>
        <w:spacing w:after="0" w:line="288" w:lineRule="auto"/>
        <w:rPr>
          <w:rFonts w:ascii="Arial" w:hAnsi="Arial" w:cs="Arial"/>
          <w:sz w:val="20"/>
          <w:szCs w:val="20"/>
          <w:lang w:val="en-GB"/>
        </w:rPr>
      </w:pPr>
      <w:permStart w:id="380310048" w:edGrp="everyone"/>
      <w:r w:rsidRPr="003D1125">
        <w:rPr>
          <w:rFonts w:ascii="Arial" w:hAnsi="Arial" w:cs="Arial"/>
          <w:sz w:val="20"/>
          <w:szCs w:val="20"/>
          <w:lang w:val="en-GB"/>
        </w:rPr>
        <w:t xml:space="preserve">We agree with the proposal. </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6C3BA088" w14:textId="4E7CD088" w:rsidR="005E6AB9" w:rsidRDefault="009A34E4" w:rsidP="009A34E4">
      <w:pPr>
        <w:pStyle w:val="Standa1"/>
        <w:spacing w:after="0" w:line="288" w:lineRule="auto"/>
      </w:pPr>
      <w:permStart w:id="169040581" w:edGrp="everyone"/>
      <w:r w:rsidRPr="003D1125">
        <w:rPr>
          <w:rFonts w:ascii="Arial" w:hAnsi="Arial" w:cs="Arial"/>
          <w:sz w:val="20"/>
          <w:szCs w:val="20"/>
          <w:lang w:val="en-GB"/>
        </w:rPr>
        <w:t xml:space="preserve">We agree with the proposal. </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6B724A9E" w14:textId="77777777" w:rsidR="009A34E4" w:rsidRPr="003D1125" w:rsidRDefault="009A34E4" w:rsidP="009A34E4">
      <w:pPr>
        <w:spacing w:line="288" w:lineRule="auto"/>
        <w:jc w:val="left"/>
        <w:rPr>
          <w:rFonts w:eastAsia="Cambria" w:cs="Arial"/>
          <w:sz w:val="20"/>
        </w:rPr>
      </w:pPr>
      <w:permStart w:id="56697520" w:edGrp="everyone"/>
      <w:r w:rsidRPr="003D1125">
        <w:rPr>
          <w:rFonts w:eastAsia="Cambria" w:cs="Arial"/>
          <w:sz w:val="20"/>
        </w:rPr>
        <w:t xml:space="preserve">We strongly disagree with proposed new threshold for the uncleared position. </w:t>
      </w:r>
    </w:p>
    <w:p w14:paraId="57DFAE2D" w14:textId="77777777" w:rsidR="009A34E4" w:rsidRPr="003D1125" w:rsidRDefault="009A34E4" w:rsidP="009A34E4">
      <w:pPr>
        <w:spacing w:line="288" w:lineRule="auto"/>
        <w:jc w:val="left"/>
        <w:rPr>
          <w:rFonts w:cs="Arial"/>
          <w:sz w:val="20"/>
        </w:rPr>
      </w:pPr>
      <w:r w:rsidRPr="003D1125">
        <w:rPr>
          <w:rFonts w:cs="Arial"/>
          <w:sz w:val="20"/>
        </w:rPr>
        <w:lastRenderedPageBreak/>
        <w:t xml:space="preserve">We strongly support within EMIR Refit – introduced in 2019 - the option to relieve Small Financial Counterparties (SFC) with a limited clearing volume from the clearing obligation by introducing a clearing threshold. We strongly confirm the evidence provided within the EMIR Refit process and in the ESMA discussion paper that for the smallest financial counterparties with a limited clearing volume such as many UCITS/AIFs it is economically unfeasible to fulfil the clearing obligation. Such UCITS/AIFs do not pose any important systemic risk for the financial system. The vast majority of regulated (German) investment funds (UCITS/AIF) belong to the clearing category “Small Financial Counterparty”. Only a few funds are above the EUR 8 billion thresholds calculated individually at fund level and are therefore classified within category (2). </w:t>
      </w:r>
    </w:p>
    <w:p w14:paraId="51F6C9A5" w14:textId="77777777" w:rsidR="009A34E4" w:rsidRPr="003D1125" w:rsidRDefault="009A34E4" w:rsidP="009A34E4">
      <w:pPr>
        <w:spacing w:line="288" w:lineRule="auto"/>
        <w:jc w:val="left"/>
        <w:rPr>
          <w:rFonts w:cs="Arial"/>
          <w:sz w:val="20"/>
        </w:rPr>
      </w:pPr>
      <w:r w:rsidRPr="003D1125">
        <w:rPr>
          <w:rFonts w:cs="Arial"/>
          <w:sz w:val="20"/>
        </w:rPr>
        <w:t xml:space="preserve">Some of our biggest members with a large exposure in ETDs and OTC derivative products are already connected via a clearing broker to a CCP and clear OTC eligible products in line with the EMIR clearing obligation. Furthermore, they could also clear on a voluntary basis OTC derivative instrument which are currently not mandated according to the clearing obligation. </w:t>
      </w:r>
    </w:p>
    <w:p w14:paraId="130ABCF5" w14:textId="77777777" w:rsidR="009A34E4" w:rsidRPr="003D1125" w:rsidRDefault="009A34E4" w:rsidP="009A34E4">
      <w:pPr>
        <w:spacing w:line="288" w:lineRule="auto"/>
        <w:jc w:val="left"/>
        <w:rPr>
          <w:rFonts w:cs="Arial"/>
          <w:sz w:val="20"/>
        </w:rPr>
      </w:pPr>
      <w:r w:rsidRPr="003D1125">
        <w:rPr>
          <w:rFonts w:cs="Arial"/>
          <w:sz w:val="20"/>
        </w:rPr>
        <w:t xml:space="preserve">However, our members with a limited volume of clearing activity face generally difficulties to find clearing members willing to set up legal and operational arrangements with SFC funds, accessing a CCP. The negotiation power of Small Financial Counterparties is limited when interacting with clearing members. Furthermore, many clearing members are less willing to offer client clearing services beyond their most important and biggest clients largely due to the stringent capital requirements applicable to them (e.g. BCBS Leverage Ratio). </w:t>
      </w:r>
    </w:p>
    <w:p w14:paraId="75B5021A" w14:textId="77777777" w:rsidR="009A34E4" w:rsidRPr="003D1125" w:rsidRDefault="009A34E4" w:rsidP="009A34E4">
      <w:pPr>
        <w:spacing w:line="288" w:lineRule="auto"/>
        <w:jc w:val="left"/>
        <w:rPr>
          <w:rFonts w:cs="Arial"/>
          <w:sz w:val="20"/>
        </w:rPr>
      </w:pPr>
      <w:r w:rsidRPr="003D1125">
        <w:rPr>
          <w:rFonts w:cs="Arial"/>
          <w:sz w:val="20"/>
        </w:rPr>
        <w:t xml:space="preserve">Most clearing members do generally not offer a cost-effective client clearing model which provide a viable solution to our small and medium-sized member firms. Due to the low number of transactions and the limited clearing volume executed by our small and medium sized members, using a clearing member will be disproportionately expensive as high basic fees are charged independently of the transaction fees. </w:t>
      </w:r>
    </w:p>
    <w:p w14:paraId="7E77CE1E" w14:textId="77777777" w:rsidR="009A34E4" w:rsidRPr="003D1125" w:rsidRDefault="009A34E4" w:rsidP="009A34E4">
      <w:pPr>
        <w:spacing w:line="288" w:lineRule="auto"/>
        <w:jc w:val="left"/>
        <w:rPr>
          <w:rFonts w:cs="Arial"/>
          <w:b/>
          <w:bCs/>
          <w:sz w:val="20"/>
        </w:rPr>
      </w:pPr>
      <w:r w:rsidRPr="003D1125">
        <w:rPr>
          <w:rFonts w:cs="Arial"/>
          <w:sz w:val="20"/>
        </w:rPr>
        <w:t xml:space="preserve">However, we strongly fear that ESMA`s proposal to introduce new thresholds for the </w:t>
      </w:r>
      <w:r w:rsidRPr="003D1125">
        <w:rPr>
          <w:rFonts w:cs="Arial"/>
          <w:i/>
          <w:iCs/>
          <w:sz w:val="20"/>
        </w:rPr>
        <w:t xml:space="preserve">“uncleared” </w:t>
      </w:r>
      <w:r w:rsidRPr="003D1125">
        <w:rPr>
          <w:rFonts w:cs="Arial"/>
          <w:sz w:val="20"/>
        </w:rPr>
        <w:t>OTC position</w:t>
      </w:r>
      <w:r w:rsidRPr="003D1125">
        <w:rPr>
          <w:rFonts w:cs="Arial"/>
          <w:i/>
          <w:iCs/>
          <w:sz w:val="20"/>
        </w:rPr>
        <w:t xml:space="preserve"> </w:t>
      </w:r>
      <w:r w:rsidRPr="003D1125">
        <w:rPr>
          <w:rFonts w:cs="Arial"/>
          <w:sz w:val="20"/>
        </w:rPr>
        <w:t xml:space="preserve">will further extend the clearing obligation to our small and mid-sized members with a very limited volume of clearing activity. We strongly disagree with ESMA`s proposal to introduce a new threshold for the uncleared position. </w:t>
      </w:r>
      <w:r w:rsidRPr="003D1125">
        <w:rPr>
          <w:rFonts w:cs="Arial"/>
          <w:b/>
          <w:bCs/>
          <w:sz w:val="20"/>
        </w:rPr>
        <w:t xml:space="preserve">Therefore, we propose to set the </w:t>
      </w:r>
      <w:r w:rsidRPr="003D1125">
        <w:rPr>
          <w:rFonts w:eastAsia="Cambria" w:cs="Arial"/>
          <w:b/>
          <w:bCs/>
          <w:sz w:val="20"/>
        </w:rPr>
        <w:t>new threshold for the “</w:t>
      </w:r>
      <w:r w:rsidRPr="003D1125">
        <w:rPr>
          <w:rFonts w:eastAsia="Cambria" w:cs="Arial"/>
          <w:b/>
          <w:bCs/>
          <w:i/>
          <w:iCs/>
          <w:sz w:val="20"/>
        </w:rPr>
        <w:t>uncleared”</w:t>
      </w:r>
      <w:r w:rsidRPr="003D1125">
        <w:rPr>
          <w:rFonts w:eastAsia="Cambria" w:cs="Arial"/>
          <w:b/>
          <w:bCs/>
          <w:sz w:val="20"/>
        </w:rPr>
        <w:t xml:space="preserve"> position as it is currently the case for the clearing obligation for IRS at 3 billion EUR and for credit derivatives at 1 billion EUR. </w:t>
      </w:r>
      <w:r w:rsidRPr="003D1125">
        <w:rPr>
          <w:rFonts w:eastAsia="Cambria" w:cs="Arial"/>
          <w:sz w:val="20"/>
        </w:rPr>
        <w:t>Our proposal will ensure</w:t>
      </w:r>
      <w:r w:rsidRPr="003D1125">
        <w:rPr>
          <w:rFonts w:cs="Arial"/>
          <w:sz w:val="20"/>
        </w:rPr>
        <w:t xml:space="preserve"> that the aim of the EU legislator would be reached thereby ascertaining that the introduced clearing scope coverage in 2019 is maintained within EMIR 3.0 and not be extended. Furthermore, the introduction of two different thresholds for the </w:t>
      </w:r>
      <w:r w:rsidRPr="003D1125">
        <w:rPr>
          <w:rFonts w:cs="Arial"/>
          <w:i/>
          <w:iCs/>
          <w:sz w:val="20"/>
        </w:rPr>
        <w:t>“aggregate”</w:t>
      </w:r>
      <w:r w:rsidRPr="003D1125">
        <w:rPr>
          <w:rFonts w:cs="Arial"/>
          <w:sz w:val="20"/>
        </w:rPr>
        <w:t xml:space="preserve"> and the </w:t>
      </w:r>
      <w:r w:rsidRPr="003D1125">
        <w:rPr>
          <w:rFonts w:cs="Arial"/>
          <w:i/>
          <w:iCs/>
          <w:sz w:val="20"/>
        </w:rPr>
        <w:t>“uncleared”</w:t>
      </w:r>
      <w:r w:rsidRPr="003D1125">
        <w:rPr>
          <w:rFonts w:cs="Arial"/>
          <w:sz w:val="20"/>
        </w:rPr>
        <w:t xml:space="preserve"> position will increase the operational complexity for the (German) Buy-Side as they have to calculate and monitor two different positions compared with the existing practise where only one position needs to be reviewed once a year.   </w:t>
      </w:r>
    </w:p>
    <w:p w14:paraId="7C1EA4BC" w14:textId="77777777" w:rsidR="009A34E4" w:rsidRPr="003D1125" w:rsidRDefault="009A34E4" w:rsidP="009A34E4">
      <w:pPr>
        <w:pStyle w:val="Listenabsatz"/>
        <w:numPr>
          <w:ilvl w:val="0"/>
          <w:numId w:val="17"/>
        </w:numPr>
        <w:spacing w:after="0" w:line="288" w:lineRule="auto"/>
        <w:contextualSpacing/>
        <w:jc w:val="left"/>
        <w:rPr>
          <w:rFonts w:cs="Arial"/>
          <w:b/>
          <w:bCs/>
          <w:sz w:val="20"/>
        </w:rPr>
      </w:pPr>
      <w:r w:rsidRPr="003D1125">
        <w:rPr>
          <w:rFonts w:cs="Arial"/>
          <w:b/>
          <w:bCs/>
          <w:sz w:val="20"/>
        </w:rPr>
        <w:t>Exclusion of FX derivatives from the calculation of the (new) clearing thresholds</w:t>
      </w:r>
    </w:p>
    <w:p w14:paraId="058057A9" w14:textId="77777777" w:rsidR="009A34E4" w:rsidRPr="003D1125" w:rsidRDefault="009A34E4" w:rsidP="009A34E4">
      <w:pPr>
        <w:spacing w:line="288" w:lineRule="auto"/>
        <w:jc w:val="left"/>
        <w:rPr>
          <w:rFonts w:cs="Arial"/>
          <w:sz w:val="20"/>
        </w:rPr>
      </w:pPr>
      <w:r w:rsidRPr="003D1125">
        <w:rPr>
          <w:rFonts w:cs="Arial"/>
          <w:sz w:val="20"/>
        </w:rPr>
        <w:t xml:space="preserve">As several times in our position papers repeated, we strongly suggest excluding currency derivatives from the calculation of the clearing threshold for Small Financial Counterparties (UCITS/AIF) as such entities do not represent any systemic risk to the financial system. The clearing of a very limited </w:t>
      </w:r>
      <w:r w:rsidRPr="003D1125">
        <w:rPr>
          <w:rFonts w:cs="Arial"/>
          <w:sz w:val="20"/>
        </w:rPr>
        <w:lastRenderedPageBreak/>
        <w:t xml:space="preserve">volume of clearing eligible IRS &amp; CDSs (e.g.one CDS trade within the quarter) by the UCITS/AIFs are not proportionate given the high cost to maintain an access to the clearing broker and the CCP. </w:t>
      </w:r>
    </w:p>
    <w:p w14:paraId="18C4CF78" w14:textId="77777777" w:rsidR="009A34E4" w:rsidRPr="003D1125" w:rsidRDefault="009A34E4" w:rsidP="009A34E4">
      <w:pPr>
        <w:spacing w:line="288" w:lineRule="auto"/>
        <w:jc w:val="left"/>
        <w:rPr>
          <w:rFonts w:cs="Arial"/>
          <w:sz w:val="20"/>
        </w:rPr>
      </w:pPr>
      <w:r w:rsidRPr="003D1125">
        <w:rPr>
          <w:rFonts w:cs="Arial"/>
          <w:sz w:val="20"/>
        </w:rPr>
        <w:t xml:space="preserve">In the context of the clearing obligation under EMIR Refit Small Financial Counterparties (e.g. UCITS/AIF) are required by exceeding the clearing threshold for at least one class of OTC derivatives (e.g. currency derivatives) to comply with the clearing obligation for all classes of OTC derivatives, given the interconnectedness of financial counterparties and the possible systemic risk to the financial system that might arise if those OTC derivative contracts were not centrally cleared. However, some of the relevant clearing eligible asset classes are not subject to the EMIR clearing obligation. ESMA has also not mandated such asset classes to the Derivative Trading obligation. Currency derivatives are not mandated for the clearing obligation (please consider ESMA website: </w:t>
      </w:r>
      <w:hyperlink r:id="rId18" w:anchor=":~:text=EMIR%20includes%20the%20obligation%20to%20centrally%20clear%20certain,OTC%20derivative%20contracts%2C%20EMIR%20establishes%20risk%20mitigation%20techniques." w:history="1">
        <w:r w:rsidRPr="003D1125">
          <w:rPr>
            <w:rFonts w:cs="Arial"/>
            <w:color w:val="0000FF"/>
            <w:sz w:val="20"/>
            <w:u w:val="single"/>
          </w:rPr>
          <w:t>Clearing obligation and risk mitigation techniques under EMIR</w:t>
        </w:r>
      </w:hyperlink>
      <w:r w:rsidRPr="003D1125">
        <w:rPr>
          <w:rFonts w:cs="Arial"/>
          <w:sz w:val="20"/>
        </w:rPr>
        <w:t xml:space="preserve">). </w:t>
      </w:r>
    </w:p>
    <w:p w14:paraId="366B5CFA" w14:textId="77777777" w:rsidR="009A34E4" w:rsidRPr="003D1125" w:rsidRDefault="009A34E4" w:rsidP="009A34E4">
      <w:pPr>
        <w:spacing w:line="288" w:lineRule="auto"/>
        <w:jc w:val="left"/>
        <w:rPr>
          <w:rFonts w:cs="Arial"/>
          <w:sz w:val="20"/>
        </w:rPr>
      </w:pPr>
      <w:r w:rsidRPr="003D1125">
        <w:rPr>
          <w:rFonts w:cs="Arial"/>
          <w:sz w:val="20"/>
        </w:rPr>
        <w:t xml:space="preserve">Highly regulated investment funds use in their investment portfolios foreign exchanges to hedge their position or for investment purposes. In the case of Small Financial Counterparties, as soon as a position calculation for one class of OTC derivatives exceeds the clearing threshold for currently not clearing eligible currency derivatives and which are below the calculation clearing thresholds for the ESMA mandated clearing products IRS/CDSs investment funds are subject to a clearing obligation for such products. However, some of our members are currently subject to the clearing obligation as they are above the clearing threshold for currency derivatives, but they do not have either any IRS and CDS in their portfolio for clearing or they have only a very limited volume of IRS &amp; CDS for clearing (e.g. one trade within the quarter) which do not represent any risk to financial stability. </w:t>
      </w:r>
    </w:p>
    <w:p w14:paraId="11F53A11" w14:textId="77777777" w:rsidR="009A34E4" w:rsidRPr="003D1125" w:rsidRDefault="009A34E4" w:rsidP="009A34E4">
      <w:pPr>
        <w:spacing w:line="288" w:lineRule="auto"/>
        <w:jc w:val="left"/>
        <w:rPr>
          <w:rFonts w:eastAsia="Cambria" w:cs="Arial"/>
          <w:sz w:val="20"/>
        </w:rPr>
      </w:pPr>
      <w:r w:rsidRPr="003D1125">
        <w:rPr>
          <w:rFonts w:cs="Arial"/>
          <w:sz w:val="20"/>
        </w:rPr>
        <w:t>Therefore, we strongly suggest excluding currency derivatives from the calculation of the clearing threshold for Small Financial Counterparties (UCITS/AIF) within EMIR 3.0 (“</w:t>
      </w:r>
      <w:r w:rsidRPr="003D1125">
        <w:rPr>
          <w:rFonts w:cs="Arial"/>
          <w:i/>
          <w:iCs/>
          <w:sz w:val="20"/>
        </w:rPr>
        <w:t>aggregate”</w:t>
      </w:r>
      <w:r w:rsidRPr="003D1125">
        <w:rPr>
          <w:rFonts w:cs="Arial"/>
          <w:sz w:val="20"/>
        </w:rPr>
        <w:t xml:space="preserve"> and </w:t>
      </w:r>
      <w:r w:rsidRPr="003D1125">
        <w:rPr>
          <w:rFonts w:cs="Arial"/>
          <w:i/>
          <w:iCs/>
          <w:sz w:val="20"/>
        </w:rPr>
        <w:t>“uncleared”</w:t>
      </w:r>
      <w:r w:rsidRPr="003D1125">
        <w:rPr>
          <w:rFonts w:cs="Arial"/>
          <w:sz w:val="20"/>
        </w:rPr>
        <w:t xml:space="preserve"> position) as such entities do not represent any systemic risk to the financial system. The clearing of a very limited volume of clearing eligible IRS &amp; CDSs (e.g. one CDS trade within the quarter) by the UCITS/AIFs are not proportionate given the high cost to maintain an access to the clearing broker and the CCP.</w:t>
      </w:r>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4423080B" w14:textId="77777777" w:rsidR="009A34E4" w:rsidRDefault="009A34E4" w:rsidP="005E6AB9">
      <w:pPr>
        <w:rPr>
          <w:rFonts w:eastAsia="Cambria" w:cs="Arial"/>
          <w:sz w:val="20"/>
        </w:rPr>
      </w:pPr>
      <w:permStart w:id="1125530746" w:edGrp="everyone"/>
      <w:r w:rsidRPr="003D1125">
        <w:rPr>
          <w:rFonts w:eastAsia="Cambria" w:cs="Arial"/>
          <w:sz w:val="20"/>
        </w:rPr>
        <w:t>We do not have comments.</w:t>
      </w:r>
    </w:p>
    <w:permEnd w:id="1125530746"/>
    <w:p w14:paraId="13EFD1F1" w14:textId="3A1EA169"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342D54B0" w14:textId="6C3E1CB2" w:rsidR="005E6AB9" w:rsidRDefault="009A34E4" w:rsidP="005E6AB9">
      <w:permStart w:id="396387658" w:edGrp="everyone"/>
      <w:r w:rsidRPr="003D1125">
        <w:rPr>
          <w:rFonts w:eastAsia="Cambria" w:cs="Arial"/>
          <w:sz w:val="20"/>
        </w:rPr>
        <w:t>We do not have comments.</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3B54A7E9" w14:textId="4027151B" w:rsidR="005E6AB9" w:rsidRDefault="009A34E4" w:rsidP="005E6AB9">
      <w:permStart w:id="1558385500" w:edGrp="everyone"/>
      <w:r w:rsidRPr="003D1125">
        <w:rPr>
          <w:rFonts w:eastAsia="Cambria" w:cs="Arial"/>
          <w:sz w:val="20"/>
        </w:rPr>
        <w:t>We do not have comments.</w:t>
      </w:r>
    </w:p>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3D99CFAC" w14:textId="2E39C022" w:rsidR="00C30D5E" w:rsidRDefault="009A34E4" w:rsidP="005E6AB9">
      <w:permStart w:id="87309562" w:edGrp="everyone"/>
      <w:r w:rsidRPr="003D1125">
        <w:rPr>
          <w:rFonts w:eastAsia="Cambria" w:cs="Arial"/>
          <w:sz w:val="20"/>
        </w:rPr>
        <w:t>We do not have comments.</w:t>
      </w:r>
    </w:p>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263FFF21" w14:textId="3CD3054F" w:rsidR="005E6AB9" w:rsidRDefault="009A34E4" w:rsidP="005E6AB9">
      <w:permStart w:id="1516456876" w:edGrp="everyone"/>
      <w:r w:rsidRPr="003D1125">
        <w:rPr>
          <w:rFonts w:eastAsia="Cambria" w:cs="Arial"/>
          <w:sz w:val="20"/>
        </w:rPr>
        <w:t>We do not have comments.</w:t>
      </w:r>
    </w:p>
    <w:permEnd w:id="1516456876"/>
    <w:p w14:paraId="002B52F6" w14:textId="77777777" w:rsidR="005E6AB9" w:rsidRDefault="005E6AB9" w:rsidP="005E6AB9">
      <w:r>
        <w:lastRenderedPageBreak/>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36D37DFB" w14:textId="4E77A67B" w:rsidR="005E6AB9" w:rsidRDefault="00E53E0A" w:rsidP="005E6AB9">
      <w:permStart w:id="2081836860" w:edGrp="everyone"/>
      <w:r w:rsidRPr="003D1125">
        <w:rPr>
          <w:rFonts w:eastAsia="Cambria" w:cs="Arial"/>
          <w:sz w:val="20"/>
        </w:rPr>
        <w:t>We do not have comments.</w:t>
      </w:r>
    </w:p>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36A871DE" w14:textId="0EC18A08" w:rsidR="005E6AB9" w:rsidRDefault="00E53E0A" w:rsidP="005E6AB9">
      <w:permStart w:id="307772646" w:edGrp="everyone"/>
      <w:r w:rsidRPr="003D1125">
        <w:rPr>
          <w:rFonts w:eastAsia="Cambria" w:cs="Arial"/>
          <w:sz w:val="20"/>
        </w:rPr>
        <w:t>We do not have comments.</w:t>
      </w:r>
    </w:p>
    <w:permEnd w:id="307772646"/>
    <w:p w14:paraId="772517DA" w14:textId="77777777"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9"/>
      <w:footerReference w:type="default" r:id="rId20"/>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C822" w14:textId="77777777" w:rsidR="003C2FC0" w:rsidRDefault="003C2FC0" w:rsidP="007E7997">
      <w:pPr>
        <w:spacing w:line="240" w:lineRule="auto"/>
      </w:pPr>
      <w:r>
        <w:separator/>
      </w:r>
    </w:p>
  </w:endnote>
  <w:endnote w:type="continuationSeparator" w:id="0">
    <w:p w14:paraId="2D338329" w14:textId="77777777" w:rsidR="003C2FC0" w:rsidRDefault="003C2FC0" w:rsidP="007E7997">
      <w:pPr>
        <w:spacing w:line="240" w:lineRule="auto"/>
      </w:pPr>
      <w:r>
        <w:continuationSeparator/>
      </w:r>
    </w:p>
  </w:endnote>
  <w:endnote w:type="continuationNotice" w:id="1">
    <w:p w14:paraId="03BB6CAE" w14:textId="77777777" w:rsidR="003C2FC0" w:rsidRDefault="003C2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C9A9" w14:textId="77777777" w:rsidR="003C2FC0" w:rsidRDefault="003C2FC0" w:rsidP="007E7997">
      <w:pPr>
        <w:spacing w:line="240" w:lineRule="auto"/>
      </w:pPr>
      <w:r>
        <w:separator/>
      </w:r>
    </w:p>
  </w:footnote>
  <w:footnote w:type="continuationSeparator" w:id="0">
    <w:p w14:paraId="48EABA6F" w14:textId="77777777" w:rsidR="003C2FC0" w:rsidRDefault="003C2FC0" w:rsidP="007E7997">
      <w:pPr>
        <w:spacing w:line="240" w:lineRule="auto"/>
      </w:pPr>
      <w:r>
        <w:continuationSeparator/>
      </w:r>
    </w:p>
  </w:footnote>
  <w:footnote w:type="continuationNotice" w:id="1">
    <w:p w14:paraId="255C639D" w14:textId="77777777" w:rsidR="003C2FC0" w:rsidRDefault="003C2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3A7FA23C" w:rsidR="00D77369" w:rsidRPr="00A51B24" w:rsidRDefault="00D77369" w:rsidP="008858FE">
    <w:pPr>
      <w:pStyle w:val="Kopfzeile"/>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5B2846"/>
    <w:multiLevelType w:val="hybridMultilevel"/>
    <w:tmpl w:val="69601A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10"/>
  </w:num>
  <w:num w:numId="4" w16cid:durableId="1146706333">
    <w:abstractNumId w:val="3"/>
  </w:num>
  <w:num w:numId="5" w16cid:durableId="1502348752">
    <w:abstractNumId w:val="0"/>
  </w:num>
  <w:num w:numId="6" w16cid:durableId="1544101585">
    <w:abstractNumId w:val="5"/>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885700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2D7D"/>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4E4"/>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AE"/>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254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2AF"/>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0A"/>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 w:type="paragraph" w:customStyle="1" w:styleId="Standa1">
    <w:name w:val="Standa1"/>
    <w:uiPriority w:val="99"/>
    <w:rsid w:val="009A34E4"/>
    <w:pPr>
      <w:spacing w:after="200" w:line="240" w:lineRule="auto"/>
    </w:pPr>
    <w:rPr>
      <w:rFonts w:ascii="Cambria" w:eastAsia="Cambria" w:hAnsi="Cambria"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esma.europa.eu/post-trading/clearing-obligation-and-risk-mitigation-techniques-under-emi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4D67E0"/>
    <w:rsid w:val="004E4CF9"/>
    <w:rsid w:val="005D66AB"/>
    <w:rsid w:val="006D3543"/>
    <w:rsid w:val="00735E80"/>
    <w:rsid w:val="00736117"/>
    <w:rsid w:val="00740052"/>
    <w:rsid w:val="00813189"/>
    <w:rsid w:val="00813EAE"/>
    <w:rsid w:val="008222A0"/>
    <w:rsid w:val="00836D47"/>
    <w:rsid w:val="00915854"/>
    <w:rsid w:val="00982D57"/>
    <w:rsid w:val="00993537"/>
    <w:rsid w:val="009B6B9C"/>
    <w:rsid w:val="009C0B17"/>
    <w:rsid w:val="00A44918"/>
    <w:rsid w:val="00B22006"/>
    <w:rsid w:val="00B46CAE"/>
    <w:rsid w:val="00CF2548"/>
    <w:rsid w:val="00D40353"/>
    <w:rsid w:val="00DC3796"/>
    <w:rsid w:val="00DC4211"/>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2.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2b21f3d8-9360-49c0-b219-5a91ba850bc3"/>
    <ds:schemaRef ds:uri="http://purl.org/dc/dcmitype/"/>
    <ds:schemaRef ds:uri="d0fb0f98-34f9-4d57-9559-eb8efd17aa5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1666</Words>
  <Characters>10501</Characters>
  <Application>Microsoft Office Word</Application>
  <DocSecurity>8</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Olivia Fuhrmann</cp:lastModifiedBy>
  <cp:revision>14</cp:revision>
  <cp:lastPrinted>2025-06-16T12:38:00Z</cp:lastPrinted>
  <dcterms:created xsi:type="dcterms:W3CDTF">2025-04-01T12:24:00Z</dcterms:created>
  <dcterms:modified xsi:type="dcterms:W3CDTF">2025-06-16T13:26:00Z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