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ol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olo"/>
          </w:pPr>
        </w:p>
        <w:p w14:paraId="01438AE1" w14:textId="052010EB" w:rsidR="00563C1F" w:rsidRDefault="00EC6066" w:rsidP="00F72D28">
          <w:pPr>
            <w:pStyle w:val="Titolo"/>
          </w:pPr>
          <w:r>
            <w:t xml:space="preserve">Reply </w:t>
          </w:r>
          <w:r w:rsidR="00DD03DC">
            <w:t>F</w:t>
          </w:r>
          <w:r>
            <w:t>orm</w:t>
          </w:r>
        </w:p>
        <w:p w14:paraId="031F2108" w14:textId="6ED64E55"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0FBD63D0" w:rsidR="00635BCA" w:rsidRPr="00557BD2" w:rsidRDefault="007D4A6B" w:rsidP="00D21C35">
                <w:r>
                  <w:t>PROXIGAS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5E6E6CAA" w:rsidR="00B17279" w:rsidRDefault="006C4E1E"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18534735" w:rsidR="00B17279" w:rsidRPr="00557BD2" w:rsidRDefault="007D4A6B" w:rsidP="00B17279">
                <w:r>
                  <w:t>Italy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Titolo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77777777" w:rsidR="005E6AB9" w:rsidRDefault="005E6AB9" w:rsidP="005E6AB9">
      <w:permStart w:id="380310048" w:edGrp="everyone"/>
      <w:r>
        <w:t>TYPE YOUR TEXT HERE</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1F90B135" w:rsidR="005E6AB9" w:rsidRDefault="005E6AB9" w:rsidP="005E6AB9">
      <w:permStart w:id="169040581" w:edGrp="everyone"/>
      <w:r>
        <w:t>TYPE YOUR TEXT HERE</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708782B9" w14:textId="77777777" w:rsidR="0069601B" w:rsidRPr="00E64EC2" w:rsidRDefault="0069601B" w:rsidP="0069601B">
      <w:pPr>
        <w:spacing w:line="257" w:lineRule="auto"/>
        <w:ind w:left="720"/>
        <w:rPr>
          <w:rFonts w:ascii="Aptos" w:eastAsia="Aptos" w:hAnsi="Aptos" w:cs="Aptos"/>
          <w:sz w:val="20"/>
          <w:lang w:val="en-US"/>
        </w:rPr>
      </w:pPr>
      <w:permStart w:id="56697520" w:edGrp="everyone"/>
      <w:r w:rsidRPr="49E07C5A">
        <w:rPr>
          <w:rFonts w:ascii="Aptos" w:eastAsia="Aptos" w:hAnsi="Aptos" w:cs="Aptos"/>
          <w:sz w:val="20"/>
          <w:lang w:val="en-US"/>
        </w:rPr>
        <w:lastRenderedPageBreak/>
        <w:t xml:space="preserve">We provide an answer for the commodity asset class only, </w:t>
      </w:r>
      <w:proofErr w:type="gramStart"/>
      <w:r w:rsidRPr="49E07C5A">
        <w:rPr>
          <w:rFonts w:ascii="Aptos" w:eastAsia="Aptos" w:hAnsi="Aptos" w:cs="Aptos"/>
          <w:sz w:val="20"/>
          <w:lang w:val="en-US"/>
        </w:rPr>
        <w:t>being it the most relevant considering members’ business model</w:t>
      </w:r>
      <w:proofErr w:type="gramEnd"/>
      <w:r w:rsidRPr="49E07C5A">
        <w:rPr>
          <w:rFonts w:ascii="Aptos" w:eastAsia="Aptos" w:hAnsi="Aptos" w:cs="Aptos"/>
          <w:sz w:val="20"/>
          <w:lang w:val="en-US"/>
        </w:rPr>
        <w:t xml:space="preserve">. </w:t>
      </w:r>
    </w:p>
    <w:p w14:paraId="19AEE40D" w14:textId="77777777" w:rsidR="0069601B" w:rsidRPr="00E64EC2" w:rsidRDefault="0069601B" w:rsidP="0069601B">
      <w:pPr>
        <w:spacing w:line="257" w:lineRule="auto"/>
        <w:ind w:left="720"/>
        <w:rPr>
          <w:rFonts w:ascii="Aptos" w:eastAsia="Aptos" w:hAnsi="Aptos" w:cs="Aptos"/>
          <w:sz w:val="20"/>
          <w:lang w:val="en-US"/>
        </w:rPr>
      </w:pPr>
      <w:r w:rsidRPr="13FB125E">
        <w:rPr>
          <w:rFonts w:ascii="Aptos" w:eastAsia="Aptos" w:hAnsi="Aptos" w:cs="Aptos"/>
          <w:sz w:val="20"/>
          <w:lang w:val="en-US"/>
        </w:rPr>
        <w:t xml:space="preserve">We believe that the current threshold for commodity asset class (€ 4 </w:t>
      </w:r>
      <w:proofErr w:type="spellStart"/>
      <w:r w:rsidRPr="13FB125E">
        <w:rPr>
          <w:rFonts w:ascii="Aptos" w:eastAsia="Aptos" w:hAnsi="Aptos" w:cs="Aptos"/>
          <w:sz w:val="20"/>
          <w:lang w:val="en-US"/>
        </w:rPr>
        <w:t>bln</w:t>
      </w:r>
      <w:proofErr w:type="spellEnd"/>
      <w:r w:rsidRPr="13FB125E">
        <w:rPr>
          <w:rFonts w:ascii="Aptos" w:eastAsia="Aptos" w:hAnsi="Aptos" w:cs="Aptos"/>
          <w:sz w:val="20"/>
          <w:lang w:val="en-US"/>
        </w:rPr>
        <w:t>) should be maintained at least, for several reasons.</w:t>
      </w:r>
    </w:p>
    <w:p w14:paraId="656F8F7A" w14:textId="77777777" w:rsidR="0069601B" w:rsidRPr="00E64EC2" w:rsidRDefault="0069601B" w:rsidP="0069601B">
      <w:pPr>
        <w:spacing w:line="257" w:lineRule="auto"/>
        <w:ind w:left="720"/>
        <w:rPr>
          <w:rFonts w:ascii="Aptos" w:eastAsia="Aptos" w:hAnsi="Aptos" w:cs="Aptos"/>
          <w:sz w:val="20"/>
          <w:lang w:val="en-US"/>
        </w:rPr>
      </w:pPr>
      <w:r w:rsidRPr="13FB125E">
        <w:rPr>
          <w:rFonts w:ascii="Aptos" w:eastAsia="Aptos" w:hAnsi="Aptos" w:cs="Aptos"/>
          <w:sz w:val="20"/>
          <w:lang w:val="en-US"/>
        </w:rPr>
        <w:t xml:space="preserve">Firstly, the proposed value of €3 billion (essentially the same as that introduced in 2012 when EMIR came into force) no longer aligns with current market conditions due to inflation and price volatility, which have significantly impacted trading volumes for energy products in recent years. </w:t>
      </w:r>
    </w:p>
    <w:p w14:paraId="03E0237A" w14:textId="77777777" w:rsidR="0069601B" w:rsidRPr="00E64EC2" w:rsidRDefault="0069601B" w:rsidP="0069601B">
      <w:pPr>
        <w:spacing w:after="160" w:line="257" w:lineRule="auto"/>
        <w:ind w:left="720"/>
        <w:rPr>
          <w:rFonts w:ascii="Aptos" w:eastAsia="Aptos" w:hAnsi="Aptos" w:cs="Aptos"/>
          <w:sz w:val="20"/>
          <w:lang w:val="en-US"/>
        </w:rPr>
      </w:pPr>
      <w:r w:rsidRPr="13FB125E">
        <w:rPr>
          <w:rFonts w:ascii="Aptos" w:eastAsia="Aptos" w:hAnsi="Aptos" w:cs="Aptos"/>
          <w:sz w:val="20"/>
          <w:lang w:val="en-US"/>
        </w:rPr>
        <w:t xml:space="preserve">Moreover, one has to consider that it is common practice for large industrial groups to manage their trading activity through a single legal entity in order to optimize costs and internal processes: entities acting under such an operational model might concentrate significant volumes and achieve a high level of notional, with limited benefit from moving the calculation from group to entity level for NFCs as per EMIR 3.0. </w:t>
      </w:r>
    </w:p>
    <w:p w14:paraId="25172591" w14:textId="4CCF5D20" w:rsidR="005E6AB9" w:rsidRPr="0069601B" w:rsidRDefault="0069601B" w:rsidP="0069601B">
      <w:pPr>
        <w:spacing w:after="160" w:line="257" w:lineRule="auto"/>
        <w:ind w:left="720"/>
        <w:rPr>
          <w:rFonts w:ascii="Aptos" w:eastAsia="Aptos" w:hAnsi="Aptos" w:cs="Aptos"/>
          <w:sz w:val="20"/>
          <w:lang w:val="en-US"/>
        </w:rPr>
      </w:pPr>
      <w:r>
        <w:rPr>
          <w:rFonts w:ascii="Aptos" w:eastAsia="Aptos" w:hAnsi="Aptos" w:cs="Aptos"/>
          <w:sz w:val="20"/>
          <w:lang w:val="en-US"/>
        </w:rPr>
        <w:t>As a final point, n</w:t>
      </w:r>
      <w:r w:rsidRPr="13FB125E">
        <w:rPr>
          <w:rFonts w:ascii="Aptos" w:eastAsia="Aptos" w:hAnsi="Aptos" w:cs="Aptos"/>
          <w:sz w:val="20"/>
          <w:lang w:val="en-US"/>
        </w:rPr>
        <w:t xml:space="preserve">arrowing the clearing threshold for commodities </w:t>
      </w:r>
      <w:r>
        <w:rPr>
          <w:rFonts w:ascii="Aptos" w:eastAsia="Aptos" w:hAnsi="Aptos" w:cs="Aptos"/>
          <w:sz w:val="20"/>
          <w:lang w:val="en-US"/>
        </w:rPr>
        <w:t>w</w:t>
      </w:r>
      <w:r w:rsidRPr="13FB125E">
        <w:rPr>
          <w:rFonts w:ascii="Aptos" w:eastAsia="Aptos" w:hAnsi="Aptos" w:cs="Aptos"/>
          <w:sz w:val="20"/>
          <w:lang w:val="en-US"/>
        </w:rPr>
        <w:t>ould put EU energy market participants at a competitive disadvantage compared to third-country players, particularly in the US, where energy firms can engage in yearly trading activities worth up to $8 billion under a 12-month rolling window.</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4AFAEA08" w:rsidR="005E6AB9" w:rsidRPr="006C4E1E" w:rsidRDefault="006625C5" w:rsidP="006C4E1E">
      <w:pPr>
        <w:spacing w:after="160" w:line="257" w:lineRule="auto"/>
        <w:ind w:left="720"/>
        <w:rPr>
          <w:rFonts w:ascii="Aptos" w:eastAsia="Aptos" w:hAnsi="Aptos" w:cs="Aptos"/>
          <w:sz w:val="20"/>
          <w:lang w:val="en-US"/>
        </w:rPr>
      </w:pPr>
      <w:permStart w:id="1125530746" w:edGrp="everyone"/>
      <w:r w:rsidRPr="006C4E1E">
        <w:rPr>
          <w:rFonts w:ascii="Aptos" w:eastAsia="Aptos" w:hAnsi="Aptos" w:cs="Aptos"/>
          <w:sz w:val="20"/>
          <w:lang w:val="en-US"/>
        </w:rPr>
        <w:t>Yes, we support ESMA proposal not to introduce separate thresholds for the various commodity derivatives sub-asset classes</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6B1BCA4F" w:rsidR="005E6AB9" w:rsidRPr="006C4E1E" w:rsidRDefault="006625C5" w:rsidP="006C4E1E">
      <w:pPr>
        <w:spacing w:after="160" w:line="257" w:lineRule="auto"/>
        <w:ind w:left="720"/>
        <w:rPr>
          <w:rFonts w:ascii="Aptos" w:eastAsia="Aptos" w:hAnsi="Aptos" w:cs="Aptos"/>
          <w:sz w:val="20"/>
          <w:lang w:val="en-US"/>
        </w:rPr>
      </w:pPr>
      <w:permStart w:id="396387658" w:edGrp="everyone"/>
      <w:r w:rsidRPr="006C4E1E">
        <w:rPr>
          <w:rFonts w:ascii="Aptos" w:eastAsia="Aptos" w:hAnsi="Aptos" w:cs="Aptos"/>
          <w:sz w:val="20"/>
          <w:lang w:val="en-US"/>
        </w:rPr>
        <w:t xml:space="preserve">We agree with ESMA proposal to have in the fifth bucket commodity and emission allowance derivatives. Indeed, having a unique monitoring process ensures operational simplicity and avoids </w:t>
      </w:r>
      <w:r w:rsidRPr="006C4E1E">
        <w:rPr>
          <w:rFonts w:ascii="Aptos" w:eastAsia="Aptos" w:hAnsi="Aptos" w:cs="Aptos"/>
          <w:sz w:val="20"/>
          <w:lang w:val="en-US"/>
        </w:rPr>
        <w:lastRenderedPageBreak/>
        <w:t>duplicating compliance efforts. It is also aligned with what is stated in field 11, table 2 of Commission Implementing Regulation 2022/1860, which foresees commodities and emission allowances under a unique asset class “COMM”</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53B2A611" w:rsidR="005E6AB9" w:rsidRPr="006C4E1E" w:rsidRDefault="006625C5" w:rsidP="006C4E1E">
      <w:pPr>
        <w:spacing w:after="160" w:line="257" w:lineRule="auto"/>
        <w:ind w:left="720"/>
        <w:rPr>
          <w:rFonts w:ascii="Aptos" w:eastAsia="Aptos" w:hAnsi="Aptos" w:cs="Aptos"/>
          <w:sz w:val="20"/>
          <w:lang w:val="en-US"/>
        </w:rPr>
      </w:pPr>
      <w:permStart w:id="1558385500" w:edGrp="everyone"/>
      <w:r w:rsidRPr="006C4E1E">
        <w:rPr>
          <w:rFonts w:ascii="Aptos" w:eastAsia="Aptos" w:hAnsi="Aptos" w:cs="Aptos"/>
          <w:sz w:val="20"/>
          <w:lang w:val="en-US"/>
        </w:rPr>
        <w:t>Yes, we support ESMA proposal not to introduce a sixth bucket for other derivatives at this stage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759591D2" w:rsidR="00C30D5E" w:rsidRDefault="009C30E9" w:rsidP="006C4E1E">
      <w:pPr>
        <w:spacing w:after="160" w:line="257" w:lineRule="auto"/>
        <w:ind w:left="720"/>
      </w:pPr>
      <w:permStart w:id="87309562" w:edGrp="everyone"/>
      <w:r w:rsidRPr="006C4E1E">
        <w:rPr>
          <w:rFonts w:ascii="Aptos" w:eastAsia="Aptos" w:hAnsi="Aptos" w:cs="Aptos"/>
          <w:sz w:val="20"/>
          <w:lang w:val="en-US"/>
        </w:rPr>
        <w:t>Yes, we support ESMA proposal not to introduce more granular thresholds for commodity derivatives based on ESG factors at this stage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53A7537F" w:rsidR="005E6AB9" w:rsidRPr="006C4E1E" w:rsidRDefault="009C30E9" w:rsidP="006C4E1E">
      <w:pPr>
        <w:spacing w:after="160" w:line="257" w:lineRule="auto"/>
        <w:ind w:left="720"/>
        <w:rPr>
          <w:rFonts w:ascii="Aptos" w:eastAsia="Aptos" w:hAnsi="Aptos" w:cs="Aptos"/>
          <w:sz w:val="20"/>
          <w:lang w:val="en-US"/>
        </w:rPr>
      </w:pPr>
      <w:permStart w:id="1516456876" w:edGrp="everyone"/>
      <w:r w:rsidRPr="006C4E1E">
        <w:rPr>
          <w:rFonts w:ascii="Aptos" w:eastAsia="Aptos" w:hAnsi="Aptos" w:cs="Aptos"/>
          <w:sz w:val="20"/>
          <w:lang w:val="en-US"/>
        </w:rPr>
        <w:t xml:space="preserve">Yes, we support ESMA proposal not to introduce more granular thresholds for commodity derivatives based on crypto-related features at this stage </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18E9A46F" w14:textId="4926B046" w:rsidR="009C30E9" w:rsidRPr="006C4E1E" w:rsidRDefault="009C30E9" w:rsidP="002A56C0">
      <w:pPr>
        <w:spacing w:after="160" w:line="257" w:lineRule="auto"/>
        <w:ind w:left="720"/>
        <w:rPr>
          <w:rFonts w:ascii="Aptos" w:eastAsia="Aptos" w:hAnsi="Aptos" w:cs="Aptos"/>
          <w:sz w:val="20"/>
          <w:lang w:val="en-US"/>
        </w:rPr>
      </w:pPr>
      <w:permStart w:id="2081836860" w:edGrp="everyone"/>
      <w:r w:rsidRPr="006C4E1E">
        <w:rPr>
          <w:rFonts w:ascii="Aptos" w:eastAsia="Aptos" w:hAnsi="Aptos" w:cs="Aptos"/>
          <w:sz w:val="20"/>
          <w:lang w:val="en-US"/>
        </w:rPr>
        <w:t xml:space="preserve">Yes, we suggest – in line with the view expressed by ESMA in the consultation draft – to clarify that Virtual Power Purchase Agreements (VPPAs) could be hedging activities under EMIR. </w:t>
      </w:r>
      <w:proofErr w:type="gramStart"/>
      <w:r w:rsidRPr="006C4E1E">
        <w:rPr>
          <w:rFonts w:ascii="Aptos" w:eastAsia="Aptos" w:hAnsi="Aptos" w:cs="Aptos"/>
          <w:sz w:val="20"/>
          <w:lang w:val="en-US"/>
        </w:rPr>
        <w:t>In particular, we</w:t>
      </w:r>
      <w:proofErr w:type="gramEnd"/>
      <w:r w:rsidRPr="006C4E1E">
        <w:rPr>
          <w:rFonts w:ascii="Aptos" w:eastAsia="Aptos" w:hAnsi="Aptos" w:cs="Aptos"/>
          <w:sz w:val="20"/>
          <w:lang w:val="en-US"/>
        </w:rPr>
        <w:t xml:space="preserve"> believe VPPAs should be considered part of companies’ activities to reduce their business risk.  </w:t>
      </w:r>
    </w:p>
    <w:p w14:paraId="5655FF61" w14:textId="77777777" w:rsidR="009C30E9" w:rsidRPr="006C4E1E" w:rsidRDefault="009C30E9" w:rsidP="006C4E1E">
      <w:pPr>
        <w:spacing w:after="160" w:line="257" w:lineRule="auto"/>
        <w:ind w:left="720"/>
        <w:rPr>
          <w:rFonts w:ascii="Aptos" w:eastAsia="Aptos" w:hAnsi="Aptos" w:cs="Aptos"/>
          <w:sz w:val="20"/>
          <w:lang w:val="en-US"/>
        </w:rPr>
      </w:pPr>
      <w:r w:rsidRPr="006C4E1E">
        <w:rPr>
          <w:rFonts w:ascii="Aptos" w:eastAsia="Aptos" w:hAnsi="Aptos" w:cs="Aptos"/>
          <w:sz w:val="20"/>
          <w:lang w:val="en-US"/>
        </w:rPr>
        <w:t xml:space="preserve">This proposal is made in consideration of the crucial role that these contracts play within the energy transition: </w:t>
      </w:r>
      <w:proofErr w:type="gramStart"/>
      <w:r w:rsidRPr="006C4E1E">
        <w:rPr>
          <w:rFonts w:ascii="Aptos" w:eastAsia="Aptos" w:hAnsi="Aptos" w:cs="Aptos"/>
          <w:sz w:val="20"/>
          <w:lang w:val="en-US"/>
        </w:rPr>
        <w:t>indeed</w:t>
      </w:r>
      <w:proofErr w:type="gramEnd"/>
      <w:r w:rsidRPr="006C4E1E">
        <w:rPr>
          <w:rFonts w:ascii="Aptos" w:eastAsia="Aptos" w:hAnsi="Aptos" w:cs="Aptos"/>
          <w:sz w:val="20"/>
          <w:lang w:val="en-US"/>
        </w:rPr>
        <w:t xml:space="preserve"> many NFC- energy market participants act as “hedge providers” towards renewable energy producers, as the latter require hedging solutions for the development of their renewable projects. Anyway, the resulting transaction may or may not, depending on the case, be classified as risk-reducing according to the current definitions from the perspective of the buyer. Where not classifiable as risk reducing, the ability of energy traders to act as a counterparty can be impaired, due to the great impact that these contracts may have on their threshold calculation (in consideration of the high lifetime such contracts may have). In the light of this, we propose adding the following point in Article 10: </w:t>
      </w:r>
    </w:p>
    <w:p w14:paraId="3C3309E6" w14:textId="77777777" w:rsidR="009C30E9" w:rsidRPr="006C4E1E" w:rsidRDefault="009C30E9" w:rsidP="006C4E1E">
      <w:pPr>
        <w:spacing w:after="160" w:line="257" w:lineRule="auto"/>
        <w:ind w:left="720"/>
        <w:rPr>
          <w:rFonts w:ascii="Aptos" w:eastAsia="Aptos" w:hAnsi="Aptos" w:cs="Aptos"/>
          <w:sz w:val="20"/>
          <w:lang w:val="en-US"/>
        </w:rPr>
      </w:pPr>
      <w:r w:rsidRPr="006C4E1E">
        <w:rPr>
          <w:rFonts w:ascii="Aptos" w:eastAsia="Aptos" w:hAnsi="Aptos" w:cs="Aptos"/>
          <w:sz w:val="20"/>
          <w:lang w:val="en-US"/>
        </w:rPr>
        <w:t xml:space="preserve">“(d) where none of the above definitions can be applied, it is entered into by an energy market participant with an entity engaged in the production of electricity from renewable energy sources, to reduce the risks directly linked to the energy production activity of such entity.” </w:t>
      </w:r>
    </w:p>
    <w:p w14:paraId="36D37DFB" w14:textId="31EC6CCA" w:rsidR="005E6AB9" w:rsidRDefault="009C30E9" w:rsidP="006C4E1E">
      <w:pPr>
        <w:spacing w:after="160" w:line="257" w:lineRule="auto"/>
        <w:ind w:left="720"/>
      </w:pPr>
      <w:r w:rsidRPr="006C4E1E">
        <w:rPr>
          <w:rFonts w:ascii="Aptos" w:eastAsia="Aptos" w:hAnsi="Aptos" w:cs="Aptos"/>
          <w:sz w:val="20"/>
          <w:lang w:val="en-US"/>
        </w:rPr>
        <w:t xml:space="preserve">More generally, another instance should be considered by ESMA and the EC in relation to the “risk reducing” concept: trading in derivatives in general </w:t>
      </w:r>
      <w:r w:rsidR="002A56C0" w:rsidRPr="002A56C0">
        <w:rPr>
          <w:rFonts w:ascii="Aptos" w:eastAsia="Aptos" w:hAnsi="Aptos" w:cs="Aptos"/>
          <w:sz w:val="20"/>
          <w:lang w:val="en-US"/>
        </w:rPr>
        <w:t>may be</w:t>
      </w:r>
      <w:r w:rsidR="002A56C0">
        <w:rPr>
          <w:rFonts w:ascii="Aptos" w:eastAsia="Aptos" w:hAnsi="Aptos" w:cs="Aptos"/>
          <w:i/>
          <w:iCs/>
          <w:sz w:val="20"/>
          <w:lang w:val="en-US"/>
        </w:rPr>
        <w:t xml:space="preserve"> </w:t>
      </w:r>
      <w:r w:rsidRPr="006C4E1E">
        <w:rPr>
          <w:rFonts w:ascii="Aptos" w:eastAsia="Aptos" w:hAnsi="Aptos" w:cs="Aptos"/>
          <w:sz w:val="20"/>
          <w:lang w:val="en-US"/>
        </w:rPr>
        <w:t>part of a trading entity’s commercial activity, and thus article 10 should recognize that any additional derivative contract aimed at mitigating the risk associated with such commercial activity (i.e. generated by derivatives concluded by the NFC-) should be recognized as risk reducing</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6A871DE" w14:textId="7C94313C" w:rsidR="005E6AB9" w:rsidRPr="006C4E1E" w:rsidRDefault="009C30E9" w:rsidP="006C4E1E">
      <w:pPr>
        <w:spacing w:after="160" w:line="257" w:lineRule="auto"/>
        <w:ind w:left="720"/>
        <w:rPr>
          <w:rFonts w:ascii="Aptos" w:eastAsia="Aptos" w:hAnsi="Aptos" w:cs="Aptos"/>
          <w:sz w:val="20"/>
          <w:lang w:val="en-US"/>
        </w:rPr>
      </w:pPr>
      <w:permStart w:id="307772646" w:edGrp="everyone"/>
      <w:r w:rsidRPr="006C4E1E">
        <w:rPr>
          <w:rFonts w:ascii="Aptos" w:eastAsia="Aptos" w:hAnsi="Aptos" w:cs="Aptos"/>
          <w:sz w:val="20"/>
          <w:lang w:val="en-US"/>
        </w:rPr>
        <w:t xml:space="preserve">We support the qualitative approach proposed by ESMA to determine whether the clearing threshold should be revised and believe that the proposed indicators are suitable for </w:t>
      </w:r>
      <w:proofErr w:type="gramStart"/>
      <w:r w:rsidRPr="006C4E1E">
        <w:rPr>
          <w:rFonts w:ascii="Aptos" w:eastAsia="Aptos" w:hAnsi="Aptos" w:cs="Aptos"/>
          <w:sz w:val="20"/>
          <w:lang w:val="en-US"/>
        </w:rPr>
        <w:t>an effective</w:t>
      </w:r>
      <w:proofErr w:type="gramEnd"/>
      <w:r w:rsidRPr="006C4E1E">
        <w:rPr>
          <w:rFonts w:ascii="Aptos" w:eastAsia="Aptos" w:hAnsi="Aptos" w:cs="Aptos"/>
          <w:sz w:val="20"/>
          <w:lang w:val="en-US"/>
        </w:rPr>
        <w:t xml:space="preserve"> monitoring. That said, it is important that, when monitoring the above indicators, ESMA </w:t>
      </w:r>
      <w:proofErr w:type="gramStart"/>
      <w:r w:rsidRPr="006C4E1E">
        <w:rPr>
          <w:rFonts w:ascii="Aptos" w:eastAsia="Aptos" w:hAnsi="Aptos" w:cs="Aptos"/>
          <w:sz w:val="20"/>
          <w:lang w:val="en-US"/>
        </w:rPr>
        <w:t>takes into account</w:t>
      </w:r>
      <w:proofErr w:type="gramEnd"/>
      <w:r w:rsidRPr="006C4E1E">
        <w:rPr>
          <w:rFonts w:ascii="Aptos" w:eastAsia="Aptos" w:hAnsi="Aptos" w:cs="Aptos"/>
          <w:sz w:val="20"/>
          <w:lang w:val="en-US"/>
        </w:rPr>
        <w:t xml:space="preserve"> that energy market participants often hold significant positions in long-term contracts that can hardly be reduced in a short time, or the reduction of which may entail significant costs</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Intestazion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5FDA"/>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6C0"/>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1E15"/>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65"/>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5C5"/>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1B"/>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1E"/>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A6B"/>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30E9"/>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396"/>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FD6"/>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stosegnaposto"/>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stosegnaposto"/>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95FDA"/>
    <w:rsid w:val="001D0361"/>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44918"/>
    <w:rsid w:val="00B22006"/>
    <w:rsid w:val="00B46CAE"/>
    <w:rsid w:val="00D40353"/>
    <w:rsid w:val="00DC3796"/>
    <w:rsid w:val="00DC4211"/>
    <w:rsid w:val="00DF6396"/>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1494</Words>
  <Characters>8520</Characters>
  <Application>Microsoft Office Word</Application>
  <DocSecurity>8</DocSecurity>
  <Lines>71</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Giuliana Rotta</cp:lastModifiedBy>
  <cp:revision>3</cp:revision>
  <cp:lastPrinted>2023-09-09T00:53:00Z</cp:lastPrinted>
  <dcterms:created xsi:type="dcterms:W3CDTF">2025-06-12T12:03:00Z</dcterms:created>
  <dcterms:modified xsi:type="dcterms:W3CDTF">2025-06-12T13:58:00Z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