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el"/>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el"/>
          </w:pPr>
        </w:p>
        <w:p w14:paraId="01438AE1" w14:textId="052010EB" w:rsidR="00563C1F" w:rsidRDefault="00EC6066" w:rsidP="00F72D28">
          <w:pPr>
            <w:pStyle w:val="Titel"/>
          </w:pPr>
          <w:r>
            <w:t xml:space="preserve">Reply </w:t>
          </w:r>
          <w:r w:rsidR="00DD03DC">
            <w:t>F</w:t>
          </w:r>
          <w:r>
            <w:t>orm</w:t>
          </w:r>
        </w:p>
        <w:p w14:paraId="031F2108" w14:textId="6ED64E55" w:rsidR="007E7997" w:rsidRPr="00C01571" w:rsidRDefault="00D77369" w:rsidP="00D77369">
          <w:pPr>
            <w:pStyle w:val="Unt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4053F4EB" w:rsidR="00635BCA" w:rsidRPr="00557BD2" w:rsidRDefault="0043511D" w:rsidP="00D21C35">
                <w:r>
                  <w:t>Deutsches Aktieninstitut</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0407B338" w:rsidR="00B17279" w:rsidRDefault="0043511D" w:rsidP="00B17279">
                <w:r>
                  <w:t>Issuer (Other than SME)</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778F45AF" w:rsidR="00B17279" w:rsidRPr="00557BD2" w:rsidRDefault="0043511D" w:rsidP="00B17279">
                <w:r>
                  <w:t>Germany</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berschrift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6D1723E2" w14:textId="0D052EB5" w:rsidR="005E6AB9" w:rsidRDefault="00DE4FE1" w:rsidP="005E6AB9">
      <w:permStart w:id="380310048" w:edGrp="everyone"/>
      <w:r>
        <w:t>No answer.</w:t>
      </w:r>
    </w:p>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6C3BA088" w14:textId="4382D3D3" w:rsidR="005E6AB9" w:rsidRDefault="00DE4FE1" w:rsidP="005E6AB9">
      <w:permStart w:id="169040581" w:edGrp="everyone"/>
      <w:r>
        <w:t>No answer.</w:t>
      </w:r>
    </w:p>
    <w:permEnd w:id="169040581"/>
    <w:p w14:paraId="468A64D6" w14:textId="77777777"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t>&lt;ESMA_QUESTION_CPCT_3&gt;</w:t>
      </w:r>
    </w:p>
    <w:p w14:paraId="722D04C5" w14:textId="2D26F74D" w:rsidR="0043511D" w:rsidRPr="0043511D" w:rsidRDefault="0043511D" w:rsidP="0043511D">
      <w:pPr>
        <w:rPr>
          <w:lang w:val="en-US"/>
        </w:rPr>
      </w:pPr>
      <w:bookmarkStart w:id="0" w:name="_Hlk200641330"/>
      <w:permStart w:id="56697520" w:edGrp="everyone"/>
      <w:r w:rsidRPr="0043511D">
        <w:rPr>
          <w:lang w:val="en-US"/>
        </w:rPr>
        <w:lastRenderedPageBreak/>
        <w:t>No, we do not agree with the proposed reduction in uncleared thresholds for any of the asset classes. At a minimum, the currently applicable thresholds should be maintained across all asset classes, including interest rate derivatives, credit derivatives, equity derivatives, and commodity derivatives. We would like to remind ESMA that the current clearing threshold level has not been adjusted for inflation purposes since its adoption in the last decade (except for the clearing threshold for commodity derivatives which was increased following the energy crisis from 3 to 4 billion Euro). We believe the reduction of thresholds would have disproportionately negative effects on non-financial counterparties (NFCs).</w:t>
      </w:r>
    </w:p>
    <w:p w14:paraId="441CF785" w14:textId="77777777" w:rsidR="0043511D" w:rsidRPr="0043511D" w:rsidRDefault="0043511D" w:rsidP="0043511D">
      <w:pPr>
        <w:rPr>
          <w:lang w:val="en-US"/>
        </w:rPr>
      </w:pPr>
      <w:r w:rsidRPr="0043511D">
        <w:rPr>
          <w:lang w:val="en-US"/>
        </w:rPr>
        <w:t>Appropriate clearing thresholds are important even for those companies using derivatives exclusively for risk mitigating purposes:</w:t>
      </w:r>
    </w:p>
    <w:p w14:paraId="26509032" w14:textId="075A1F18" w:rsidR="0043511D" w:rsidRPr="0043511D" w:rsidRDefault="0043511D" w:rsidP="0043511D">
      <w:pPr>
        <w:numPr>
          <w:ilvl w:val="0"/>
          <w:numId w:val="17"/>
        </w:numPr>
        <w:rPr>
          <w:lang w:val="en-US"/>
        </w:rPr>
      </w:pPr>
      <w:r w:rsidRPr="0043511D">
        <w:rPr>
          <w:lang w:val="en-US"/>
        </w:rPr>
        <w:t xml:space="preserve">The clearing thresholds should provide companies sufficient leeway for </w:t>
      </w:r>
      <w:r w:rsidRPr="0043511D">
        <w:rPr>
          <w:bCs/>
          <w:iCs/>
          <w:lang w:val="en-US"/>
        </w:rPr>
        <w:t>cases of doubt</w:t>
      </w:r>
      <w:r w:rsidRPr="0043511D">
        <w:rPr>
          <w:bCs/>
          <w:lang w:val="en-US"/>
        </w:rPr>
        <w:t>. This applies, e.g. for derivatives which cannot be subjected to IF</w:t>
      </w:r>
      <w:r w:rsidRPr="0043511D">
        <w:rPr>
          <w:lang w:val="en-US"/>
        </w:rPr>
        <w:t>RS hedge accounting or to national</w:t>
      </w:r>
      <w:r w:rsidR="00600066">
        <w:rPr>
          <w:lang w:val="en-US"/>
        </w:rPr>
        <w:t xml:space="preserve"> accounting rules</w:t>
      </w:r>
      <w:r w:rsidRPr="0043511D">
        <w:rPr>
          <w:lang w:val="en-US"/>
        </w:rPr>
        <w:t>. Although we very much appreciate that the definition “hedging” is not only restricted to the above-mentioned accounting rules, for some of these instruments the proof “risk mitigating” is technically complicated. This might lead to lengthy discussions with external auditors (who are in charge to monitor whether the non-financial company complies with the EMIR requirement in Germany), for which sometimes the time is not available as hedges must be booked on short notice. To avoid these efforts, companies classify these “cases of doubt” as non-hedging – provided that the clearing thresholds are leaving room for this option (See also answer to Q9.)</w:t>
      </w:r>
    </w:p>
    <w:p w14:paraId="7BB890B2" w14:textId="27677EA3" w:rsidR="0043511D" w:rsidRPr="0043511D" w:rsidRDefault="0043511D" w:rsidP="0043511D">
      <w:pPr>
        <w:numPr>
          <w:ilvl w:val="0"/>
          <w:numId w:val="17"/>
        </w:numPr>
        <w:rPr>
          <w:lang w:val="en-US"/>
        </w:rPr>
      </w:pPr>
      <w:r w:rsidRPr="0043511D">
        <w:rPr>
          <w:lang w:val="en-US"/>
        </w:rPr>
        <w:t xml:space="preserve">Unlike the banking industry non-financial companies do hedge risks resulting from forecasted/planned operative cash flows (e.g. delivery contract, future turnover, future supplier payments). It is in the nature of the risk management of non-financial companies that a derivative contract which was entered into for a risk-mitigating purpose might become superfluous before its expiry, e.g. because business plans do not evolve as originally expected. However, it is technically impossible and commercially disadvantageous to timely react to each change of each individual contract due to an underlying business not realized as expected. Furthermore, if an unwinding of existing positions is indeed appropriate this may take some time, especially for more exotic or large hedges. As there is legal uncertainty among market participants as regards the period in which the derivatives must be closed out, companies sometimes calculate the respective instruments against their threshold to not endanger their EMIR compliance. Sufficient clearing thresholds are the prerequisite for this procedure. </w:t>
      </w:r>
    </w:p>
    <w:p w14:paraId="72940841" w14:textId="7A87A486" w:rsidR="0043511D" w:rsidRPr="0043511D" w:rsidRDefault="00600066" w:rsidP="0043511D">
      <w:pPr>
        <w:numPr>
          <w:ilvl w:val="0"/>
          <w:numId w:val="17"/>
        </w:numPr>
      </w:pPr>
      <w:r>
        <w:rPr>
          <w:lang w:val="en-US"/>
        </w:rPr>
        <w:t>We</w:t>
      </w:r>
      <w:r w:rsidRPr="00600066">
        <w:t xml:space="preserve"> do not agree that the level of cleared derivatives allows to reduce the clearing thresholds for NFCs</w:t>
      </w:r>
      <w:r>
        <w:t>, as</w:t>
      </w:r>
      <w:r w:rsidRPr="00600066">
        <w:t xml:space="preserve"> </w:t>
      </w:r>
      <w:r>
        <w:t xml:space="preserve">many </w:t>
      </w:r>
      <w:r w:rsidR="0043511D">
        <w:t xml:space="preserve">NFCs do not use cleared derivatives on a substantial </w:t>
      </w:r>
      <w:r w:rsidR="0043511D">
        <w:lastRenderedPageBreak/>
        <w:t>basis (</w:t>
      </w:r>
      <w:r w:rsidR="0043511D" w:rsidRPr="0043511D">
        <w:t xml:space="preserve">companies from the </w:t>
      </w:r>
      <w:r w:rsidR="0043511D">
        <w:t xml:space="preserve">energy </w:t>
      </w:r>
      <w:r w:rsidR="0043511D" w:rsidRPr="0043511D">
        <w:t xml:space="preserve">sector </w:t>
      </w:r>
      <w:r w:rsidR="0043511D">
        <w:t xml:space="preserve">may be a special case). Hedging with cleared </w:t>
      </w:r>
      <w:r w:rsidR="0043511D" w:rsidRPr="0043511D">
        <w:t xml:space="preserve">and more standardised </w:t>
      </w:r>
      <w:r w:rsidR="0043511D">
        <w:t xml:space="preserve">derivatives does not concern the typical corporate hedge, which tries to address very specific underlying business cases </w:t>
      </w:r>
      <w:r w:rsidR="0043511D" w:rsidRPr="0043511D">
        <w:t>with regard to the individual volume, maturity etc.</w:t>
      </w:r>
      <w:r w:rsidR="0043511D">
        <w:t xml:space="preserve"> Cleared derivatives are rather inflexible, and tend to hedge only on a macro level, which </w:t>
      </w:r>
      <w:r w:rsidR="0043511D" w:rsidRPr="0043511D">
        <w:t>does not adequately reflect the needs of</w:t>
      </w:r>
      <w:r>
        <w:t xml:space="preserve"> many</w:t>
      </w:r>
      <w:r w:rsidR="0043511D" w:rsidRPr="0043511D">
        <w:t xml:space="preserve"> NFC</w:t>
      </w:r>
      <w:r>
        <w:t>s</w:t>
      </w:r>
      <w:r w:rsidR="0043511D">
        <w:t xml:space="preserve">. </w:t>
      </w:r>
    </w:p>
    <w:p w14:paraId="340D8EBD" w14:textId="77777777" w:rsidR="0043511D" w:rsidRPr="0043511D" w:rsidRDefault="0043511D" w:rsidP="0043511D">
      <w:pPr>
        <w:numPr>
          <w:ilvl w:val="0"/>
          <w:numId w:val="17"/>
        </w:numPr>
        <w:rPr>
          <w:lang w:val="en-US"/>
        </w:rPr>
      </w:pPr>
      <w:r w:rsidRPr="0043511D">
        <w:rPr>
          <w:lang w:val="en-US"/>
        </w:rPr>
        <w:t>A competitive level-playing-field especially with U.S. companies should be ensured. In the U.S. the thresholds to be licensed as Major Swap Participant, the U.S. equivalent to the European non-financial exceeding the clearing thresholds (NFC+), are significantly less strict than the comparable clearing thresholds under EMIR, as those are calculated in market values, not nominal ones as under EMIR.</w:t>
      </w:r>
      <w:r w:rsidRPr="0043511D">
        <w:rPr>
          <w:vertAlign w:val="superscript"/>
          <w:lang w:val="en-US"/>
        </w:rPr>
        <w:footnoteReference w:id="2"/>
      </w:r>
      <w:r w:rsidRPr="0043511D">
        <w:rPr>
          <w:b/>
          <w:i/>
          <w:lang w:val="en-US"/>
        </w:rPr>
        <w:t xml:space="preserve"> </w:t>
      </w:r>
    </w:p>
    <w:p w14:paraId="0729BC82" w14:textId="77777777" w:rsidR="0043511D" w:rsidRDefault="0043511D" w:rsidP="0043511D">
      <w:pPr>
        <w:numPr>
          <w:ilvl w:val="0"/>
          <w:numId w:val="17"/>
        </w:numPr>
        <w:rPr>
          <w:lang w:val="en-US"/>
        </w:rPr>
      </w:pPr>
      <w:r w:rsidRPr="0043511D">
        <w:rPr>
          <w:bCs/>
          <w:iCs/>
          <w:lang w:val="en-US"/>
        </w:rPr>
        <w:t>Market making</w:t>
      </w:r>
      <w:r w:rsidRPr="0043511D">
        <w:rPr>
          <w:lang w:val="en-US"/>
        </w:rPr>
        <w:t xml:space="preserve"> should be allowed within appropriate clearing thresholds to preserve liquidity in the markets. This is especially relevant for companies stemming from the energy sector. Otherwise, to avoid the additional burden to comply with the clearing obligation, non-financial market makers would leave the market or restrict their activities to the detriment of liquidity and with the result of increasing transaction costs for all non-financial companies using derivatives for hedging purposes. </w:t>
      </w:r>
    </w:p>
    <w:p w14:paraId="25172591" w14:textId="5F0E7E90" w:rsidR="005E6AB9" w:rsidRPr="0043511D" w:rsidRDefault="0043511D" w:rsidP="0043511D">
      <w:pPr>
        <w:numPr>
          <w:ilvl w:val="0"/>
          <w:numId w:val="17"/>
        </w:numPr>
        <w:rPr>
          <w:lang w:val="en-US"/>
        </w:rPr>
      </w:pPr>
      <w:r w:rsidRPr="0043511D">
        <w:rPr>
          <w:lang w:val="en-US"/>
        </w:rPr>
        <w:t xml:space="preserve">The </w:t>
      </w:r>
      <w:r w:rsidR="00600066">
        <w:rPr>
          <w:lang w:val="en-US"/>
        </w:rPr>
        <w:t>existing</w:t>
      </w:r>
      <w:r w:rsidRPr="0043511D">
        <w:rPr>
          <w:lang w:val="en-US"/>
        </w:rPr>
        <w:t xml:space="preserve"> thresholds proved to be justified and did not endanger the resilience of the financial system.</w:t>
      </w:r>
      <w:bookmarkEnd w:id="0"/>
    </w:p>
    <w:permEnd w:id="56697520"/>
    <w:p w14:paraId="0408FDBA" w14:textId="77777777"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2E126D17" w14:textId="5DFAA2A4" w:rsidR="005E6AB9" w:rsidRDefault="0043511D" w:rsidP="005E6AB9">
      <w:permStart w:id="1125530746" w:edGrp="everyone"/>
      <w:r w:rsidRPr="0043511D">
        <w:t>Yes, we agree.</w:t>
      </w:r>
    </w:p>
    <w:permEnd w:id="1125530746"/>
    <w:p w14:paraId="13EFD1F1" w14:textId="77777777"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lastRenderedPageBreak/>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342D54B0" w14:textId="62F0E627" w:rsidR="005E6AB9" w:rsidRDefault="0043511D" w:rsidP="005E6AB9">
      <w:permStart w:id="396387658" w:edGrp="everyone"/>
      <w:r w:rsidRPr="0043511D">
        <w:t>Yes, we agree.</w:t>
      </w:r>
    </w:p>
    <w:permEnd w:id="396387658"/>
    <w:p w14:paraId="4A16B157" w14:textId="77777777"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3B54A7E9" w14:textId="3CFA4C59" w:rsidR="005E6AB9" w:rsidRDefault="0043511D" w:rsidP="005E6AB9">
      <w:permStart w:id="1558385500" w:edGrp="everyone"/>
      <w:r w:rsidRPr="0043511D">
        <w:t>Yes, we agree.</w:t>
      </w:r>
    </w:p>
    <w:permEnd w:id="1558385500"/>
    <w:p w14:paraId="39BA67C4" w14:textId="77777777" w:rsidR="005E6AB9" w:rsidRDefault="005E6AB9" w:rsidP="005E6AB9">
      <w:r>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t>&lt;ESMA_QUESTION_CPCT_7&gt;</w:t>
      </w:r>
    </w:p>
    <w:p w14:paraId="3D99CFAC" w14:textId="4B7E1D46" w:rsidR="00C30D5E" w:rsidRDefault="0043511D" w:rsidP="005E6AB9">
      <w:permStart w:id="87309562" w:edGrp="everyone"/>
      <w:r w:rsidRPr="0043511D">
        <w:t>Yes, we agree.</w:t>
      </w:r>
    </w:p>
    <w:permEnd w:id="87309562"/>
    <w:p w14:paraId="59F74F70" w14:textId="77777777"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263FFF21" w14:textId="79B9B012" w:rsidR="005E6AB9" w:rsidRDefault="0043511D" w:rsidP="005E6AB9">
      <w:permStart w:id="1516456876" w:edGrp="everyone"/>
      <w:r w:rsidRPr="0043511D">
        <w:t>Yes, we agree.</w:t>
      </w:r>
    </w:p>
    <w:permEnd w:id="1516456876"/>
    <w:p w14:paraId="002B52F6" w14:textId="77777777" w:rsidR="005E6AB9" w:rsidRDefault="005E6AB9" w:rsidP="005E6AB9">
      <w:r>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2B89F32C" w14:textId="6D893E8C" w:rsidR="0043511D" w:rsidRPr="0043511D" w:rsidRDefault="0043511D" w:rsidP="0043511D">
      <w:permStart w:id="2081836860" w:edGrp="everyone"/>
      <w:r w:rsidRPr="0043511D">
        <w:t>Basically, the hedging definition in Article 10 of Commission Delegated Regulation (EU) No 149/2013 works well. As regards virtual power purchase agreements (VPPA</w:t>
      </w:r>
      <w:r>
        <w:t>s</w:t>
      </w:r>
      <w:r w:rsidRPr="0043511D">
        <w:t xml:space="preserve">), we welcome the clarification of the European Commission Q&amp;A that these instruments can be regarded as hedging for both, the producer and the buyer, if it may be considered as directly related to its commercial activity. However, we note this is rarely the case as the buyer would need a corresponding underlying commercial activity and commodity risk to link this to. Usually, energy firms are unable to link this to their commercial activities of power or gas supply and production. On this basis, they would not be able to rely on the hedging exemption and therefore the provision of the hedge would count against the clearing threshold. As ESMA has identified </w:t>
      </w:r>
      <w:r>
        <w:t xml:space="preserve">in </w:t>
      </w:r>
      <w:r w:rsidRPr="0043511D">
        <w:t xml:space="preserve">paragraph 94 of the consultation paper, these VPPAs can quickly add up in terms of contribution towards the clearing thresholds. </w:t>
      </w:r>
    </w:p>
    <w:p w14:paraId="6642B0E2" w14:textId="71DCC416" w:rsidR="0043511D" w:rsidRPr="0043511D" w:rsidRDefault="0043511D" w:rsidP="0043511D">
      <w:r w:rsidRPr="0043511D">
        <w:t>The Frontier Economics EMIR Study underscores the importance of VPPAs in meeting EU Green Deal and energy transition objectives and highlights that the current hedging exemption is not fit-for-purpose in the context of such arrangements. As VPPAs are often high in notional value and long-dated (10 to 15 years), they significantly inflate clearing threshold calculations - despite posing no systemic risk - if not treated as risk-reducing because they need to be considered for their entire lifetime as opposed to a 12-months period from the date of their execution (as is the case under the Dodd Frank Act in the US). The EMIR Study calculates that a single large-scale offshore wind park with a contracted capacity over 12 years of more than 900 MW would lead to a</w:t>
      </w:r>
      <w:r w:rsidR="001074C8">
        <w:t xml:space="preserve"> clearing threshold</w:t>
      </w:r>
      <w:r w:rsidRPr="0043511D">
        <w:t xml:space="preserve"> usage of 3 billion </w:t>
      </w:r>
      <w:r w:rsidR="001074C8">
        <w:t xml:space="preserve">Euro </w:t>
      </w:r>
      <w:r w:rsidRPr="0043511D">
        <w:t>and hence a further large-scale VPPA could not be accommodated by a single NFC- under the current CCT. Additionally, these contracts often serve as a substitute for physical infrastructure investments by energy market participants. Structurally, they mirror the risk profile of direct energy procurement or physical power purchase agreements, without involving grid access or ownership. In this way, they enable competition, flexibility, and cost-effective participation in the energy transition. This case, by the way, is an example for our answers to Q3 (need to keep sufficient space in clearing thresholds for cases of doubt, etc.)</w:t>
      </w:r>
    </w:p>
    <w:p w14:paraId="36D37DFB" w14:textId="02CA7227" w:rsidR="005E6AB9" w:rsidRDefault="005E6AB9" w:rsidP="005E6AB9"/>
    <w:permEnd w:id="2081836860"/>
    <w:p w14:paraId="6A94D4DC" w14:textId="77777777"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lastRenderedPageBreak/>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36A871DE" w14:textId="4E99AD13" w:rsidR="005E6AB9" w:rsidRDefault="00B90637" w:rsidP="005E6AB9">
      <w:permStart w:id="307772646" w:edGrp="everyone"/>
      <w:r>
        <w:t>No answer.</w:t>
      </w:r>
    </w:p>
    <w:permEnd w:id="307772646"/>
    <w:p w14:paraId="772517DA" w14:textId="77777777" w:rsidR="005E6AB9" w:rsidRDefault="005E6AB9" w:rsidP="005E6AB9">
      <w:r>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C822" w14:textId="77777777" w:rsidR="003C2FC0" w:rsidRDefault="003C2FC0" w:rsidP="007E7997">
      <w:pPr>
        <w:spacing w:line="240" w:lineRule="auto"/>
      </w:pPr>
      <w:r>
        <w:separator/>
      </w:r>
    </w:p>
  </w:endnote>
  <w:endnote w:type="continuationSeparator" w:id="0">
    <w:p w14:paraId="2D338329" w14:textId="77777777" w:rsidR="003C2FC0" w:rsidRDefault="003C2FC0" w:rsidP="007E7997">
      <w:pPr>
        <w:spacing w:line="240" w:lineRule="auto"/>
      </w:pPr>
      <w:r>
        <w:continuationSeparator/>
      </w:r>
    </w:p>
  </w:endnote>
  <w:endnote w:type="continuationNotice" w:id="1">
    <w:p w14:paraId="03BB6CAE" w14:textId="77777777" w:rsidR="003C2FC0" w:rsidRDefault="003C2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C9A9" w14:textId="77777777" w:rsidR="003C2FC0" w:rsidRDefault="003C2FC0" w:rsidP="007E7997">
      <w:pPr>
        <w:spacing w:line="240" w:lineRule="auto"/>
      </w:pPr>
      <w:r>
        <w:separator/>
      </w:r>
    </w:p>
  </w:footnote>
  <w:footnote w:type="continuationSeparator" w:id="0">
    <w:p w14:paraId="48EABA6F" w14:textId="77777777" w:rsidR="003C2FC0" w:rsidRDefault="003C2FC0" w:rsidP="007E7997">
      <w:pPr>
        <w:spacing w:line="240" w:lineRule="auto"/>
      </w:pPr>
      <w:r>
        <w:continuationSeparator/>
      </w:r>
    </w:p>
  </w:footnote>
  <w:footnote w:type="continuationNotice" w:id="1">
    <w:p w14:paraId="255C639D" w14:textId="77777777" w:rsidR="003C2FC0" w:rsidRDefault="003C2FC0">
      <w:pPr>
        <w:spacing w:after="0" w:line="240" w:lineRule="auto"/>
      </w:pPr>
    </w:p>
  </w:footnote>
  <w:footnote w:id="2">
    <w:p w14:paraId="71B5AC1E" w14:textId="77777777" w:rsidR="0043511D" w:rsidRPr="00CC3FC2" w:rsidRDefault="0043511D" w:rsidP="0043511D">
      <w:pPr>
        <w:pStyle w:val="Funotentext"/>
      </w:pPr>
      <w:r w:rsidRPr="00CC3FC2">
        <w:rPr>
          <w:rFonts w:ascii="Calibri" w:hAnsi="Calibri"/>
          <w:szCs w:val="16"/>
        </w:rPr>
        <w:footnoteRef/>
      </w:r>
      <w:r w:rsidRPr="00CC3FC2">
        <w:rPr>
          <w:rFonts w:ascii="Calibri" w:hAnsi="Calibri"/>
          <w:szCs w:val="16"/>
        </w:rPr>
        <w:t xml:space="preserve"> </w:t>
      </w:r>
      <w:r>
        <w:rPr>
          <w:rFonts w:ascii="Calibri" w:hAnsi="Calibri"/>
          <w:szCs w:val="16"/>
        </w:rPr>
        <w:tab/>
      </w:r>
      <w:r w:rsidRPr="00CC3FC2">
        <w:rPr>
          <w:rFonts w:ascii="Calibri" w:hAnsi="Calibri"/>
          <w:szCs w:val="16"/>
        </w:rPr>
        <w:t>See CFTC/SEC: Further Definition of ‘‘Swap Dealer,’’ ‘‘Security-Based Swap Dealer,’’ ‘‘Major Swap Participant,’’ ‘‘Major Security-</w:t>
      </w:r>
      <w:r>
        <w:rPr>
          <w:rFonts w:ascii="Calibri" w:hAnsi="Calibri"/>
          <w:szCs w:val="16"/>
        </w:rPr>
        <w:tab/>
      </w:r>
      <w:r w:rsidRPr="00CC3FC2">
        <w:rPr>
          <w:rFonts w:ascii="Calibri" w:hAnsi="Calibri"/>
          <w:szCs w:val="16"/>
        </w:rPr>
        <w:t>Based Swap Participant’’ and ‘‘Eligible Contract Participant’’</w:t>
      </w:r>
      <w:r>
        <w:rPr>
          <w:rFonts w:ascii="Calibri" w:hAnsi="Calibri"/>
          <w:szCs w:val="16"/>
        </w:rPr>
        <w:t>, Federal Register, May 2012, p. 30671.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3A7FA23C" w:rsidR="00D77369" w:rsidRPr="00A51B24" w:rsidRDefault="00D77369" w:rsidP="008858FE">
    <w:pPr>
      <w:pStyle w:val="Kopfzeile"/>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041AC"/>
    <w:multiLevelType w:val="hybridMultilevel"/>
    <w:tmpl w:val="5AD28B6C"/>
    <w:lvl w:ilvl="0" w:tplc="953830A6">
      <w:start w:val="1"/>
      <w:numFmt w:val="bullet"/>
      <w:lvlText w:val=""/>
      <w:lvlJc w:val="left"/>
      <w:pPr>
        <w:ind w:left="720" w:hanging="360"/>
      </w:pPr>
      <w:rPr>
        <w:rFonts w:ascii="Symbol" w:hAnsi="Symbol" w:hint="default"/>
        <w:color w:val="34009F"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Listenabsatz"/>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5"/>
  </w:num>
  <w:num w:numId="3" w16cid:durableId="1675497260">
    <w:abstractNumId w:val="10"/>
  </w:num>
  <w:num w:numId="4" w16cid:durableId="1146706333">
    <w:abstractNumId w:val="4"/>
  </w:num>
  <w:num w:numId="5" w16cid:durableId="1502348752">
    <w:abstractNumId w:val="0"/>
  </w:num>
  <w:num w:numId="6" w16cid:durableId="1544101585">
    <w:abstractNumId w:val="6"/>
  </w:num>
  <w:num w:numId="7" w16cid:durableId="896626050">
    <w:abstractNumId w:val="13"/>
  </w:num>
  <w:num w:numId="8" w16cid:durableId="806780153">
    <w:abstractNumId w:val="2"/>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43876516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752"/>
    <w:rsid w:val="00104DFF"/>
    <w:rsid w:val="00104FD6"/>
    <w:rsid w:val="00105115"/>
    <w:rsid w:val="0010560D"/>
    <w:rsid w:val="001058E6"/>
    <w:rsid w:val="00105B37"/>
    <w:rsid w:val="00106494"/>
    <w:rsid w:val="00106799"/>
    <w:rsid w:val="001067FA"/>
    <w:rsid w:val="001069C1"/>
    <w:rsid w:val="00106F04"/>
    <w:rsid w:val="001074C8"/>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11D"/>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0066"/>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5B7E"/>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637"/>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E3E"/>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4FE1"/>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FD6"/>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tzhalt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4145D"/>
    <w:rsid w:val="004D67E0"/>
    <w:rsid w:val="004E4CF9"/>
    <w:rsid w:val="005D66AB"/>
    <w:rsid w:val="00695B7E"/>
    <w:rsid w:val="006D3543"/>
    <w:rsid w:val="00735E80"/>
    <w:rsid w:val="00736117"/>
    <w:rsid w:val="00740052"/>
    <w:rsid w:val="00813189"/>
    <w:rsid w:val="00813EAE"/>
    <w:rsid w:val="008222A0"/>
    <w:rsid w:val="00836D47"/>
    <w:rsid w:val="00915854"/>
    <w:rsid w:val="00982D57"/>
    <w:rsid w:val="00993537"/>
    <w:rsid w:val="009B6B9C"/>
    <w:rsid w:val="009C0B17"/>
    <w:rsid w:val="00A44918"/>
    <w:rsid w:val="00B22006"/>
    <w:rsid w:val="00B46CAE"/>
    <w:rsid w:val="00C44E3E"/>
    <w:rsid w:val="00D40353"/>
    <w:rsid w:val="00DC3796"/>
    <w:rsid w:val="00DC4211"/>
    <w:rsid w:val="00F81463"/>
    <w:rsid w:val="00F96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f8a34de1f94700966b9f441c89d074c4">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eab55a4afd39e1e5e3521340cc10d860"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1007</Value>
      <Value>282</Value>
      <Value>50</Value>
    </TaxCatchAll>
    <_dlc_DocId xmlns="d0fb0f98-34f9-4d57-9559-eb8efd17aa5e">ESMA74-1049116226-878</_dlc_DocId>
    <_dlc_DocIdUrl xmlns="d0fb0f98-34f9-4d57-9559-eb8efd17aa5e">
      <Url>https://securitiesandmarketsauth.sharepoint.com/sites/sherpa-trdu/_layouts/15/DocIdRedir.aspx?ID=ESMA74-1049116226-878</Url>
      <Description>ESMA74-1049116226-878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Clearing Thresholds</TermName>
          <TermId xmlns="http://schemas.microsoft.com/office/infopath/2007/PartnerControls">f80ecc4b-2297-487c-8b46-e1a865bfbd79</TermId>
        </TermInfo>
      </Terms>
    </caa5aeb1a6644849b60fbe2335e1265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DEC3B809-CC63-4594-9390-E846CA74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7858C-3128-45EF-AE36-4A7D702B3BF5}">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2b21f3d8-9360-49c0-b219-5a91ba850bc3"/>
    <ds:schemaRef ds:uri="http://purl.org/dc/dcmitype/"/>
    <ds:schemaRef ds:uri="d0fb0f98-34f9-4d57-9559-eb8efd17aa5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1700</Words>
  <Characters>10711</Characters>
  <Application>Microsoft Office Word</Application>
  <DocSecurity>8</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Kuhn, Dr. Norbert</cp:lastModifiedBy>
  <cp:revision>4</cp:revision>
  <cp:lastPrinted>2023-09-09T00:53:00Z</cp:lastPrinted>
  <dcterms:created xsi:type="dcterms:W3CDTF">2025-06-12T15:20:00Z</dcterms:created>
  <dcterms:modified xsi:type="dcterms:W3CDTF">2025-06-13T06:55:00Z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ies>
</file>