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5633A7B7" w14:textId="77777777" w:rsidR="00870A24" w:rsidRDefault="00870A24" w:rsidP="00F72D28">
          <w:pPr>
            <w:pStyle w:val="Titel"/>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el"/>
          </w:pPr>
        </w:p>
        <w:p w14:paraId="01438AE1" w14:textId="052010EB" w:rsidR="00563C1F" w:rsidRDefault="00EC6066" w:rsidP="00F72D28">
          <w:pPr>
            <w:pStyle w:val="Titel"/>
          </w:pPr>
          <w:r>
            <w:t xml:space="preserve">Reply </w:t>
          </w:r>
          <w:r w:rsidR="00DD03DC">
            <w:t>F</w:t>
          </w:r>
          <w:r>
            <w:t>orm</w:t>
          </w:r>
        </w:p>
        <w:p w14:paraId="031F2108" w14:textId="6ED64E55" w:rsidR="007E7997" w:rsidRPr="00C01571" w:rsidRDefault="00D77369" w:rsidP="00D77369">
          <w:pPr>
            <w:pStyle w:val="Untertitel"/>
            <w:rPr>
              <w:rFonts w:cs="Arial"/>
              <w:sz w:val="36"/>
              <w:szCs w:val="36"/>
            </w:rPr>
          </w:pPr>
          <w:r w:rsidRPr="00C01571">
            <w:rPr>
              <w:noProof/>
              <w:sz w:val="36"/>
              <w:szCs w:val="36"/>
              <w:lang w:val="de-AT" w:eastAsia="de-AT"/>
            </w:rPr>
            <mc:AlternateContent>
              <mc:Choice Requires="wps">
                <w:drawing>
                  <wp:anchor distT="0" distB="0" distL="114300" distR="114300" simplePos="0" relativeHeight="251658240" behindDoc="1" locked="1" layoutInCell="1" allowOverlap="0" wp14:anchorId="72CBE987" wp14:editId="58A94EEA">
                    <wp:simplePos x="0" y="0"/>
                    <wp:positionH relativeFrom="page">
                      <wp:posOffset>1905</wp:posOffset>
                    </wp:positionH>
                    <wp:positionV relativeFrom="paragraph">
                      <wp:posOffset>510540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2C578" id="Freeform: Shape 1" o:spid="_x0000_s1026" style="position:absolute;margin-left:.15pt;margin-top:40.2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kiKQ+N8AAAAJ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B400C4">
            <w:rPr>
              <w:rFonts w:cs="Arial"/>
              <w:b/>
              <w:sz w:val="36"/>
              <w:szCs w:val="36"/>
            </w:rPr>
            <w:t>D</w:t>
          </w:r>
          <w:r w:rsidR="00B400C4" w:rsidRPr="00B400C4">
            <w:rPr>
              <w:rFonts w:cs="Arial"/>
              <w:b/>
              <w:sz w:val="36"/>
              <w:szCs w:val="36"/>
            </w:rPr>
            <w:t>raft technical standards amending Regulation (EU) 149/2013 to further detail the new EMIR clearing thresholds regime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Untertitel"/>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enabsatz"/>
            <w:rPr>
              <w:lang w:val="en-GB"/>
            </w:rPr>
          </w:pPr>
          <w:r w:rsidRPr="00DB2FD6">
            <w:rPr>
              <w:lang w:val="en-GB"/>
            </w:rPr>
            <w:t>respond to the question stated;</w:t>
          </w:r>
        </w:p>
        <w:p w14:paraId="72FD40F6" w14:textId="77777777" w:rsidR="002533FC" w:rsidRPr="00DB2FD6" w:rsidRDefault="002533FC" w:rsidP="00EC6066">
          <w:pPr>
            <w:pStyle w:val="Listenabsatz"/>
            <w:rPr>
              <w:lang w:val="en-GB"/>
            </w:rPr>
          </w:pPr>
          <w:r w:rsidRPr="00DB2FD6">
            <w:rPr>
              <w:lang w:val="en-GB"/>
            </w:rPr>
            <w:t>indicate the specific question to which the comment relates;</w:t>
          </w:r>
        </w:p>
        <w:p w14:paraId="78B206B7" w14:textId="77777777" w:rsidR="002533FC" w:rsidRPr="00E13D25" w:rsidRDefault="002533FC" w:rsidP="00EC6066">
          <w:pPr>
            <w:pStyle w:val="Listenabsatz"/>
          </w:pPr>
          <w:r w:rsidRPr="00E13D25">
            <w:t>contain a clear rationale; and</w:t>
          </w:r>
        </w:p>
        <w:p w14:paraId="60B8834E" w14:textId="77777777" w:rsidR="002533FC" w:rsidRPr="00DB2FD6" w:rsidRDefault="002533FC" w:rsidP="00EC6066">
          <w:pPr>
            <w:pStyle w:val="Listenabsatz"/>
            <w:rPr>
              <w:lang w:val="en-GB"/>
            </w:rPr>
          </w:pPr>
          <w:r w:rsidRPr="00DB2FD6">
            <w:rPr>
              <w:lang w:val="en-GB"/>
            </w:rPr>
            <w:t>describe any alternatives ESMA should consider.</w:t>
          </w:r>
        </w:p>
        <w:p w14:paraId="219225AC" w14:textId="719875BB" w:rsidR="002533FC" w:rsidRPr="005B6B12" w:rsidRDefault="002533FC" w:rsidP="002533FC">
          <w:r w:rsidRPr="005B6B12">
            <w:t xml:space="preserve">ESMA will consider all comments received by </w:t>
          </w:r>
          <w:r w:rsidR="008559E2">
            <w:rPr>
              <w:b/>
              <w:bCs/>
              <w:color w:val="auto"/>
            </w:rPr>
            <w:t>16</w:t>
          </w:r>
          <w:r w:rsidR="4A420E9D" w:rsidRPr="1768F097">
            <w:rPr>
              <w:b/>
              <w:bCs/>
              <w:color w:val="auto"/>
            </w:rPr>
            <w:t xml:space="preserve"> </w:t>
          </w:r>
          <w:r w:rsidR="00392A82">
            <w:rPr>
              <w:b/>
              <w:bCs/>
              <w:color w:val="auto"/>
            </w:rPr>
            <w:t>June</w:t>
          </w:r>
          <w:r w:rsidR="0029727F" w:rsidRPr="1768F097">
            <w:rPr>
              <w:b/>
              <w:color w:val="auto"/>
            </w:rPr>
            <w:t xml:space="preserve"> 202</w:t>
          </w:r>
          <w:r w:rsidR="00CA6782">
            <w:rPr>
              <w:b/>
              <w:color w:val="auto"/>
            </w:rPr>
            <w:t>5</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Untertitel"/>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16EA12B" w:rsidR="00EC6066" w:rsidRPr="00C5469A" w:rsidRDefault="00EC6066" w:rsidP="00EC6066">
          <w:pPr>
            <w:ind w:left="142"/>
            <w:rPr>
              <w:bCs/>
            </w:rPr>
          </w:pPr>
          <w:r w:rsidRPr="0026459D">
            <w:rPr>
              <w:bCs/>
            </w:rPr>
            <w:t>•</w:t>
          </w:r>
          <w:r w:rsidRPr="0026459D">
            <w:rPr>
              <w:bCs/>
            </w:rPr>
            <w:tab/>
            <w:t xml:space="preserve">Please </w:t>
          </w:r>
          <w:r w:rsidRPr="00B400C4">
            <w:rPr>
              <w:b/>
            </w:rPr>
            <w:t>do not remove</w:t>
          </w:r>
          <w:r w:rsidRPr="0026459D">
            <w:rPr>
              <w:bCs/>
            </w:rPr>
            <w:t xml:space="preserve"> tags of the type &lt;</w:t>
          </w:r>
          <w:r w:rsidRPr="00557BD2">
            <w:t xml:space="preserve"> </w:t>
          </w:r>
          <w:r w:rsidRPr="00557BD2">
            <w:rPr>
              <w:bCs/>
            </w:rPr>
            <w:t>ESMA_</w:t>
          </w:r>
          <w:r w:rsidRPr="00C5469A">
            <w:rPr>
              <w:bCs/>
            </w:rPr>
            <w:t>QUESTION</w:t>
          </w:r>
          <w:r w:rsidR="00C62B79">
            <w:rPr>
              <w:bCs/>
            </w:rPr>
            <w:t>_</w:t>
          </w:r>
          <w:r w:rsidR="002F0D97">
            <w:rPr>
              <w:bCs/>
            </w:rPr>
            <w:t>CPCT</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w:t>
          </w:r>
          <w:r w:rsidRPr="00B400C4">
            <w:rPr>
              <w:b/>
            </w:rPr>
            <w:t xml:space="preserve">do not delete it but simply </w:t>
          </w:r>
          <w:r w:rsidRPr="00B400C4">
            <w:rPr>
              <w:b/>
            </w:rPr>
            <w:tab/>
            <w:t>leave the text</w:t>
          </w:r>
          <w:r w:rsidRPr="00C5469A">
            <w:rPr>
              <w:bCs/>
            </w:rPr>
            <w:t xml:space="preserve"> “TYPE YOUR TEXT HERE” between the tags.</w:t>
          </w:r>
        </w:p>
        <w:p w14:paraId="4D646F3A" w14:textId="4996A2F0"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392A82">
            <w:rPr>
              <w:bCs/>
            </w:rPr>
            <w:t>CP</w:t>
          </w:r>
          <w:r w:rsidR="002F0D97">
            <w:rPr>
              <w:bCs/>
            </w:rPr>
            <w:t>CT</w:t>
          </w:r>
          <w:r w:rsidRPr="00C5469A">
            <w:rPr>
              <w:bCs/>
            </w:rPr>
            <w:t xml:space="preserve">_nameofrespondent. </w:t>
          </w:r>
        </w:p>
        <w:p w14:paraId="210BE93A" w14:textId="2C566F27"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2F0D97">
            <w:rPr>
              <w:bCs/>
            </w:rPr>
            <w:t>CPCT</w:t>
          </w:r>
          <w:r w:rsidRPr="00C5469A">
            <w:rPr>
              <w:bCs/>
            </w:rPr>
            <w:t>_ABCD.</w:t>
          </w:r>
        </w:p>
        <w:p w14:paraId="2E70CEDD" w14:textId="640173CC" w:rsidR="004035C7" w:rsidRDefault="00EC6066" w:rsidP="004035C7">
          <w:pPr>
            <w:ind w:left="142"/>
            <w:rPr>
              <w:bCs/>
              <w:i/>
              <w:iCs/>
            </w:rPr>
          </w:pPr>
          <w:r w:rsidRPr="0026459D">
            <w:rPr>
              <w:bCs/>
            </w:rPr>
            <w:t>•</w:t>
          </w:r>
          <w:r w:rsidRPr="0026459D">
            <w:rPr>
              <w:bCs/>
            </w:rPr>
            <w:tab/>
          </w:r>
          <w:r w:rsidRPr="00B400C4">
            <w:rPr>
              <w:bCs/>
              <w:u w:val="single"/>
            </w:rPr>
            <w:t>Upload the Word reply form containing your responses to ESMA’s website (</w:t>
          </w:r>
          <w:r w:rsidRPr="00B400C4">
            <w:rPr>
              <w:b/>
              <w:u w:val="single"/>
            </w:rPr>
            <w:t xml:space="preserve">pdf </w:t>
          </w:r>
          <w:r w:rsidRPr="00B400C4">
            <w:rPr>
              <w:b/>
            </w:rPr>
            <w:tab/>
          </w:r>
          <w:r w:rsidRPr="00B400C4">
            <w:rPr>
              <w:b/>
              <w:u w:val="single"/>
            </w:rPr>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0CE402AD" w:rsidR="005171FF" w:rsidRDefault="0011144F">
      <w:pPr>
        <w:spacing w:after="120" w:line="264" w:lineRule="auto"/>
        <w:jc w:val="left"/>
        <w:rPr>
          <w:rFonts w:asciiTheme="majorHAnsi" w:eastAsiaTheme="majorEastAsia" w:hAnsiTheme="majorHAnsi" w:cstheme="majorBidi"/>
          <w:sz w:val="28"/>
          <w:szCs w:val="24"/>
          <w:highlight w:val="yellow"/>
        </w:rPr>
      </w:pPr>
      <w:r w:rsidRPr="0011144F">
        <w:t xml:space="preserve">All interested stakeholders are invited to respond to this consultation paper. In particular, responses are sought from financial and non-financial counterparties entering into OTC derivative transactions, as well as from central counterparties (CCPs).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berschrift1"/>
        <w:rPr>
          <w:lang w:val="fr-BE"/>
        </w:rPr>
      </w:pPr>
      <w:r>
        <w:rPr>
          <w:lang w:val="fr-BE"/>
        </w:rPr>
        <w:lastRenderedPageBreak/>
        <w:t xml:space="preserve">General information about </w:t>
      </w:r>
      <w:r w:rsidRPr="00501EF4">
        <w:t>respondent</w:t>
      </w:r>
    </w:p>
    <w:tbl>
      <w:tblPr>
        <w:tblStyle w:val="Tabellenraster"/>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EndPr/>
          <w:sdtContent>
            <w:tc>
              <w:tcPr>
                <w:tcW w:w="4531" w:type="dxa"/>
              </w:tcPr>
              <w:p w14:paraId="76683ED7" w14:textId="4E0BA5D7" w:rsidR="00635BCA" w:rsidRPr="00557BD2" w:rsidRDefault="00FD6585" w:rsidP="00FD6585">
                <w:pPr>
                  <w:jc w:val="left"/>
                </w:pPr>
                <w:r>
                  <w:t>Oe</w:t>
                </w:r>
                <w:r w:rsidR="001B61BE">
                  <w:t xml:space="preserve">sterreichs Energie </w:t>
                </w:r>
                <w:r>
                  <w:t xml:space="preserve">- </w:t>
                </w:r>
                <w:r w:rsidR="001B61BE">
                  <w:t>Ass</w:t>
                </w:r>
                <w:r w:rsidR="00366DBB">
                  <w:t>o</w:t>
                </w:r>
                <w:r w:rsidR="001B61BE">
                  <w:t xml:space="preserve">ciation of </w:t>
                </w:r>
                <w:r>
                  <w:t>Austrian E</w:t>
                </w:r>
                <w:r w:rsidR="001B61BE">
                  <w:t xml:space="preserve">lectricity </w:t>
                </w:r>
                <w:r>
                  <w:t>Companies</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nvestment firm" w:value="Investment firm"/>
              <w:listItem w:displayText="Credit institution" w:value="Credit institution"/>
              <w:listItem w:displayText="Asset management company" w:value="Asset management company"/>
              <w:listItem w:displayText="Trading Venue" w:value="Trading Venue"/>
              <w:listItem w:displayText="Issuer (SME)" w:value="Issuer (SME)"/>
              <w:listItem w:displayText="Issuer (Other than SME)" w:value="Issuer (Other than SME)"/>
              <w:listItem w:displayText="Retail investor" w:value="Retail investor"/>
              <w:listItem w:displayText="Institutional investor" w:value="Institutional investor"/>
              <w:listItem w:displayText="Trade Association" w:value="Trade Association"/>
              <w:listItem w:displayText="Public authority" w:value="Public authority"/>
              <w:listItem w:displayText="Consultant" w:value="Consultant"/>
              <w:listItem w:displayText="Academic" w:value="Academic"/>
              <w:listItem w:displayText="Other" w:value="Other"/>
            </w:comboBox>
          </w:sdtPr>
          <w:sdtEndPr/>
          <w:sdtContent>
            <w:tc>
              <w:tcPr>
                <w:tcW w:w="4531" w:type="dxa"/>
              </w:tcPr>
              <w:p w14:paraId="1185A96B" w14:textId="62AE586A" w:rsidR="00B17279" w:rsidRDefault="001B61BE" w:rsidP="00B17279">
                <w:r>
                  <w:t>Other</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EndPr/>
          <w:sdtContent>
            <w:tc>
              <w:tcPr>
                <w:tcW w:w="4531" w:type="dxa"/>
              </w:tcPr>
              <w:p w14:paraId="10359AFE" w14:textId="23D8B2E3" w:rsidR="00B17279" w:rsidRDefault="00444A3E" w:rsidP="00B17279">
                <w:r>
                  <w:rPr>
                    <w:rFonts w:ascii="MS Gothic" w:eastAsia="MS Gothic" w:hAnsi="MS Gothic" w:hint="eastAsia"/>
                  </w:rPr>
                  <w:t>☐</w:t>
                </w:r>
              </w:p>
            </w:tc>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4AB6FF81" w:rsidR="00B17279" w:rsidRPr="00557BD2" w:rsidRDefault="001B61BE" w:rsidP="00B17279">
                <w:r>
                  <w:t>Austria</w:t>
                </w:r>
              </w:p>
            </w:tc>
            <w:permEnd w:id="1104175425" w:displacedByCustomXml="next"/>
          </w:sdtContent>
        </w:sdt>
      </w:tr>
    </w:tbl>
    <w:p w14:paraId="5683698C" w14:textId="77777777" w:rsidR="00B17279" w:rsidRPr="00053B66" w:rsidRDefault="00B17279" w:rsidP="00635BCA"/>
    <w:p w14:paraId="100113CC" w14:textId="281AB360" w:rsidR="005E6AB9" w:rsidRPr="005E6AB9" w:rsidRDefault="00635BCA" w:rsidP="005E6AB9">
      <w:pPr>
        <w:pStyle w:val="berschrift1"/>
        <w:rPr>
          <w:lang w:val="fr-BE"/>
        </w:rPr>
      </w:pPr>
      <w:r w:rsidRPr="00557BD2">
        <w:rPr>
          <w:lang w:val="fr-BE"/>
        </w:rPr>
        <w:t>Questions</w:t>
      </w:r>
    </w:p>
    <w:p w14:paraId="146136B4" w14:textId="77777777" w:rsidR="005E6AB9" w:rsidRDefault="005E6AB9" w:rsidP="005E6AB9">
      <w:pPr>
        <w:pStyle w:val="Questionstyle"/>
        <w:numPr>
          <w:ilvl w:val="0"/>
          <w:numId w:val="16"/>
        </w:numPr>
        <w:tabs>
          <w:tab w:val="clear" w:pos="567"/>
        </w:tabs>
        <w:spacing w:before="120" w:after="120"/>
        <w:ind w:left="851" w:hanging="425"/>
      </w:pPr>
      <w:r>
        <w:t xml:space="preserve">Do you agree that the aggregate thresholds should only be set for those asset classes subject to the CO i.e. IRDs and credit derivatives? If not, please elaborate.  </w:t>
      </w:r>
    </w:p>
    <w:p w14:paraId="707C56B4" w14:textId="77777777" w:rsidR="005E6AB9" w:rsidRDefault="005E6AB9" w:rsidP="005E6AB9">
      <w:r>
        <w:t>&lt;ESMA_QUESTION_CPCT_1&gt;</w:t>
      </w:r>
    </w:p>
    <w:p w14:paraId="2C97E313" w14:textId="77777777" w:rsidR="00AC3CC3" w:rsidRPr="00FD6585" w:rsidRDefault="00AC3CC3" w:rsidP="00AC3CC3">
      <w:pPr>
        <w:pStyle w:val="StandardWeb"/>
        <w:rPr>
          <w:lang w:val="en-US"/>
        </w:rPr>
      </w:pPr>
      <w:permStart w:id="380310048" w:edGrp="everyone"/>
      <w:r w:rsidRPr="00FD6585">
        <w:rPr>
          <w:bCs/>
          <w:lang w:val="en-US"/>
        </w:rPr>
        <w:t>Yes, we agree that aggregate thresholds should only apply to IRDs and credit derivatives, as</w:t>
      </w:r>
      <w:r w:rsidRPr="00FD6585">
        <w:rPr>
          <w:lang w:val="en-US"/>
        </w:rPr>
        <w:t xml:space="preserve"> the existing thresholds for financial counterparties are well-established and functioning.</w:t>
      </w:r>
    </w:p>
    <w:p w14:paraId="59EF0F37" w14:textId="77777777" w:rsidR="00AC3CC3" w:rsidRPr="00FD6585" w:rsidRDefault="00AC3CC3" w:rsidP="00AC3CC3">
      <w:pPr>
        <w:pStyle w:val="StandardWeb"/>
        <w:rPr>
          <w:lang w:val="en-US"/>
        </w:rPr>
      </w:pPr>
      <w:r w:rsidRPr="00FD6585">
        <w:rPr>
          <w:lang w:val="en-US"/>
        </w:rPr>
        <w:t>Additionally, we urge ESMA to clarify that market participants can immediately apply the EMIR 3.0 changes to the calculation methodology upon the publication of the RTS, ensuring legal certainty and avoiding unnecessary delays.</w:t>
      </w:r>
    </w:p>
    <w:permEnd w:id="380310048"/>
    <w:p w14:paraId="2BC895E8" w14:textId="77777777" w:rsidR="005E6AB9" w:rsidRDefault="005E6AB9" w:rsidP="005E6AB9">
      <w:r>
        <w:t>&lt;ESMA_QUESTION_CPCT_1&gt;</w:t>
      </w:r>
    </w:p>
    <w:p w14:paraId="492BA20C" w14:textId="77777777" w:rsidR="005E6AB9" w:rsidRDefault="005E6AB9" w:rsidP="005E6AB9"/>
    <w:p w14:paraId="29F48C1D"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to maintain the aggregate thresholds at the current level i.e. 3 billion EUR for IRDs and 1 billion EUR for credit derivatives? If not, please elaborate. </w:t>
      </w:r>
    </w:p>
    <w:p w14:paraId="25B001A3" w14:textId="77777777" w:rsidR="005E6AB9" w:rsidRDefault="005E6AB9" w:rsidP="005E6AB9">
      <w:r>
        <w:t>&lt;ESMA_QUESTION_CPCT_2&gt;</w:t>
      </w:r>
    </w:p>
    <w:p w14:paraId="17B60092" w14:textId="25DBFEB0" w:rsidR="00AC3CC3" w:rsidRPr="00FD6585" w:rsidRDefault="00AC3CC3" w:rsidP="005E6AB9">
      <w:pPr>
        <w:rPr>
          <w:bCs/>
        </w:rPr>
      </w:pPr>
      <w:permStart w:id="169040581" w:edGrp="everyone"/>
      <w:r w:rsidRPr="00FD6585">
        <w:rPr>
          <w:bCs/>
        </w:rPr>
        <w:t>Yes, we support ESMA’s proposal.</w:t>
      </w:r>
    </w:p>
    <w:permEnd w:id="169040581"/>
    <w:p w14:paraId="468A64D6" w14:textId="3E247555" w:rsidR="005E6AB9" w:rsidRDefault="005E6AB9" w:rsidP="005E6AB9">
      <w:r>
        <w:t>&lt;ESMA_QUESTION_CPCT_2&gt;</w:t>
      </w:r>
    </w:p>
    <w:p w14:paraId="464B4114" w14:textId="77777777" w:rsidR="005E6AB9" w:rsidRDefault="005E6AB9" w:rsidP="005E6AB9"/>
    <w:p w14:paraId="500C8637" w14:textId="77777777" w:rsidR="005E6AB9" w:rsidRDefault="005E6AB9" w:rsidP="005E6AB9">
      <w:pPr>
        <w:pStyle w:val="Questionstyle"/>
        <w:numPr>
          <w:ilvl w:val="0"/>
          <w:numId w:val="16"/>
        </w:numPr>
        <w:tabs>
          <w:tab w:val="clear" w:pos="567"/>
        </w:tabs>
        <w:spacing w:before="120" w:after="120"/>
        <w:ind w:left="851" w:hanging="425"/>
      </w:pPr>
      <w:r>
        <w:t xml:space="preserve">Do you agree with the proposed uncleared thresholds? If not, please elaborate, explain for which asset class(es) and, where possible, provide supporting data and elements. </w:t>
      </w:r>
    </w:p>
    <w:p w14:paraId="0B85BFAE" w14:textId="77777777" w:rsidR="005E6AB9" w:rsidRDefault="005E6AB9" w:rsidP="005E6AB9">
      <w:r>
        <w:t>&lt;ESMA_QUESTION_CPCT_3&gt;</w:t>
      </w:r>
    </w:p>
    <w:p w14:paraId="054480A3" w14:textId="24403E79" w:rsidR="00FB6758" w:rsidRPr="00FD6585" w:rsidRDefault="00FB6758" w:rsidP="00FB6758">
      <w:pPr>
        <w:pStyle w:val="StandardWeb"/>
        <w:rPr>
          <w:bCs/>
          <w:lang w:val="en-US"/>
        </w:rPr>
      </w:pPr>
      <w:permStart w:id="56697520" w:edGrp="everyone"/>
      <w:r w:rsidRPr="00FD6585">
        <w:rPr>
          <w:bCs/>
          <w:lang w:val="en-US"/>
        </w:rPr>
        <w:t>We do not support the proposed reduction in uncleared thresholds for OTC derivatives. Given rising costs and inflation, the current thresholds should not only be maintained but increased to reflect market realities. Inflation has significantly increased the notional value of transactions, making the existing EUR 4 billion threshold for commodity derivatives insufficient. Since 2013, energy prices have more than doubled. To ensure regulatory stability and support Europe’s energy transition, the commodity derivatives threshold should be increased rather than reduced.</w:t>
      </w:r>
    </w:p>
    <w:permEnd w:id="56697520"/>
    <w:p w14:paraId="0408FDBA" w14:textId="77777777" w:rsidR="005E6AB9" w:rsidRDefault="005E6AB9" w:rsidP="005E6AB9">
      <w:r>
        <w:t>&lt;ESMA_QUESTION_CPCT_3&gt;</w:t>
      </w:r>
    </w:p>
    <w:p w14:paraId="67FA7813" w14:textId="77777777" w:rsidR="005E6AB9" w:rsidRDefault="005E6AB9" w:rsidP="005E6AB9"/>
    <w:p w14:paraId="0EDD50E4"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in the RTS separate thresholds for the various commodity derivatives sub-asset classes at this stage? If not, please elaborate. </w:t>
      </w:r>
    </w:p>
    <w:p w14:paraId="5B74E217" w14:textId="77777777" w:rsidR="005E6AB9" w:rsidRDefault="005E6AB9" w:rsidP="005E6AB9">
      <w:r>
        <w:t>&lt;ESMA_QUESTION_CPCT_4&gt;</w:t>
      </w:r>
    </w:p>
    <w:p w14:paraId="726A7B40" w14:textId="77777777" w:rsidR="00E11E28" w:rsidRPr="00FD6585" w:rsidRDefault="00E11E28" w:rsidP="00E11E28">
      <w:pPr>
        <w:pStyle w:val="StandardWeb"/>
        <w:rPr>
          <w:lang w:val="en-US"/>
        </w:rPr>
      </w:pPr>
      <w:permStart w:id="1125530746" w:edGrp="everyone"/>
      <w:r w:rsidRPr="00FD6585">
        <w:rPr>
          <w:bCs/>
          <w:lang w:val="en-US"/>
        </w:rPr>
        <w:t>We support ESMA’s proposal to maintain a single, aggregated threshold for commodity derivatives. Introducing separate thresholds would unnecessarily complicate risk</w:t>
      </w:r>
      <w:r w:rsidRPr="00FD6585">
        <w:rPr>
          <w:lang w:val="en-US"/>
        </w:rPr>
        <w:t xml:space="preserve"> management, increase compliance burdens, and reduce market liquidity.</w:t>
      </w:r>
    </w:p>
    <w:p w14:paraId="7A074061" w14:textId="77777777" w:rsidR="00E11E28" w:rsidRPr="00FD6585" w:rsidRDefault="00E11E28" w:rsidP="00E11E28">
      <w:pPr>
        <w:pStyle w:val="StandardWeb"/>
        <w:rPr>
          <w:lang w:val="en-US"/>
        </w:rPr>
      </w:pPr>
      <w:r w:rsidRPr="00FD6585">
        <w:rPr>
          <w:lang w:val="en-US"/>
        </w:rPr>
        <w:t>Energy market participants manage risk across multiple commodity sub-classes, such as power and gas, using portfolio-based strategies. Fragmenting the threshold would disrupt these practices and reduce hedging efficiency. It would also require ongoing recalibration, adding operational complexity while discouraging trading in certain commodities.</w:t>
      </w:r>
    </w:p>
    <w:p w14:paraId="033DCC71" w14:textId="77777777" w:rsidR="00E11E28" w:rsidRPr="00FD6585" w:rsidRDefault="00E11E28" w:rsidP="00E11E28">
      <w:pPr>
        <w:pStyle w:val="StandardWeb"/>
        <w:rPr>
          <w:lang w:val="en-US"/>
        </w:rPr>
      </w:pPr>
      <w:r w:rsidRPr="00FD6585">
        <w:rPr>
          <w:lang w:val="en-US"/>
        </w:rPr>
        <w:t>There is no clear systemic risk justification for this change, as the existing aggregated threshold effectively captures overall exposure. Maintaining a unified approach ensures stability and aligns with market realities.</w:t>
      </w:r>
    </w:p>
    <w:permEnd w:id="1125530746"/>
    <w:p w14:paraId="13EFD1F1" w14:textId="77777777" w:rsidR="005E6AB9" w:rsidRDefault="005E6AB9" w:rsidP="005E6AB9">
      <w:r>
        <w:t>&lt;ESMA_QUESTION_CPCT_4&gt;</w:t>
      </w:r>
    </w:p>
    <w:p w14:paraId="7255C212" w14:textId="77777777" w:rsidR="005E6AB9" w:rsidRDefault="005E6AB9" w:rsidP="005E6AB9"/>
    <w:p w14:paraId="5F031D3B" w14:textId="77777777" w:rsidR="005E6AB9" w:rsidRDefault="005E6AB9" w:rsidP="005E6AB9">
      <w:pPr>
        <w:pStyle w:val="Questionstyle"/>
        <w:numPr>
          <w:ilvl w:val="0"/>
          <w:numId w:val="16"/>
        </w:numPr>
        <w:tabs>
          <w:tab w:val="clear" w:pos="567"/>
        </w:tabs>
        <w:spacing w:before="120" w:after="120"/>
        <w:ind w:left="851" w:hanging="425"/>
      </w:pPr>
      <w:r>
        <w:lastRenderedPageBreak/>
        <w:t xml:space="preserve">Do you agree with ESMA’s proposal to have in the fifth bucket only commodity and emission allowance derivatives? Or do you consider that commodity derivatives should be singled out as a stand-alone category and another category for emission allowance derivatives introduced? Please elaborate.  </w:t>
      </w:r>
    </w:p>
    <w:p w14:paraId="15854178" w14:textId="77777777" w:rsidR="005E6AB9" w:rsidRDefault="005E6AB9" w:rsidP="005E6AB9">
      <w:r>
        <w:t>&lt;ESMA_QUESTION_CPCT_5&gt;</w:t>
      </w:r>
    </w:p>
    <w:p w14:paraId="0D35C163" w14:textId="77777777" w:rsidR="00E11E28" w:rsidRPr="00FD6585" w:rsidRDefault="00E11E28" w:rsidP="00E11E28">
      <w:pPr>
        <w:pStyle w:val="StandardWeb"/>
        <w:rPr>
          <w:lang w:val="en-US"/>
        </w:rPr>
      </w:pPr>
      <w:permStart w:id="396387658" w:edGrp="everyone"/>
      <w:r w:rsidRPr="00FD6585">
        <w:rPr>
          <w:bCs/>
          <w:lang w:val="en-US"/>
        </w:rPr>
        <w:t>We support ESMA’s proposal to keep commodity and emission allowance derivatives in a single bucket rather than creating separate categories. A more granular approach would add</w:t>
      </w:r>
      <w:r w:rsidRPr="00FD6585">
        <w:rPr>
          <w:lang w:val="en-US"/>
        </w:rPr>
        <w:t xml:space="preserve"> unnecessary complexity and compliance burdens.</w:t>
      </w:r>
    </w:p>
    <w:p w14:paraId="6248BDF7" w14:textId="77777777" w:rsidR="00E11E28" w:rsidRPr="00FD6585" w:rsidRDefault="00E11E28" w:rsidP="00E11E28">
      <w:pPr>
        <w:pStyle w:val="StandardWeb"/>
        <w:rPr>
          <w:lang w:val="en-US"/>
        </w:rPr>
      </w:pPr>
      <w:r w:rsidRPr="00FD6585">
        <w:rPr>
          <w:lang w:val="en-US"/>
        </w:rPr>
        <w:t>Since energy firms often trade both types as part of their risk management strategies, separating them would disrupt established market practices. Keeping a combined bucket ensures consistency and aligns with existing trading structures.</w:t>
      </w:r>
    </w:p>
    <w:p w14:paraId="1BACA61E" w14:textId="77777777" w:rsidR="00E11E28" w:rsidRPr="00FD6585" w:rsidRDefault="00E11E28" w:rsidP="00E11E28">
      <w:pPr>
        <w:pStyle w:val="StandardWeb"/>
        <w:rPr>
          <w:lang w:val="en-US"/>
        </w:rPr>
      </w:pPr>
      <w:r w:rsidRPr="00FD6585">
        <w:rPr>
          <w:lang w:val="en-US"/>
        </w:rPr>
        <w:t>Maintaining this approach, along with an increase in the commodity derivatives clearing threshold, is the most practical and proportionate solution.</w:t>
      </w:r>
    </w:p>
    <w:permEnd w:id="396387658"/>
    <w:p w14:paraId="4A16B157" w14:textId="77777777" w:rsidR="005E6AB9" w:rsidRDefault="005E6AB9" w:rsidP="005E6AB9">
      <w:r>
        <w:t>&lt;ESMA_QUESTION_CPCT_5&gt;</w:t>
      </w:r>
    </w:p>
    <w:p w14:paraId="639E226E" w14:textId="77777777" w:rsidR="005E6AB9" w:rsidRDefault="005E6AB9" w:rsidP="005E6AB9"/>
    <w:p w14:paraId="449BCF45"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a sixth bucket for other derivatives at this stage? If not, please elaborate. </w:t>
      </w:r>
    </w:p>
    <w:p w14:paraId="286B66D4" w14:textId="77777777" w:rsidR="005E6AB9" w:rsidRDefault="005E6AB9" w:rsidP="005E6AB9">
      <w:r>
        <w:t>&lt;ESMA_QUESTION_CPCT_6&gt;</w:t>
      </w:r>
    </w:p>
    <w:p w14:paraId="40C60E4D" w14:textId="77777777" w:rsidR="00FD6585" w:rsidRPr="00FD6585" w:rsidRDefault="0008408F" w:rsidP="005E6AB9">
      <w:pPr>
        <w:rPr>
          <w:bCs/>
        </w:rPr>
      </w:pPr>
      <w:permStart w:id="1558385500" w:edGrp="everyone"/>
      <w:r w:rsidRPr="00FD6585">
        <w:rPr>
          <w:bCs/>
        </w:rPr>
        <w:t>We agree with ESMA’s proposal not to introduce a sixth bucket for other derivatives at this stage.</w:t>
      </w:r>
    </w:p>
    <w:permEnd w:id="1558385500"/>
    <w:p w14:paraId="39BA67C4" w14:textId="73773F58" w:rsidR="005E6AB9" w:rsidRDefault="005E6AB9" w:rsidP="005E6AB9">
      <w:r>
        <w:t>&lt;ESMA_QUESTION_CPCT_6&gt;</w:t>
      </w:r>
    </w:p>
    <w:p w14:paraId="3F2BA70A" w14:textId="77777777" w:rsidR="005E6AB9" w:rsidRDefault="005E6AB9" w:rsidP="005E6AB9"/>
    <w:p w14:paraId="08B40680"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more granular thresholds for commodity derivatives based on ESG factors at this stage? If not, please elaborate. </w:t>
      </w:r>
    </w:p>
    <w:p w14:paraId="7D6A0422" w14:textId="77777777" w:rsidR="005E6AB9" w:rsidRDefault="005E6AB9" w:rsidP="005E6AB9">
      <w:r>
        <w:t>&lt;ESMA_QUESTION_CPCT_7&gt;</w:t>
      </w:r>
    </w:p>
    <w:p w14:paraId="53DC9A8F" w14:textId="77777777" w:rsidR="0008408F" w:rsidRDefault="0008408F" w:rsidP="005E6AB9">
      <w:permStart w:id="87309562" w:edGrp="everyone"/>
      <w:r w:rsidRPr="00FD6585">
        <w:rPr>
          <w:bCs/>
        </w:rPr>
        <w:t>We agree with ESMA’s proposal not to introduce more granular thresholds for commodity</w:t>
      </w:r>
      <w:r>
        <w:t xml:space="preserve"> derivatives based on ESG factors at this stage. These products are still in an early phase of development, and introducing specific thresholds now would add complexity without clear </w:t>
      </w:r>
      <w:r>
        <w:lastRenderedPageBreak/>
        <w:t>benefits. A pragmatic approach that maintains the existing framework while allowing for future refinements as the market evolves is preferable.</w:t>
      </w:r>
    </w:p>
    <w:permEnd w:id="87309562"/>
    <w:p w14:paraId="59F74F70" w14:textId="45FB46EC" w:rsidR="005E6AB9" w:rsidRDefault="005E6AB9" w:rsidP="005E6AB9">
      <w:r>
        <w:t>&lt;ESMA_QUESTION_CPCT_7&gt;</w:t>
      </w:r>
    </w:p>
    <w:p w14:paraId="7FAF5B71" w14:textId="77777777" w:rsidR="005E6AB9" w:rsidRDefault="005E6AB9" w:rsidP="005E6AB9"/>
    <w:p w14:paraId="05540381"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more granular thresholds for commodity derivatives based on crypto-related features at this stage? If not, please elaborate. </w:t>
      </w:r>
    </w:p>
    <w:p w14:paraId="03170C50" w14:textId="77777777" w:rsidR="005E6AB9" w:rsidRDefault="005E6AB9" w:rsidP="005E6AB9">
      <w:r>
        <w:t>&lt;ESMA_QUESTION_CPCT_8&gt;</w:t>
      </w:r>
    </w:p>
    <w:p w14:paraId="1779F346" w14:textId="77777777" w:rsidR="00FD6585" w:rsidRPr="00FD6585" w:rsidRDefault="000A414F" w:rsidP="005E6AB9">
      <w:pPr>
        <w:rPr>
          <w:bCs/>
        </w:rPr>
      </w:pPr>
      <w:permStart w:id="1516456876" w:edGrp="everyone"/>
      <w:r w:rsidRPr="00FD6585">
        <w:rPr>
          <w:bCs/>
        </w:rPr>
        <w:t>We fully agree with ESMA’s proposal not to introduce more granular thresholds for commodity derivatives based on crypto-related features at this stage.</w:t>
      </w:r>
    </w:p>
    <w:permEnd w:id="1516456876"/>
    <w:p w14:paraId="002B52F6" w14:textId="091F7937" w:rsidR="005E6AB9" w:rsidRDefault="005E6AB9" w:rsidP="005E6AB9">
      <w:r>
        <w:t>&lt;ESMA_QUESTION_CPCT_8&gt;</w:t>
      </w:r>
    </w:p>
    <w:p w14:paraId="191A53CD" w14:textId="77777777" w:rsidR="005E6AB9" w:rsidRDefault="005E6AB9" w:rsidP="005E6AB9"/>
    <w:p w14:paraId="220DAE4D" w14:textId="77777777" w:rsidR="005E6AB9" w:rsidRDefault="005E6AB9" w:rsidP="005E6AB9">
      <w:pPr>
        <w:pStyle w:val="Questionstyle"/>
        <w:numPr>
          <w:ilvl w:val="0"/>
          <w:numId w:val="16"/>
        </w:numPr>
        <w:tabs>
          <w:tab w:val="clear" w:pos="567"/>
        </w:tabs>
        <w:spacing w:before="120" w:after="120"/>
        <w:ind w:left="851" w:hanging="425"/>
      </w:pPr>
      <w:r>
        <w:t xml:space="preserve">Do you consider clarifications should be included in Article 10 of Commission Delegated Regulation (EU) No 149/2013? If yes, please specify and if possible, provide arguments and drafting suggestions. </w:t>
      </w:r>
    </w:p>
    <w:p w14:paraId="01E4851E" w14:textId="77777777" w:rsidR="005E6AB9" w:rsidRDefault="005E6AB9" w:rsidP="005E6AB9">
      <w:r>
        <w:t>&lt;ESMA_QUESTION_CPCT_9&gt;</w:t>
      </w:r>
    </w:p>
    <w:p w14:paraId="40B97FCB" w14:textId="1590E9E5" w:rsidR="00B06C77" w:rsidRPr="00FD6585" w:rsidRDefault="00B06C77" w:rsidP="00B06C77">
      <w:pPr>
        <w:pStyle w:val="StandardWeb"/>
        <w:rPr>
          <w:bCs/>
          <w:lang w:val="en-US"/>
        </w:rPr>
      </w:pPr>
      <w:permStart w:id="2081836860" w:edGrp="everyone"/>
      <w:r w:rsidRPr="00FD6585">
        <w:rPr>
          <w:bCs/>
          <w:lang w:val="en-US"/>
        </w:rPr>
        <w:t xml:space="preserve">Yes, we recommend clarifying Article 10 of Commission Delegated Regulation (EU) No 149/2013 to explicitly confirm that the hedging exemption for non-financial counterparties (NFCs) applies at the </w:t>
      </w:r>
      <w:r w:rsidRPr="00FD6585">
        <w:rPr>
          <w:rStyle w:val="Fett"/>
          <w:rFonts w:eastAsiaTheme="majorEastAsia"/>
          <w:b w:val="0"/>
          <w:lang w:val="en-US"/>
        </w:rPr>
        <w:t>group level</w:t>
      </w:r>
      <w:r w:rsidRPr="00FD6585">
        <w:rPr>
          <w:bCs/>
          <w:lang w:val="en-US"/>
        </w:rPr>
        <w:t xml:space="preserve">, not just the entity level. EMIR 3 introduced entity-level threshold calculation while reinforcing the principle of </w:t>
      </w:r>
      <w:r w:rsidRPr="00FD6585">
        <w:rPr>
          <w:rStyle w:val="Fett"/>
          <w:rFonts w:eastAsiaTheme="majorEastAsia"/>
          <w:b w:val="0"/>
          <w:lang w:val="en-US"/>
        </w:rPr>
        <w:t>centralized risk management</w:t>
      </w:r>
      <w:r w:rsidRPr="00FD6585">
        <w:rPr>
          <w:bCs/>
          <w:lang w:val="en-US"/>
        </w:rPr>
        <w:t xml:space="preserve"> within corporate groups. To ensure consistent implementation, Article 10 should state that OTC derivatives used by a </w:t>
      </w:r>
      <w:r w:rsidRPr="00FD6585">
        <w:rPr>
          <w:rStyle w:val="Fett"/>
          <w:rFonts w:eastAsiaTheme="majorEastAsia"/>
          <w:b w:val="0"/>
          <w:lang w:val="en-US"/>
        </w:rPr>
        <w:t>central treasury on behalf of affiliated entities</w:t>
      </w:r>
      <w:r w:rsidRPr="00FD6585">
        <w:rPr>
          <w:bCs/>
          <w:lang w:val="en-US"/>
        </w:rPr>
        <w:t xml:space="preserve"> qualify as risk-reducing (hedging) transactions. This clarification would align regulatory practice with established corporate hedging strategies, ensuring that NFCs are not penalized for consolidating their risk management in a single entity.</w:t>
      </w:r>
    </w:p>
    <w:p w14:paraId="27685CE6" w14:textId="1EFF17FE" w:rsidR="00B06C77" w:rsidRPr="00FD6585" w:rsidRDefault="00B06C77" w:rsidP="00B06C77">
      <w:pPr>
        <w:pStyle w:val="StandardWeb"/>
        <w:rPr>
          <w:bCs/>
          <w:lang w:val="en-US"/>
        </w:rPr>
      </w:pPr>
      <w:r w:rsidRPr="00FD6585">
        <w:rPr>
          <w:bCs/>
          <w:lang w:val="en-US"/>
        </w:rPr>
        <w:t xml:space="preserve">Additionally, ESMA should confirm that </w:t>
      </w:r>
      <w:r w:rsidRPr="00FD6585">
        <w:rPr>
          <w:rStyle w:val="Fett"/>
          <w:rFonts w:eastAsiaTheme="majorEastAsia"/>
          <w:b w:val="0"/>
          <w:lang w:val="en-US"/>
        </w:rPr>
        <w:t>intragroup OTC derivative transactions</w:t>
      </w:r>
      <w:r w:rsidR="00FD6585">
        <w:rPr>
          <w:rStyle w:val="Fett"/>
          <w:rFonts w:eastAsiaTheme="majorEastAsia"/>
          <w:b w:val="0"/>
          <w:lang w:val="en-US"/>
        </w:rPr>
        <w:t xml:space="preserve"> - </w:t>
      </w:r>
      <w:r w:rsidRPr="00FD6585">
        <w:rPr>
          <w:bCs/>
          <w:lang w:val="en-US"/>
        </w:rPr>
        <w:t>already exempt from clearing under EMIR Article 4(2)</w:t>
      </w:r>
      <w:r w:rsidR="00FD6585">
        <w:rPr>
          <w:bCs/>
          <w:lang w:val="en-US"/>
        </w:rPr>
        <w:t xml:space="preserve"> - </w:t>
      </w:r>
      <w:r w:rsidRPr="00FD6585">
        <w:rPr>
          <w:bCs/>
          <w:lang w:val="en-US"/>
        </w:rPr>
        <w:t xml:space="preserve">should </w:t>
      </w:r>
      <w:r w:rsidRPr="00FD6585">
        <w:rPr>
          <w:rStyle w:val="Fett"/>
          <w:rFonts w:eastAsiaTheme="majorEastAsia"/>
          <w:b w:val="0"/>
          <w:lang w:val="en-US"/>
        </w:rPr>
        <w:t>not</w:t>
      </w:r>
      <w:r w:rsidRPr="00FD6585">
        <w:rPr>
          <w:bCs/>
          <w:lang w:val="en-US"/>
        </w:rPr>
        <w:t xml:space="preserve"> count toward NFC clearing threshold calculations. These transactions remain entirely within the corporate group and do not introduce systemic risk. Excluding them would provide legal clarity, </w:t>
      </w:r>
      <w:r w:rsidRPr="00FD6585">
        <w:rPr>
          <w:rStyle w:val="Fett"/>
          <w:rFonts w:eastAsiaTheme="majorEastAsia"/>
          <w:b w:val="0"/>
          <w:lang w:val="en-US"/>
        </w:rPr>
        <w:t>simplify</w:t>
      </w:r>
      <w:r w:rsidRPr="00FD6585">
        <w:rPr>
          <w:rStyle w:val="Fett"/>
          <w:rFonts w:eastAsiaTheme="majorEastAsia"/>
          <w:bCs w:val="0"/>
          <w:lang w:val="en-US"/>
        </w:rPr>
        <w:t xml:space="preserve"> </w:t>
      </w:r>
      <w:r w:rsidRPr="00FD6585">
        <w:rPr>
          <w:rStyle w:val="Fett"/>
          <w:rFonts w:eastAsiaTheme="majorEastAsia"/>
          <w:b w:val="0"/>
          <w:lang w:val="en-US"/>
        </w:rPr>
        <w:t>compliance</w:t>
      </w:r>
      <w:r w:rsidRPr="00FD6585">
        <w:rPr>
          <w:bCs/>
          <w:lang w:val="en-US"/>
        </w:rPr>
        <w:t xml:space="preserve">, and support </w:t>
      </w:r>
      <w:r w:rsidRPr="00FD6585">
        <w:rPr>
          <w:rStyle w:val="Fett"/>
          <w:rFonts w:eastAsiaTheme="majorEastAsia"/>
          <w:b w:val="0"/>
          <w:lang w:val="en-US"/>
        </w:rPr>
        <w:t>efficient internal risk transfers</w:t>
      </w:r>
      <w:r w:rsidRPr="00FD6585">
        <w:rPr>
          <w:bCs/>
          <w:lang w:val="en-US"/>
        </w:rPr>
        <w:t>.</w:t>
      </w:r>
    </w:p>
    <w:p w14:paraId="11EA83AC" w14:textId="35B125DC" w:rsidR="00290754" w:rsidRPr="00FD6585" w:rsidRDefault="00290754" w:rsidP="00B06C77">
      <w:pPr>
        <w:pStyle w:val="StandardWeb"/>
        <w:rPr>
          <w:lang w:val="en-US"/>
        </w:rPr>
      </w:pPr>
      <w:r w:rsidRPr="00FD6585">
        <w:rPr>
          <w:lang w:val="en-US"/>
        </w:rPr>
        <w:t xml:space="preserve">Furthermore, the criteria for defining risk-reducing derivatives should be refined to </w:t>
      </w:r>
      <w:r w:rsidRPr="00FD6585">
        <w:rPr>
          <w:rStyle w:val="Fett"/>
          <w:rFonts w:eastAsiaTheme="majorEastAsia"/>
          <w:b w:val="0"/>
          <w:bCs w:val="0"/>
          <w:lang w:val="en-US"/>
        </w:rPr>
        <w:t>better reflect market realities</w:t>
      </w:r>
      <w:r w:rsidRPr="00FD6585">
        <w:rPr>
          <w:lang w:val="en-US"/>
        </w:rPr>
        <w:t xml:space="preserve">, particularly regarding </w:t>
      </w:r>
      <w:r w:rsidRPr="00FD6585">
        <w:rPr>
          <w:rStyle w:val="Fett"/>
          <w:rFonts w:eastAsiaTheme="majorEastAsia"/>
          <w:b w:val="0"/>
          <w:bCs w:val="0"/>
          <w:lang w:val="en-US"/>
        </w:rPr>
        <w:t>cash-settled Power Purchase Agreements</w:t>
      </w:r>
      <w:r w:rsidRPr="00FD6585">
        <w:rPr>
          <w:rStyle w:val="Fett"/>
          <w:rFonts w:eastAsiaTheme="majorEastAsia"/>
          <w:lang w:val="en-US"/>
        </w:rPr>
        <w:t xml:space="preserve"> </w:t>
      </w:r>
      <w:r w:rsidRPr="00FD6585">
        <w:rPr>
          <w:rStyle w:val="Fett"/>
          <w:rFonts w:eastAsiaTheme="majorEastAsia"/>
          <w:b w:val="0"/>
          <w:bCs w:val="0"/>
          <w:lang w:val="en-US"/>
        </w:rPr>
        <w:lastRenderedPageBreak/>
        <w:t>(PPAs)</w:t>
      </w:r>
      <w:r w:rsidRPr="00FD6585">
        <w:rPr>
          <w:b/>
          <w:bCs/>
          <w:lang w:val="en-US"/>
        </w:rPr>
        <w:t>.</w:t>
      </w:r>
      <w:r w:rsidRPr="00FD6585">
        <w:rPr>
          <w:lang w:val="en-US"/>
        </w:rPr>
        <w:t xml:space="preserve"> PPAs play a crucial role in </w:t>
      </w:r>
      <w:r w:rsidRPr="00FD6585">
        <w:rPr>
          <w:rStyle w:val="Fett"/>
          <w:rFonts w:eastAsiaTheme="majorEastAsia"/>
          <w:b w:val="0"/>
          <w:bCs w:val="0"/>
          <w:lang w:val="en-US"/>
        </w:rPr>
        <w:t>financing renewable energy projects</w:t>
      </w:r>
      <w:r w:rsidRPr="00FD6585">
        <w:rPr>
          <w:lang w:val="en-US"/>
        </w:rPr>
        <w:t>, yet the current framework limits their classification as risk-reducing transactions. A more precise definition would support investment certainty while maintaining prudent risk management practices.</w:t>
      </w:r>
    </w:p>
    <w:p w14:paraId="36D37DFB" w14:textId="020391AA" w:rsidR="005E6AB9" w:rsidRPr="00FD6585" w:rsidRDefault="00B06C77" w:rsidP="000105C5">
      <w:pPr>
        <w:pStyle w:val="StandardWeb"/>
        <w:rPr>
          <w:lang w:val="en-US"/>
        </w:rPr>
      </w:pPr>
      <w:r w:rsidRPr="00FD6585">
        <w:rPr>
          <w:lang w:val="en-US"/>
        </w:rPr>
        <w:t xml:space="preserve">Together, these adjustments would align Article 10 with EMIR 3, facilitating </w:t>
      </w:r>
      <w:r w:rsidRPr="00FD6585">
        <w:rPr>
          <w:rStyle w:val="Fett"/>
          <w:rFonts w:eastAsiaTheme="majorEastAsia"/>
          <w:b w:val="0"/>
          <w:bCs w:val="0"/>
          <w:lang w:val="en-US"/>
        </w:rPr>
        <w:t>effective risk management</w:t>
      </w:r>
      <w:r w:rsidRPr="00FD6585">
        <w:rPr>
          <w:b/>
          <w:bCs/>
          <w:lang w:val="en-US"/>
        </w:rPr>
        <w:t xml:space="preserve"> </w:t>
      </w:r>
      <w:r w:rsidRPr="00FD6585">
        <w:rPr>
          <w:lang w:val="en-US"/>
        </w:rPr>
        <w:t>while preventing unnecessary regulatory burdens on NFCs.</w:t>
      </w:r>
    </w:p>
    <w:permEnd w:id="2081836860"/>
    <w:p w14:paraId="6A94D4DC" w14:textId="77777777" w:rsidR="005E6AB9" w:rsidRDefault="005E6AB9" w:rsidP="005E6AB9">
      <w:r>
        <w:t>&lt;ESMA_QUESTION_CPCT_9&gt;</w:t>
      </w:r>
    </w:p>
    <w:p w14:paraId="6AB6E21F" w14:textId="77777777" w:rsidR="005E6AB9" w:rsidRDefault="005E6AB9" w:rsidP="005E6AB9"/>
    <w:p w14:paraId="050DB62D" w14:textId="77777777" w:rsidR="005E6AB9" w:rsidRPr="001B1AE6" w:rsidRDefault="005E6AB9" w:rsidP="005E6AB9">
      <w:pPr>
        <w:pStyle w:val="Questionstyle"/>
        <w:numPr>
          <w:ilvl w:val="0"/>
          <w:numId w:val="16"/>
        </w:numPr>
        <w:tabs>
          <w:tab w:val="clear" w:pos="567"/>
        </w:tabs>
        <w:spacing w:before="120" w:after="120"/>
        <w:ind w:left="851" w:hanging="425"/>
      </w:pPr>
      <w:r>
        <w:t>Do you consider other indicators should be monitored and assessed? If yes, please specify and if possible provide drafting suggestion.</w:t>
      </w:r>
    </w:p>
    <w:p w14:paraId="7A1299EF" w14:textId="77777777" w:rsidR="005E6AB9" w:rsidRDefault="005E6AB9" w:rsidP="005E6AB9">
      <w:r>
        <w:t>&lt;ESMA_QUESTION_CPCT_10&gt;</w:t>
      </w:r>
    </w:p>
    <w:p w14:paraId="30B2AB6B" w14:textId="77777777" w:rsidR="00EC5987" w:rsidRPr="00FD6585" w:rsidRDefault="00EC5987" w:rsidP="00EC5987">
      <w:pPr>
        <w:pStyle w:val="StandardWeb"/>
        <w:rPr>
          <w:lang w:val="en-US"/>
        </w:rPr>
      </w:pPr>
      <w:permStart w:id="307772646" w:edGrp="everyone"/>
      <w:r w:rsidRPr="00FD6585">
        <w:rPr>
          <w:bCs/>
          <w:lang w:val="en-US"/>
        </w:rPr>
        <w:t>We agree with ESMA’s proposal</w:t>
      </w:r>
      <w:r w:rsidRPr="00FD6585">
        <w:rPr>
          <w:lang w:val="en-US"/>
        </w:rPr>
        <w:t xml:space="preserve"> to monitor macroeconomic and market-based indicators for future threshold reviews but emphasize that </w:t>
      </w:r>
      <w:r w:rsidRPr="00FD6585">
        <w:rPr>
          <w:rStyle w:val="Fett"/>
          <w:rFonts w:eastAsiaTheme="majorEastAsia"/>
          <w:b w:val="0"/>
          <w:bCs w:val="0"/>
          <w:lang w:val="en-US"/>
        </w:rPr>
        <w:t>thresholds should not be reduced</w:t>
      </w:r>
      <w:r w:rsidRPr="00FD6585">
        <w:rPr>
          <w:lang w:val="en-US"/>
        </w:rPr>
        <w:t>, as this could create significant uncertainty for non-financial counterparties (NFCs). Given the long-term nature of many commodity derivatives, sudden threshold reductions could push NFCs into NFC+ status mid-contract, leading to early contract terminations and liquidity disruptions.</w:t>
      </w:r>
    </w:p>
    <w:p w14:paraId="5167059B" w14:textId="5C1A0952" w:rsidR="00EC5987" w:rsidRPr="00FD6585" w:rsidRDefault="00EC5987" w:rsidP="00EC5987">
      <w:pPr>
        <w:pStyle w:val="StandardWeb"/>
        <w:rPr>
          <w:lang w:val="en-US"/>
        </w:rPr>
      </w:pPr>
      <w:r w:rsidRPr="00FD6585">
        <w:rPr>
          <w:lang w:val="en-US"/>
        </w:rPr>
        <w:t xml:space="preserve">While ESMA’s qualitative approach provides flexibility, incorporating </w:t>
      </w:r>
      <w:r w:rsidRPr="00FD6585">
        <w:rPr>
          <w:rStyle w:val="Fett"/>
          <w:rFonts w:eastAsiaTheme="majorEastAsia"/>
          <w:b w:val="0"/>
          <w:bCs w:val="0"/>
          <w:lang w:val="en-US"/>
        </w:rPr>
        <w:t>quantitative indicators</w:t>
      </w:r>
      <w:r w:rsidR="00FD6585">
        <w:rPr>
          <w:rStyle w:val="Fett"/>
          <w:rFonts w:eastAsiaTheme="majorEastAsia"/>
          <w:b w:val="0"/>
          <w:bCs w:val="0"/>
          <w:lang w:val="en-US"/>
        </w:rPr>
        <w:t xml:space="preserve"> - </w:t>
      </w:r>
      <w:r w:rsidRPr="00FD6585">
        <w:rPr>
          <w:lang w:val="en-US"/>
        </w:rPr>
        <w:t>such as commodity price volatility, liquidity metrics, and counterparty risk exposure</w:t>
      </w:r>
      <w:r w:rsidR="00FD6585">
        <w:rPr>
          <w:lang w:val="en-US"/>
        </w:rPr>
        <w:t xml:space="preserve"> - </w:t>
      </w:r>
      <w:r w:rsidRPr="00FD6585">
        <w:rPr>
          <w:lang w:val="en-US"/>
        </w:rPr>
        <w:t>could enhance transparency and predictability. However, defining precise quantitative triggers is challenging due to market fluctuations and evolving trading conditions. Nevertheless, these factors should be systematically assessed within the qualitative framework to ensure a well-balanced approach.</w:t>
      </w:r>
    </w:p>
    <w:p w14:paraId="784EEE10" w14:textId="77777777" w:rsidR="00EC5987" w:rsidRPr="00FD6585" w:rsidRDefault="00EC5987" w:rsidP="00EC5987">
      <w:pPr>
        <w:pStyle w:val="StandardWeb"/>
        <w:rPr>
          <w:lang w:val="en-US"/>
        </w:rPr>
      </w:pPr>
      <w:r w:rsidRPr="00FD6585">
        <w:rPr>
          <w:lang w:val="en-US"/>
        </w:rPr>
        <w:t xml:space="preserve">A measured review process that considers both </w:t>
      </w:r>
      <w:r w:rsidRPr="003B744C">
        <w:rPr>
          <w:rStyle w:val="Fett"/>
          <w:rFonts w:eastAsiaTheme="majorEastAsia"/>
          <w:b w:val="0"/>
          <w:bCs w:val="0"/>
          <w:lang w:val="en-US"/>
        </w:rPr>
        <w:t>qualitative and quantitative insights</w:t>
      </w:r>
      <w:r w:rsidRPr="00FD6585">
        <w:rPr>
          <w:lang w:val="en-US"/>
        </w:rPr>
        <w:t xml:space="preserve"> is essential for maintaining market stability, avoiding unintended disruptions, and ensuring effective risk management.</w:t>
      </w:r>
    </w:p>
    <w:p w14:paraId="34EAAD0C" w14:textId="2A12DCF0" w:rsidR="00290F36" w:rsidRPr="00FD6585" w:rsidRDefault="00290F36" w:rsidP="00290F36">
      <w:pPr>
        <w:pStyle w:val="StandardWeb"/>
        <w:rPr>
          <w:lang w:val="en-US"/>
        </w:rPr>
      </w:pPr>
    </w:p>
    <w:permEnd w:id="307772646"/>
    <w:p w14:paraId="772517DA" w14:textId="77777777" w:rsidR="005E6AB9" w:rsidRDefault="005E6AB9" w:rsidP="005E6AB9">
      <w:r>
        <w:t>&lt;ESMA_QUESTION_CPCT_10&gt;</w:t>
      </w:r>
    </w:p>
    <w:p w14:paraId="7C79ACB0" w14:textId="7A78F3E0" w:rsidR="00DB2FD6" w:rsidRDefault="00DB2FD6" w:rsidP="009B55CE">
      <w:pPr>
        <w:pStyle w:val="Questionstyle"/>
        <w:tabs>
          <w:tab w:val="clear" w:pos="567"/>
        </w:tabs>
        <w:spacing w:after="240" w:line="256" w:lineRule="auto"/>
        <w:ind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0E2AD" w14:textId="77777777" w:rsidR="00A215FE" w:rsidRDefault="00A215FE" w:rsidP="007E7997">
      <w:pPr>
        <w:spacing w:line="240" w:lineRule="auto"/>
      </w:pPr>
      <w:r>
        <w:separator/>
      </w:r>
    </w:p>
  </w:endnote>
  <w:endnote w:type="continuationSeparator" w:id="0">
    <w:p w14:paraId="461D7BB7" w14:textId="77777777" w:rsidR="00A215FE" w:rsidRDefault="00A215FE" w:rsidP="007E7997">
      <w:pPr>
        <w:spacing w:line="240" w:lineRule="auto"/>
      </w:pPr>
      <w:r>
        <w:continuationSeparator/>
      </w:r>
    </w:p>
  </w:endnote>
  <w:endnote w:type="continuationNotice" w:id="1">
    <w:p w14:paraId="066F9ADB" w14:textId="77777777" w:rsidR="00A215FE" w:rsidRDefault="00A215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65B218C8" w:rsidR="006A44DA" w:rsidRDefault="006A44DA" w:rsidP="00B73281">
        <w:pPr>
          <w:pStyle w:val="Fuzeile"/>
          <w:jc w:val="right"/>
        </w:pPr>
        <w:r>
          <w:fldChar w:fldCharType="begin"/>
        </w:r>
        <w:r>
          <w:instrText xml:space="preserve"> PAGE   \* MERGEFORMAT </w:instrText>
        </w:r>
        <w:r>
          <w:fldChar w:fldCharType="separate"/>
        </w:r>
        <w:r w:rsidR="00366DBB">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C8E31" w14:textId="77777777" w:rsidR="00A215FE" w:rsidRDefault="00A215FE" w:rsidP="007E7997">
      <w:pPr>
        <w:spacing w:line="240" w:lineRule="auto"/>
      </w:pPr>
      <w:r>
        <w:separator/>
      </w:r>
    </w:p>
  </w:footnote>
  <w:footnote w:type="continuationSeparator" w:id="0">
    <w:p w14:paraId="1263E953" w14:textId="77777777" w:rsidR="00A215FE" w:rsidRDefault="00A215FE" w:rsidP="007E7997">
      <w:pPr>
        <w:spacing w:line="240" w:lineRule="auto"/>
      </w:pPr>
      <w:r>
        <w:continuationSeparator/>
      </w:r>
    </w:p>
  </w:footnote>
  <w:footnote w:type="continuationNotice" w:id="1">
    <w:p w14:paraId="3CB28ED6" w14:textId="77777777" w:rsidR="00A215FE" w:rsidRDefault="00A215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3A7FA23C" w:rsidR="00D77369" w:rsidRPr="00A51B24" w:rsidRDefault="00D77369" w:rsidP="008858FE">
    <w:pPr>
      <w:pStyle w:val="Kopfzeile"/>
      <w:rPr>
        <w:bCs/>
        <w:caps/>
        <w:color w:val="FF0000" w:themeColor="accent6"/>
        <w:sz w:val="22"/>
      </w:rPr>
    </w:pPr>
    <w:r w:rsidRPr="00A51B24">
      <w:rPr>
        <w:rStyle w:val="ESMAConfidentialRestricted"/>
        <w:noProof/>
        <w:highlight w:val="yellow"/>
        <w:lang w:val="de-AT" w:eastAsia="de-AT"/>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9E22C5">
      <w:t>8</w:t>
    </w:r>
    <w:r w:rsidR="00306F0E" w:rsidRPr="00A51B24">
      <w:t xml:space="preserve"> </w:t>
    </w:r>
    <w:r w:rsidR="00A51B24" w:rsidRPr="00A51B24">
      <w:t>April</w:t>
    </w:r>
    <w:r w:rsidR="00EB238F" w:rsidRPr="00A51B24">
      <w:t xml:space="preserve"> </w:t>
    </w:r>
    <w:r w:rsidR="00A51B24" w:rsidRPr="00A51B24">
      <w:t>2025</w:t>
    </w:r>
  </w:p>
  <w:p w14:paraId="10BD5565" w14:textId="0A49C0F5" w:rsidR="008858FE" w:rsidRDefault="009E22C5" w:rsidP="00A51B24">
    <w:pPr>
      <w:jc w:val="right"/>
    </w:pPr>
    <w:r w:rsidRPr="009E22C5">
      <w:rPr>
        <w:color w:val="001B4F" w:themeColor="text1" w:themeShade="80"/>
        <w:sz w:val="16"/>
      </w:rPr>
      <w:t>ESMA74-1049116226-878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Kopfzeile"/>
    </w:pPr>
  </w:p>
  <w:p w14:paraId="76D78551" w14:textId="45227A06" w:rsidR="00AD0B10" w:rsidRDefault="00AD0B10" w:rsidP="00AD0B10">
    <w:pPr>
      <w:pStyle w:val="Kopfzeile"/>
    </w:pPr>
  </w:p>
  <w:p w14:paraId="56B00CEC" w14:textId="77777777" w:rsidR="00AD0B10" w:rsidRPr="0043139E" w:rsidRDefault="00AD0B10" w:rsidP="00AD0B10">
    <w:pPr>
      <w:pStyle w:val="Kopfzeile"/>
    </w:pPr>
  </w:p>
  <w:p w14:paraId="68227DE6" w14:textId="77777777" w:rsidR="00AD0B10" w:rsidRPr="0043139E" w:rsidRDefault="00AD0B10" w:rsidP="00AD0B10">
    <w:pPr>
      <w:pStyle w:val="Kopfzeile"/>
    </w:pPr>
  </w:p>
  <w:p w14:paraId="0E44DBD1" w14:textId="77777777" w:rsidR="00AD0B10" w:rsidRPr="0043139E" w:rsidRDefault="00AD0B10" w:rsidP="00AD0B10">
    <w:pPr>
      <w:pStyle w:val="Kopfzeile"/>
      <w:rPr>
        <w:rStyle w:val="ESMARegularuse"/>
        <w:bCs w:val="0"/>
        <w:caps w:val="0"/>
        <w:color w:val="001B4F" w:themeColor="text1" w:themeShade="80"/>
        <w:sz w:val="16"/>
      </w:rPr>
    </w:pPr>
    <w:r w:rsidRPr="0043139E">
      <w:rPr>
        <w:rStyle w:val="ESMARegularuse"/>
        <w:bCs w:val="0"/>
        <w:caps w:val="0"/>
        <w:noProof/>
        <w:color w:val="001B4F" w:themeColor="text1" w:themeShade="80"/>
        <w:sz w:val="16"/>
        <w:lang w:val="de-AT" w:eastAsia="de-AT"/>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Kopfzeile"/>
    </w:pPr>
  </w:p>
  <w:p w14:paraId="706EF268" w14:textId="77777777" w:rsidR="00AD0B10" w:rsidRPr="0043139E" w:rsidRDefault="00AD0B10" w:rsidP="00AD0B10">
    <w:pPr>
      <w:pStyle w:val="Kopfzeile"/>
    </w:pPr>
  </w:p>
  <w:p w14:paraId="6B568202" w14:textId="77777777" w:rsidR="00AD0B10" w:rsidRPr="0043139E" w:rsidRDefault="00AD0B10" w:rsidP="00AD0B10">
    <w:pPr>
      <w:pStyle w:val="Kopfzeile"/>
    </w:pPr>
  </w:p>
  <w:p w14:paraId="70C66BCD" w14:textId="77777777" w:rsidR="00AD0B10" w:rsidRPr="0043139E" w:rsidRDefault="00AD0B10" w:rsidP="00AD0B10">
    <w:pPr>
      <w:pStyle w:val="Kopfzeile"/>
    </w:pPr>
  </w:p>
  <w:p w14:paraId="07229907" w14:textId="77777777" w:rsidR="00AD0B10" w:rsidRPr="0043139E" w:rsidRDefault="00AD0B10" w:rsidP="00AD0B10">
    <w:pPr>
      <w:pStyle w:val="Kopfzeile"/>
    </w:pPr>
  </w:p>
  <w:p w14:paraId="55555744" w14:textId="77777777" w:rsidR="00AD0B10" w:rsidRPr="0043139E" w:rsidRDefault="00AD0B10" w:rsidP="00AD0B10">
    <w:pPr>
      <w:pStyle w:val="Kopfzeile"/>
    </w:pPr>
  </w:p>
  <w:p w14:paraId="4601AE9C" w14:textId="77777777" w:rsidR="00AD0B10" w:rsidRDefault="00AD0B10" w:rsidP="00AD0B10">
    <w:pPr>
      <w:pStyle w:val="Kopfzeile"/>
    </w:pPr>
  </w:p>
  <w:p w14:paraId="49946785" w14:textId="77777777" w:rsidR="00AD0B10" w:rsidRPr="0043139E" w:rsidRDefault="00AD0B10" w:rsidP="00AD0B10">
    <w:pPr>
      <w:pStyle w:val="Kopfzeile"/>
    </w:pPr>
  </w:p>
  <w:p w14:paraId="72BAD19F" w14:textId="77777777" w:rsidR="008858FE" w:rsidRPr="00AD0B10" w:rsidRDefault="008858FE" w:rsidP="00AD0B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enabsatz"/>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berschrift1"/>
      <w:lvlText w:val="%1"/>
      <w:lvlJc w:val="left"/>
      <w:pPr>
        <w:ind w:left="4686" w:hanging="432"/>
      </w:pPr>
    </w:lvl>
    <w:lvl w:ilvl="1">
      <w:start w:val="1"/>
      <w:numFmt w:val="decimal"/>
      <w:pStyle w:val="berschrift2"/>
      <w:lvlText w:val="%1.%2"/>
      <w:lvlJc w:val="left"/>
      <w:pPr>
        <w:ind w:left="8230"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1400863">
    <w:abstractNumId w:val="11"/>
  </w:num>
  <w:num w:numId="2" w16cid:durableId="1465545309">
    <w:abstractNumId w:val="4"/>
  </w:num>
  <w:num w:numId="3" w16cid:durableId="1181436345">
    <w:abstractNumId w:val="9"/>
  </w:num>
  <w:num w:numId="4" w16cid:durableId="2090888157">
    <w:abstractNumId w:val="3"/>
  </w:num>
  <w:num w:numId="5" w16cid:durableId="1965961653">
    <w:abstractNumId w:val="0"/>
  </w:num>
  <w:num w:numId="6" w16cid:durableId="475296126">
    <w:abstractNumId w:val="5"/>
  </w:num>
  <w:num w:numId="7" w16cid:durableId="1532452739">
    <w:abstractNumId w:val="12"/>
  </w:num>
  <w:num w:numId="8" w16cid:durableId="1546066587">
    <w:abstractNumId w:val="2"/>
  </w:num>
  <w:num w:numId="9" w16cid:durableId="743528788">
    <w:abstractNumId w:val="10"/>
  </w:num>
  <w:num w:numId="10" w16cid:durableId="1079908848">
    <w:abstractNumId w:val="8"/>
  </w:num>
  <w:num w:numId="11" w16cid:durableId="476800173">
    <w:abstractNumId w:val="7"/>
  </w:num>
  <w:num w:numId="12" w16cid:durableId="1796292300">
    <w:abstractNumId w:val="7"/>
    <w:lvlOverride w:ilvl="0">
      <w:startOverride w:val="1"/>
    </w:lvlOverride>
  </w:num>
  <w:num w:numId="13" w16cid:durableId="694817398">
    <w:abstractNumId w:val="1"/>
  </w:num>
  <w:num w:numId="14" w16cid:durableId="20758829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51873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79712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k3LYGCd2Wcx83MHckOQTkVOfvSH9rZnv894wpqEy4qNKDzz7XsoEZfdaVItu+w/6RPZ4pJCvhnNgRQKn/i7w==" w:salt="xfF1RBz34V2g6aLEUiFIG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5C5"/>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08F"/>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414F"/>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0B7F"/>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44F"/>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1BE"/>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006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54"/>
    <w:rsid w:val="002907B1"/>
    <w:rsid w:val="00290F36"/>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D97"/>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5D"/>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6DBB"/>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44C"/>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2C50"/>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AB9"/>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954"/>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DC5"/>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5C57"/>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2BE"/>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9E2"/>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46C"/>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5854"/>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5CE"/>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2C5"/>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5FE"/>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2F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CC3"/>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6C77"/>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0C4"/>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0D5E"/>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5CB"/>
    <w:rsid w:val="00CA6782"/>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2C6"/>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0E36"/>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1E28"/>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3B5"/>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987"/>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758"/>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585"/>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5EE9D8DD-E2CB-41C5-AEBE-4F75CD0B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2FD6"/>
    <w:pPr>
      <w:spacing w:after="250" w:line="276" w:lineRule="auto"/>
      <w:jc w:val="both"/>
    </w:pPr>
    <w:rPr>
      <w:color w:val="181818" w:themeColor="background1" w:themeShade="1A"/>
      <w:sz w:val="22"/>
      <w:lang w:val="en-GB"/>
    </w:rPr>
  </w:style>
  <w:style w:type="paragraph" w:styleId="berschrift1">
    <w:name w:val="heading 1"/>
    <w:basedOn w:val="Standard"/>
    <w:next w:val="Standard"/>
    <w:link w:val="berschrift1Zchn"/>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berschrift2">
    <w:name w:val="heading 2"/>
    <w:basedOn w:val="Standard"/>
    <w:next w:val="Standard"/>
    <w:link w:val="berschrift2Zchn"/>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berschrift3">
    <w:name w:val="heading 3"/>
    <w:basedOn w:val="Standard"/>
    <w:next w:val="Standard"/>
    <w:link w:val="berschrift3Zchn"/>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berschrift7">
    <w:name w:val="heading 7"/>
    <w:basedOn w:val="Standard"/>
    <w:next w:val="Standard"/>
    <w:link w:val="berschrift7Zchn"/>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berschrift8">
    <w:name w:val="heading 8"/>
    <w:basedOn w:val="Standard"/>
    <w:next w:val="Standard"/>
    <w:link w:val="berschrift8Zchn"/>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berschrift9">
    <w:name w:val="heading 9"/>
    <w:basedOn w:val="Standard"/>
    <w:next w:val="Standard"/>
    <w:link w:val="berschrift9Zchn"/>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berschrift3Zchn">
    <w:name w:val="Überschrift 3 Zchn"/>
    <w:basedOn w:val="Absatz-Standardschriftart"/>
    <w:link w:val="berschrift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berschrift1Zchn">
    <w:name w:val="Überschrift 1 Zchn"/>
    <w:basedOn w:val="Absatz-Standardschriftart"/>
    <w:link w:val="berschrift1"/>
    <w:uiPriority w:val="9"/>
    <w:rsid w:val="0082744A"/>
    <w:rPr>
      <w:rFonts w:asciiTheme="majorHAnsi" w:eastAsiaTheme="majorEastAsia" w:hAnsiTheme="majorHAnsi" w:cstheme="majorBidi"/>
      <w:b/>
      <w:color w:val="00379F" w:themeColor="text1"/>
      <w:sz w:val="32"/>
      <w:szCs w:val="32"/>
      <w:lang w:val="en-GB"/>
    </w:rPr>
  </w:style>
  <w:style w:type="character" w:customStyle="1" w:styleId="berschrift2Zchn">
    <w:name w:val="Überschrift 2 Zchn"/>
    <w:basedOn w:val="Absatz-Standardschriftart"/>
    <w:link w:val="berschrift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qFormat/>
    <w:rsid w:val="00F205B9"/>
    <w:pPr>
      <w:numPr>
        <w:numId w:val="0"/>
      </w:numPr>
      <w:ind w:left="792" w:hanging="432"/>
    </w:pPr>
    <w:rPr>
      <w:b/>
      <w:color w:val="00379F" w:themeColor="text1"/>
      <w:sz w:val="28"/>
    </w:rPr>
  </w:style>
  <w:style w:type="character" w:customStyle="1" w:styleId="Title1Char">
    <w:name w:val="Title 1 Char"/>
    <w:basedOn w:val="Absatz-Standardschriftart"/>
    <w:link w:val="Title1"/>
    <w:rsid w:val="00F205B9"/>
    <w:rPr>
      <w:rFonts w:asciiTheme="majorHAnsi" w:hAnsiTheme="majorHAnsi" w:cstheme="majorHAnsi"/>
      <w:b/>
      <w:color w:val="00379F" w:themeColor="text1"/>
      <w:sz w:val="28"/>
      <w:szCs w:val="22"/>
      <w:lang w:val="pt-PT"/>
    </w:rPr>
  </w:style>
  <w:style w:type="paragraph" w:styleId="Listenabsatz">
    <w:name w:val="List Paragraph"/>
    <w:aliases w:val="Paragraphe EI,Paragraphe de liste1,EC"/>
    <w:basedOn w:val="Standard"/>
    <w:link w:val="ListenabsatzZchn"/>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enabsatz"/>
    <w:link w:val="Title3Char"/>
    <w:autoRedefine/>
    <w:rsid w:val="00F205B9"/>
    <w:pPr>
      <w:numPr>
        <w:ilvl w:val="3"/>
        <w:numId w:val="4"/>
      </w:numPr>
    </w:pPr>
  </w:style>
  <w:style w:type="character" w:customStyle="1" w:styleId="Title3Char">
    <w:name w:val="Title 3 Char"/>
    <w:basedOn w:val="Absatz-Standardschriftar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Standard"/>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Absatz-Standardschriftart"/>
    <w:link w:val="DocumentTitle"/>
    <w:rsid w:val="00563C1F"/>
    <w:rPr>
      <w:rFonts w:asciiTheme="majorHAnsi" w:hAnsiTheme="majorHAnsi"/>
      <w:b/>
      <w:color w:val="2D4190"/>
      <w:sz w:val="48"/>
      <w:lang w:val="en-GB"/>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color w:val="181818" w:themeColor="background1" w:themeShade="1A"/>
      <w:sz w:val="22"/>
      <w:szCs w:val="22"/>
      <w:lang w:val="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spacing w:after="0"/>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el">
    <w:name w:val="Title"/>
    <w:basedOn w:val="Standard"/>
    <w:next w:val="Standard"/>
    <w:link w:val="TitelZchn"/>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elZchn">
    <w:name w:val="Titel Zchn"/>
    <w:basedOn w:val="Absatz-Standardschriftart"/>
    <w:link w:val="Titel"/>
    <w:uiPriority w:val="10"/>
    <w:rsid w:val="00516CBA"/>
    <w:rPr>
      <w:rFonts w:asciiTheme="majorHAnsi" w:eastAsiaTheme="majorEastAsia" w:hAnsiTheme="majorHAnsi" w:cstheme="majorBidi"/>
      <w:b/>
      <w:color w:val="00379F" w:themeColor="text1"/>
      <w:spacing w:val="-10"/>
      <w:sz w:val="56"/>
      <w:szCs w:val="56"/>
      <w:lang w:val="en-GB"/>
    </w:rPr>
  </w:style>
  <w:style w:type="paragraph" w:styleId="Untertitel">
    <w:name w:val="Subtitle"/>
    <w:basedOn w:val="Standard"/>
    <w:next w:val="Standard"/>
    <w:link w:val="UntertitelZchn"/>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UntertitelZchn">
    <w:name w:val="Untertitel Zchn"/>
    <w:basedOn w:val="Absatz-Standardschriftart"/>
    <w:link w:val="Untertitel"/>
    <w:uiPriority w:val="11"/>
    <w:rsid w:val="0082744A"/>
    <w:rPr>
      <w:rFonts w:asciiTheme="majorHAnsi" w:eastAsiaTheme="majorEastAsia" w:hAnsiTheme="majorHAnsi" w:cstheme="majorBidi"/>
      <w:sz w:val="28"/>
      <w:szCs w:val="24"/>
      <w:lang w:val="en-GB"/>
    </w:rPr>
  </w:style>
  <w:style w:type="character" w:customStyle="1" w:styleId="berschrift7Zchn">
    <w:name w:val="Überschrift 7 Zchn"/>
    <w:basedOn w:val="Absatz-Standardschriftart"/>
    <w:link w:val="berschrift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berschrift8Zchn">
    <w:name w:val="Überschrift 8 Zchn"/>
    <w:basedOn w:val="Absatz-Standardschriftart"/>
    <w:link w:val="berschrift8"/>
    <w:uiPriority w:val="9"/>
    <w:semiHidden/>
    <w:rsid w:val="00AA054E"/>
    <w:rPr>
      <w:rFonts w:asciiTheme="majorHAnsi" w:eastAsiaTheme="majorEastAsia" w:hAnsiTheme="majorHAnsi" w:cstheme="majorBidi"/>
      <w:b/>
      <w:bCs/>
      <w:color w:val="007EFF" w:themeColor="text2"/>
      <w:sz w:val="22"/>
      <w:lang w:val="en-GB"/>
    </w:rPr>
  </w:style>
  <w:style w:type="character" w:customStyle="1" w:styleId="berschrift9Zchn">
    <w:name w:val="Überschrift 9 Zchn"/>
    <w:basedOn w:val="Absatz-Standardschriftart"/>
    <w:link w:val="berschrift9"/>
    <w:uiPriority w:val="9"/>
    <w:semiHidden/>
    <w:rsid w:val="00AA054E"/>
    <w:rPr>
      <w:rFonts w:asciiTheme="majorHAnsi" w:eastAsiaTheme="majorEastAsia" w:hAnsiTheme="majorHAnsi" w:cstheme="majorBidi"/>
      <w:b/>
      <w:bCs/>
      <w:i/>
      <w:iCs/>
      <w:color w:val="007EFF" w:themeColor="text2"/>
      <w:sz w:val="22"/>
      <w:lang w:val="en-GB"/>
    </w:rPr>
  </w:style>
  <w:style w:type="paragraph" w:styleId="Beschriftung">
    <w:name w:val="caption"/>
    <w:basedOn w:val="Standard"/>
    <w:next w:val="Standard"/>
    <w:uiPriority w:val="35"/>
    <w:semiHidden/>
    <w:unhideWhenUsed/>
    <w:qFormat/>
    <w:rsid w:val="00AA054E"/>
    <w:pPr>
      <w:spacing w:line="240" w:lineRule="auto"/>
    </w:pPr>
    <w:rPr>
      <w:b/>
      <w:bCs/>
      <w:smallCaps/>
      <w:color w:val="1A69FF"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0055F7" w:themeColor="text1" w:themeTint="BF"/>
    </w:rPr>
  </w:style>
  <w:style w:type="character" w:customStyle="1" w:styleId="ZitatZchn">
    <w:name w:val="Zitat Zchn"/>
    <w:basedOn w:val="Absatz-Standardschriftart"/>
    <w:link w:val="Zitat"/>
    <w:uiPriority w:val="29"/>
    <w:rsid w:val="00AA054E"/>
    <w:rPr>
      <w:i/>
      <w:iCs/>
      <w:color w:val="0055F7"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34009F" w:themeColor="accent1"/>
      <w:sz w:val="28"/>
      <w:szCs w:val="28"/>
    </w:rPr>
  </w:style>
  <w:style w:type="character" w:styleId="SchwacheHervorhebung">
    <w:name w:val="Subtle Emphasis"/>
    <w:basedOn w:val="Absatz-Standardschriftart"/>
    <w:uiPriority w:val="19"/>
    <w:qFormat/>
    <w:rsid w:val="00AA054E"/>
    <w:rPr>
      <w:i/>
      <w:iCs/>
      <w:color w:val="0055F7" w:themeColor="text1" w:themeTint="BF"/>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0055F7" w:themeColor="text1" w:themeTint="BF"/>
      <w:u w:val="single" w:color="4E8BF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F205B9"/>
    <w:pPr>
      <w:numPr>
        <w:numId w:val="0"/>
      </w:num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KopfzeileZchn">
    <w:name w:val="Kopfzeile Zchn"/>
    <w:basedOn w:val="Absatz-Standardschriftart"/>
    <w:link w:val="Kopfzeile"/>
    <w:rsid w:val="00AF6B1E"/>
    <w:rPr>
      <w:color w:val="001B4F" w:themeColor="text1" w:themeShade="80"/>
      <w:sz w:val="16"/>
      <w:lang w:val="en-GB"/>
    </w:rPr>
  </w:style>
  <w:style w:type="paragraph" w:styleId="Fuzeile">
    <w:name w:val="footer"/>
    <w:basedOn w:val="Standard"/>
    <w:link w:val="FuzeileZchn"/>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uzeileZchn">
    <w:name w:val="Fußzeile Zchn"/>
    <w:basedOn w:val="Absatz-Standardschriftart"/>
    <w:link w:val="Fuzeile"/>
    <w:uiPriority w:val="99"/>
    <w:rsid w:val="004E5FF8"/>
    <w:rPr>
      <w:color w:val="001B4F" w:themeColor="text1" w:themeShade="80"/>
      <w:sz w:val="16"/>
      <w:lang w:val="en-GB"/>
    </w:rPr>
  </w:style>
  <w:style w:type="paragraph" w:customStyle="1" w:styleId="00aPagenumber">
    <w:name w:val="00a_Page number"/>
    <w:basedOn w:val="Stand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rd"/>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Verzeichnis1">
    <w:name w:val="toc 1"/>
    <w:basedOn w:val="Standard"/>
    <w:next w:val="Standard"/>
    <w:uiPriority w:val="39"/>
    <w:unhideWhenUsed/>
    <w:qFormat/>
    <w:rsid w:val="00F205B9"/>
    <w:pPr>
      <w:framePr w:hSpace="180" w:wrap="around" w:vAnchor="text" w:hAnchor="margin" w:y="115"/>
      <w:tabs>
        <w:tab w:val="left" w:pos="440"/>
        <w:tab w:val="right" w:leader="dot" w:pos="9062"/>
      </w:tabs>
      <w:spacing w:after="100"/>
    </w:pPr>
  </w:style>
  <w:style w:type="paragraph" w:styleId="Verzeichnis2">
    <w:name w:val="toc 2"/>
    <w:basedOn w:val="Verzeichnis1"/>
    <w:next w:val="Standard"/>
    <w:uiPriority w:val="39"/>
    <w:unhideWhenUsed/>
    <w:qFormat/>
    <w:rsid w:val="00F205B9"/>
    <w:pPr>
      <w:framePr w:wrap="around"/>
      <w:tabs>
        <w:tab w:val="right" w:leader="dot" w:pos="440"/>
      </w:tabs>
      <w:ind w:left="220"/>
    </w:pPr>
  </w:style>
  <w:style w:type="paragraph" w:styleId="Verzeichnis3">
    <w:name w:val="toc 3"/>
    <w:basedOn w:val="Verzeichnis1"/>
    <w:next w:val="Standard"/>
    <w:uiPriority w:val="39"/>
    <w:unhideWhenUsed/>
    <w:qFormat/>
    <w:rsid w:val="00AD0B10"/>
    <w:pPr>
      <w:framePr w:wrap="around"/>
      <w:ind w:left="442"/>
    </w:pPr>
  </w:style>
  <w:style w:type="character" w:styleId="Hyperlink">
    <w:name w:val="Hyperlink"/>
    <w:basedOn w:val="Absatz-Standardschriftart"/>
    <w:uiPriority w:val="99"/>
    <w:unhideWhenUsed/>
    <w:qFormat/>
    <w:rsid w:val="000C1E78"/>
    <w:rPr>
      <w:color w:val="005EBF" w:themeColor="text2" w:themeShade="BF"/>
      <w:u w:val="single"/>
    </w:rPr>
  </w:style>
  <w:style w:type="paragraph" w:customStyle="1" w:styleId="Questionstyle">
    <w:name w:val="Question style"/>
    <w:basedOn w:val="Standard"/>
    <w:next w:val="Standard"/>
    <w:link w:val="QuestionstyleChar"/>
    <w:autoRedefine/>
    <w:qFormat/>
    <w:rsid w:val="00C5469A"/>
    <w:pPr>
      <w:tabs>
        <w:tab w:val="left" w:pos="567"/>
      </w:tabs>
      <w:ind w:hanging="360"/>
      <w:contextualSpacing/>
    </w:pPr>
    <w:rPr>
      <w:b/>
    </w:rPr>
  </w:style>
  <w:style w:type="character" w:customStyle="1" w:styleId="QuestionstyleChar">
    <w:name w:val="Question style Char"/>
    <w:basedOn w:val="Absatz-Standardschriftart"/>
    <w:link w:val="Questionstyle"/>
    <w:rsid w:val="00C5469A"/>
    <w:rPr>
      <w:b/>
      <w:color w:val="181818" w:themeColor="background1" w:themeShade="1A"/>
      <w:sz w:val="22"/>
      <w:lang w:val="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pPr>
      <w:spacing w:after="0" w:line="240" w:lineRule="auto"/>
    </w:pPr>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unhideWhenUsed/>
    <w:qFormat/>
    <w:rsid w:val="007A1A9D"/>
    <w:pPr>
      <w:spacing w:after="0" w:line="240" w:lineRule="auto"/>
    </w:pPr>
    <w:rPr>
      <w:sz w:val="16"/>
    </w:rPr>
  </w:style>
  <w:style w:type="character" w:customStyle="1" w:styleId="FunotentextZchn">
    <w:name w:val="Fußnotentext Zchn"/>
    <w:basedOn w:val="Absatz-Standardschriftart"/>
    <w:link w:val="Funotentext"/>
    <w:uiPriority w:val="99"/>
    <w:rsid w:val="007A1A9D"/>
    <w:rPr>
      <w:color w:val="181818" w:themeColor="background1" w:themeShade="1A"/>
      <w:sz w:val="16"/>
      <w:lang w:val="en-GB"/>
    </w:rPr>
  </w:style>
  <w:style w:type="character" w:styleId="Funotenzeichen">
    <w:name w:val="footnote reference"/>
    <w:basedOn w:val="Absatz-Standardschriftart"/>
    <w:uiPriority w:val="99"/>
    <w:semiHidden/>
    <w:unhideWhenUsed/>
    <w:qFormat/>
    <w:rsid w:val="00A91D91"/>
    <w:rPr>
      <w:rFonts w:asciiTheme="majorHAnsi" w:hAnsiTheme="majorHAnsi"/>
      <w:sz w:val="16"/>
      <w:vertAlign w:val="superscript"/>
    </w:rPr>
  </w:style>
  <w:style w:type="paragraph" w:customStyle="1" w:styleId="Footnote">
    <w:name w:val="Footnote"/>
    <w:basedOn w:val="Funotentext"/>
    <w:link w:val="FootnoteChar"/>
    <w:qFormat/>
    <w:rsid w:val="00672C04"/>
    <w:pPr>
      <w:ind w:left="454" w:hanging="454"/>
    </w:pPr>
    <w:rPr>
      <w:lang w:val="nl-BE"/>
    </w:rPr>
  </w:style>
  <w:style w:type="character" w:customStyle="1" w:styleId="FootnoteChar">
    <w:name w:val="Footnote Char"/>
    <w:basedOn w:val="FunotentextZchn"/>
    <w:link w:val="Footnote"/>
    <w:rsid w:val="00672C04"/>
    <w:rPr>
      <w:color w:val="181818" w:themeColor="background1" w:themeShade="1A"/>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Sprechblasentext">
    <w:name w:val="Balloon Text"/>
    <w:basedOn w:val="Standard"/>
    <w:link w:val="SprechblasentextZchn"/>
    <w:uiPriority w:val="99"/>
    <w:semiHidden/>
    <w:unhideWhenUsed/>
    <w:rsid w:val="007151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51BF"/>
    <w:rPr>
      <w:rFonts w:ascii="Tahoma" w:hAnsi="Tahoma" w:cs="Tahoma"/>
      <w:sz w:val="16"/>
      <w:szCs w:val="16"/>
      <w:lang w:val="en-GB"/>
    </w:rPr>
  </w:style>
  <w:style w:type="paragraph" w:styleId="Verzeichnis4">
    <w:name w:val="toc 4"/>
    <w:basedOn w:val="Verzeichnis1"/>
    <w:next w:val="Standard"/>
    <w:uiPriority w:val="39"/>
    <w:unhideWhenUsed/>
    <w:qFormat/>
    <w:rsid w:val="00F205B9"/>
    <w:pPr>
      <w:framePr w:wrap="around"/>
      <w:ind w:left="660"/>
    </w:pPr>
  </w:style>
  <w:style w:type="character" w:styleId="Kommentarzeichen">
    <w:name w:val="annotation reference"/>
    <w:basedOn w:val="Absatz-Standardschriftart"/>
    <w:uiPriority w:val="99"/>
    <w:semiHidden/>
    <w:unhideWhenUsed/>
    <w:rsid w:val="00D33C31"/>
    <w:rPr>
      <w:sz w:val="16"/>
      <w:szCs w:val="16"/>
    </w:rPr>
  </w:style>
  <w:style w:type="paragraph" w:styleId="Kommentartext">
    <w:name w:val="annotation text"/>
    <w:basedOn w:val="Standard"/>
    <w:link w:val="KommentartextZchn"/>
    <w:uiPriority w:val="99"/>
    <w:unhideWhenUsed/>
    <w:rsid w:val="00D33C31"/>
    <w:pPr>
      <w:spacing w:line="240" w:lineRule="auto"/>
    </w:pPr>
    <w:rPr>
      <w:sz w:val="20"/>
    </w:rPr>
  </w:style>
  <w:style w:type="character" w:customStyle="1" w:styleId="KommentartextZchn">
    <w:name w:val="Kommentartext Zchn"/>
    <w:basedOn w:val="Absatz-Standardschriftart"/>
    <w:link w:val="Kommentartext"/>
    <w:uiPriority w:val="99"/>
    <w:rsid w:val="00D33C31"/>
    <w:rPr>
      <w:lang w:val="en-GB"/>
    </w:rPr>
  </w:style>
  <w:style w:type="paragraph" w:styleId="Kommentarthema">
    <w:name w:val="annotation subject"/>
    <w:basedOn w:val="Kommentartext"/>
    <w:next w:val="Kommentartext"/>
    <w:link w:val="KommentarthemaZchn"/>
    <w:uiPriority w:val="99"/>
    <w:semiHidden/>
    <w:unhideWhenUsed/>
    <w:rsid w:val="00D33C31"/>
    <w:rPr>
      <w:b/>
      <w:bCs/>
    </w:rPr>
  </w:style>
  <w:style w:type="character" w:customStyle="1" w:styleId="KommentarthemaZchn">
    <w:name w:val="Kommentarthema Zchn"/>
    <w:basedOn w:val="KommentartextZchn"/>
    <w:link w:val="Kommentarthema"/>
    <w:uiPriority w:val="99"/>
    <w:semiHidden/>
    <w:rsid w:val="00D33C31"/>
    <w:rPr>
      <w:b/>
      <w:bCs/>
      <w:lang w:val="en-GB"/>
    </w:rPr>
  </w:style>
  <w:style w:type="character" w:customStyle="1" w:styleId="NichtaufgelsteErwhnung1">
    <w:name w:val="Nicht aufgelöste Erwähnung1"/>
    <w:basedOn w:val="Absatz-Standardschriftar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Fett"/>
    <w:uiPriority w:val="1"/>
    <w:qFormat/>
    <w:rsid w:val="008858FE"/>
    <w:rPr>
      <w:b w:val="0"/>
      <w:bCs/>
      <w:caps/>
      <w:smallCaps w:val="0"/>
      <w:color w:val="FF0000" w:themeColor="accent6"/>
      <w:sz w:val="22"/>
    </w:rPr>
  </w:style>
  <w:style w:type="paragraph" w:customStyle="1" w:styleId="Disclaimer">
    <w:name w:val="Disclaimer"/>
    <w:basedOn w:val="Standard"/>
    <w:qFormat/>
    <w:rsid w:val="00906D18"/>
    <w:rPr>
      <w:i/>
      <w:iCs/>
      <w:sz w:val="18"/>
      <w:szCs w:val="18"/>
    </w:rPr>
  </w:style>
  <w:style w:type="paragraph" w:customStyle="1" w:styleId="ESMAHeader">
    <w:name w:val="ESMA Header"/>
    <w:basedOn w:val="Kopfzeile"/>
    <w:qFormat/>
    <w:rsid w:val="00AF6B1E"/>
  </w:style>
  <w:style w:type="paragraph" w:customStyle="1" w:styleId="Pageheader">
    <w:name w:val="Page header"/>
    <w:basedOn w:val="Kopfzeile"/>
    <w:next w:val="Kopfzeil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Standard"/>
    <w:qFormat/>
    <w:rsid w:val="00F205B9"/>
    <w:rPr>
      <w:rFonts w:ascii="Arial" w:eastAsia="Times New Roman" w:hAnsi="Arial" w:cs="Arial"/>
      <w:sz w:val="18"/>
      <w:szCs w:val="18"/>
      <w:lang w:eastAsia="de-DE"/>
    </w:rPr>
  </w:style>
  <w:style w:type="paragraph" w:styleId="Verzeichnis5">
    <w:name w:val="toc 5"/>
    <w:basedOn w:val="Standard"/>
    <w:next w:val="Standard"/>
    <w:uiPriority w:val="39"/>
    <w:semiHidden/>
    <w:unhideWhenUsed/>
    <w:qFormat/>
    <w:rsid w:val="00F205B9"/>
    <w:pPr>
      <w:spacing w:after="100"/>
      <w:ind w:left="880"/>
    </w:pPr>
  </w:style>
  <w:style w:type="paragraph" w:styleId="Verzeichnis6">
    <w:name w:val="toc 6"/>
    <w:basedOn w:val="Standard"/>
    <w:next w:val="Standard"/>
    <w:uiPriority w:val="39"/>
    <w:semiHidden/>
    <w:unhideWhenUsed/>
    <w:qFormat/>
    <w:rsid w:val="00F205B9"/>
    <w:pPr>
      <w:spacing w:after="100"/>
      <w:ind w:left="1100"/>
    </w:pPr>
  </w:style>
  <w:style w:type="paragraph" w:styleId="Verzeichnis7">
    <w:name w:val="toc 7"/>
    <w:basedOn w:val="Standard"/>
    <w:next w:val="Standard"/>
    <w:uiPriority w:val="39"/>
    <w:semiHidden/>
    <w:unhideWhenUsed/>
    <w:qFormat/>
    <w:rsid w:val="00F205B9"/>
    <w:pPr>
      <w:spacing w:after="100"/>
      <w:ind w:left="1320"/>
    </w:pPr>
  </w:style>
  <w:style w:type="paragraph" w:styleId="Verzeichnis8">
    <w:name w:val="toc 8"/>
    <w:basedOn w:val="Standard"/>
    <w:next w:val="Standard"/>
    <w:uiPriority w:val="39"/>
    <w:semiHidden/>
    <w:unhideWhenUsed/>
    <w:qFormat/>
    <w:rsid w:val="00F205B9"/>
    <w:pPr>
      <w:spacing w:after="100"/>
      <w:ind w:left="1540"/>
    </w:pPr>
  </w:style>
  <w:style w:type="paragraph" w:styleId="Verzeichnis9">
    <w:name w:val="toc 9"/>
    <w:basedOn w:val="Standard"/>
    <w:next w:val="Standard"/>
    <w:uiPriority w:val="39"/>
    <w:semiHidden/>
    <w:unhideWhenUsed/>
    <w:qFormat/>
    <w:rsid w:val="00F205B9"/>
    <w:pPr>
      <w:spacing w:after="100"/>
      <w:ind w:left="1760"/>
    </w:pPr>
  </w:style>
  <w:style w:type="character" w:styleId="BesuchterLink">
    <w:name w:val="FollowedHyperlink"/>
    <w:basedOn w:val="Absatz-Standardschriftart"/>
    <w:uiPriority w:val="99"/>
    <w:semiHidden/>
    <w:unhideWhenUsed/>
    <w:rsid w:val="0043139E"/>
    <w:rPr>
      <w:color w:val="0174AF" w:themeColor="followedHyperlink"/>
      <w:u w:val="single"/>
    </w:rPr>
  </w:style>
  <w:style w:type="character" w:customStyle="1" w:styleId="ListenabsatzZchn">
    <w:name w:val="Listenabsatz Zchn"/>
    <w:aliases w:val="Paragraphe EI Zchn,Paragraphe de liste1 Zchn,EC Zchn"/>
    <w:link w:val="Listenabsatz"/>
    <w:uiPriority w:val="34"/>
    <w:locked/>
    <w:rsid w:val="00EC6066"/>
    <w:rPr>
      <w:rFonts w:asciiTheme="majorHAnsi" w:hAnsiTheme="majorHAnsi" w:cstheme="majorHAnsi"/>
      <w:color w:val="181818" w:themeColor="background1" w:themeShade="1A"/>
      <w:sz w:val="22"/>
      <w:szCs w:val="22"/>
      <w:lang w:val="pt-PT"/>
    </w:rPr>
  </w:style>
  <w:style w:type="paragraph" w:styleId="berarbeitung">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Standard"/>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Absatz-Standardschriftart"/>
    <w:rsid w:val="00061F32"/>
    <w:rPr>
      <w:rFonts w:ascii="Segoe UI" w:hAnsi="Segoe UI" w:cs="Segoe UI" w:hint="default"/>
      <w:sz w:val="18"/>
      <w:szCs w:val="18"/>
    </w:rPr>
  </w:style>
  <w:style w:type="character" w:customStyle="1" w:styleId="cf11">
    <w:name w:val="cf11"/>
    <w:basedOn w:val="Absatz-Standardschriftart"/>
    <w:rsid w:val="00061F32"/>
    <w:rPr>
      <w:rFonts w:ascii="Segoe UI" w:hAnsi="Segoe UI" w:cs="Segoe UI" w:hint="default"/>
      <w:color w:val="333333"/>
      <w:sz w:val="18"/>
      <w:szCs w:val="18"/>
      <w:shd w:val="clear" w:color="auto" w:fill="FFFFFF"/>
    </w:rPr>
  </w:style>
  <w:style w:type="character" w:customStyle="1" w:styleId="Erwhnung1">
    <w:name w:val="Erwähnung1"/>
    <w:basedOn w:val="Absatz-Standardschriftart"/>
    <w:uiPriority w:val="99"/>
    <w:unhideWhenUsed/>
    <w:rsid w:val="00251F26"/>
    <w:rPr>
      <w:color w:val="2B579A"/>
      <w:shd w:val="clear" w:color="auto" w:fill="E1DFDD"/>
    </w:rPr>
  </w:style>
  <w:style w:type="character" w:styleId="Platzhaltertext">
    <w:name w:val="Placeholder Text"/>
    <w:basedOn w:val="Absatz-Standardschriftart"/>
    <w:uiPriority w:val="99"/>
    <w:semiHidden/>
    <w:rsid w:val="00635BCA"/>
    <w:rPr>
      <w:color w:val="808080"/>
    </w:rPr>
  </w:style>
  <w:style w:type="paragraph" w:customStyle="1" w:styleId="para">
    <w:name w:val="para"/>
    <w:basedOn w:val="Listenabsatz"/>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Absatz-Standardschriftart"/>
    <w:link w:val="para"/>
    <w:rsid w:val="00641F03"/>
    <w:rPr>
      <w:bCs/>
      <w:iCs/>
      <w:color w:val="181818" w:themeColor="background1" w:themeShade="1A"/>
      <w:sz w:val="22"/>
      <w:lang w:val="en-GB"/>
    </w:rPr>
  </w:style>
  <w:style w:type="paragraph" w:styleId="StandardWeb">
    <w:name w:val="Normal (Web)"/>
    <w:basedOn w:val="Standard"/>
    <w:uiPriority w:val="99"/>
    <w:unhideWhenUsed/>
    <w:rsid w:val="00AC3CC3"/>
    <w:pPr>
      <w:spacing w:before="100" w:beforeAutospacing="1" w:after="100" w:afterAutospacing="1" w:line="240" w:lineRule="auto"/>
      <w:jc w:val="left"/>
    </w:pPr>
    <w:rPr>
      <w:rFonts w:ascii="Times New Roman" w:eastAsia="Times New Roman" w:hAnsi="Times New Roman" w:cs="Times New Roman"/>
      <w:color w:val="auto"/>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10748">
      <w:bodyDiv w:val="1"/>
      <w:marLeft w:val="0"/>
      <w:marRight w:val="0"/>
      <w:marTop w:val="0"/>
      <w:marBottom w:val="0"/>
      <w:divBdr>
        <w:top w:val="none" w:sz="0" w:space="0" w:color="auto"/>
        <w:left w:val="none" w:sz="0" w:space="0" w:color="auto"/>
        <w:bottom w:val="none" w:sz="0" w:space="0" w:color="auto"/>
        <w:right w:val="none" w:sz="0" w:space="0" w:color="auto"/>
      </w:divBdr>
    </w:div>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12164811">
      <w:bodyDiv w:val="1"/>
      <w:marLeft w:val="0"/>
      <w:marRight w:val="0"/>
      <w:marTop w:val="0"/>
      <w:marBottom w:val="0"/>
      <w:divBdr>
        <w:top w:val="none" w:sz="0" w:space="0" w:color="auto"/>
        <w:left w:val="none" w:sz="0" w:space="0" w:color="auto"/>
        <w:bottom w:val="none" w:sz="0" w:space="0" w:color="auto"/>
        <w:right w:val="none" w:sz="0" w:space="0" w:color="auto"/>
      </w:divBdr>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484472418">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33282779">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47625240">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2143994">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746562550">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tzhalte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Platzhalte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006"/>
    <w:rsid w:val="000025FF"/>
    <w:rsid w:val="000B5175"/>
    <w:rsid w:val="0015768C"/>
    <w:rsid w:val="001D0361"/>
    <w:rsid w:val="0030095D"/>
    <w:rsid w:val="0034145D"/>
    <w:rsid w:val="004D67E0"/>
    <w:rsid w:val="004E4CF9"/>
    <w:rsid w:val="005D66AB"/>
    <w:rsid w:val="006B3954"/>
    <w:rsid w:val="006D3543"/>
    <w:rsid w:val="00735E80"/>
    <w:rsid w:val="00736117"/>
    <w:rsid w:val="00740052"/>
    <w:rsid w:val="00813189"/>
    <w:rsid w:val="00813EAE"/>
    <w:rsid w:val="008222A0"/>
    <w:rsid w:val="00836D47"/>
    <w:rsid w:val="00915854"/>
    <w:rsid w:val="00982D57"/>
    <w:rsid w:val="00993537"/>
    <w:rsid w:val="009B6B9C"/>
    <w:rsid w:val="009C0B17"/>
    <w:rsid w:val="00A44918"/>
    <w:rsid w:val="00B22006"/>
    <w:rsid w:val="00B46CAE"/>
    <w:rsid w:val="00D40353"/>
    <w:rsid w:val="00DC3796"/>
    <w:rsid w:val="00DC4211"/>
    <w:rsid w:val="00F81463"/>
    <w:rsid w:val="00F963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D67E0"/>
    <w:rPr>
      <w:color w:val="808080"/>
    </w:rPr>
  </w:style>
  <w:style w:type="paragraph" w:customStyle="1" w:styleId="2B0FF21738C1433DBAFB661809AC1F87">
    <w:name w:val="2B0FF21738C1433DBAFB661809AC1F87"/>
    <w:rsid w:val="00B22006"/>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1007</Value>
      <Value>282</Value>
      <Value>50</Value>
    </TaxCatchAll>
    <_dlc_DocId xmlns="d0fb0f98-34f9-4d57-9559-eb8efd17aa5e">ESMA74-1049116226-878</_dlc_DocId>
    <_dlc_DocIdUrl xmlns="d0fb0f98-34f9-4d57-9559-eb8efd17aa5e">
      <Url>https://securitiesandmarketsauth.sharepoint.com/sites/sherpa-trdu/_layouts/15/DocIdRedir.aspx?ID=ESMA74-1049116226-878</Url>
      <Description>ESMA74-1049116226-878</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EMIR - Clearing Thresholds</TermName>
          <TermId xmlns="http://schemas.microsoft.com/office/infopath/2007/PartnerControls">f80ecc4b-2297-487c-8b46-e1a865bfbd79</TermId>
        </TermInfo>
      </Terms>
    </caa5aeb1a6644849b60fbe2335e12657>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EMIR Policy Document" ma:contentTypeID="0x0101008D9E5D2C101BA04B85C7EB08C6516E400800EC4F062B2094D0479922F077094CBBEF" ma:contentTypeVersion="16" ma:contentTypeDescription="" ma:contentTypeScope="" ma:versionID="f8a34de1f94700966b9f441c89d074c4">
  <xsd:schema xmlns:xsd="http://www.w3.org/2001/XMLSchema" xmlns:xs="http://www.w3.org/2001/XMLSchema" xmlns:p="http://schemas.microsoft.com/office/2006/metadata/properties" xmlns:ns2="d0fb0f98-34f9-4d57-9559-eb8efd17aa5e" xmlns:ns3="2b21f3d8-9360-49c0-b219-5a91ba850bc3" targetNamespace="http://schemas.microsoft.com/office/2006/metadata/properties" ma:root="true" ma:fieldsID="eab55a4afd39e1e5e3521340cc10d860" ns2:_="" ns3:_="">
    <xsd:import namespace="d0fb0f98-34f9-4d57-9559-eb8efd17aa5e"/>
    <xsd:import namespace="2b21f3d8-9360-49c0-b219-5a91ba850bc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da858090-4035-4ae5-9032-0cc872dab94e"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068fac2e-9d21-403b-ba52-6ad64381cff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b21f3d8-9360-49c0-b219-5a91ba850bc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4.xml><?xml version="1.0" encoding="utf-8"?>
<ds:datastoreItem xmlns:ds="http://schemas.openxmlformats.org/officeDocument/2006/customXml" ds:itemID="{8467493E-F9B0-45E6-980E-C7AE95D8530D}">
  <ds:schemaRefs>
    <ds:schemaRef ds:uri="http://schemas.openxmlformats.org/officeDocument/2006/bibliography"/>
  </ds:schemaRefs>
</ds:datastoreItem>
</file>

<file path=customXml/itemProps5.xml><?xml version="1.0" encoding="utf-8"?>
<ds:datastoreItem xmlns:ds="http://schemas.openxmlformats.org/officeDocument/2006/customXml" ds:itemID="{DEC3B809-CC63-4594-9390-E846CA749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2b21f3d8-9360-49c0-b219-5a91ba850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1579</Words>
  <Characters>9951</Characters>
  <Application>Microsoft Office Word</Application>
  <DocSecurity>12</DocSecurity>
  <Lines>82</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Gruber Alexandra</cp:lastModifiedBy>
  <cp:revision>2</cp:revision>
  <cp:lastPrinted>2023-09-09T00:53:00Z</cp:lastPrinted>
  <dcterms:created xsi:type="dcterms:W3CDTF">2025-06-12T12:56:00Z</dcterms:created>
  <dcterms:modified xsi:type="dcterms:W3CDTF">2025-06-12T12:56:00Z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0x0101008D9E5D2C101BA04B85C7EB08C6516E400800EC4F062B2094D0479922F077094CBBEF</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9d2faeb0-00a6-472f-89a8-f0e207ee5b0d</vt:lpwstr>
  </property>
  <property fmtid="{D5CDD505-2E9C-101B-9397-08002B2CF9AE}" pid="8" name="Topic">
    <vt:lpwstr>1007;#EMIR - Clearing Thresholds|f80ecc4b-2297-487c-8b46-e1a865bfbd79</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ies>
</file>