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541618">
            <w:trPr>
              <w:trHeight w:val="115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01A3AB8" w:rsidR="006A5E48" w:rsidRPr="00FA64BE" w:rsidRDefault="00C17150" w:rsidP="3419C333">
                <w:pPr>
                  <w:pStyle w:val="Title"/>
                  <w:spacing w:line="276" w:lineRule="auto"/>
                  <w:ind w:right="854"/>
                  <w:rPr>
                    <w:rFonts w:asciiTheme="minorHAnsi" w:hAnsiTheme="minorHAnsi" w:cstheme="minorBidi"/>
                    <w:sz w:val="24"/>
                    <w:szCs w:val="24"/>
                  </w:rPr>
                </w:pPr>
                <w:r w:rsidRPr="3419C333">
                  <w:rPr>
                    <w:rFonts w:cs="Arial"/>
                    <w:color w:val="auto"/>
                    <w:sz w:val="24"/>
                    <w:szCs w:val="24"/>
                  </w:rPr>
                  <w:t>for</w:t>
                </w:r>
                <w:r w:rsidR="00FA64BE" w:rsidRPr="3419C333">
                  <w:rPr>
                    <w:rFonts w:cs="Arial"/>
                    <w:color w:val="auto"/>
                    <w:sz w:val="24"/>
                    <w:szCs w:val="24"/>
                  </w:rPr>
                  <w:t xml:space="preserve"> the Consultation Paper</w:t>
                </w:r>
                <w:r w:rsidR="36E86BF7" w:rsidRPr="3419C333">
                  <w:rPr>
                    <w:rFonts w:cs="Arial"/>
                    <w:color w:val="auto"/>
                    <w:sz w:val="24"/>
                    <w:szCs w:val="24"/>
                  </w:rPr>
                  <w:t xml:space="preserve"> on</w:t>
                </w:r>
                <w:r w:rsidR="00FA64BE" w:rsidRPr="3419C333">
                  <w:rPr>
                    <w:rFonts w:cs="Arial"/>
                    <w:color w:val="auto"/>
                    <w:sz w:val="24"/>
                    <w:szCs w:val="24"/>
                  </w:rPr>
                  <w:t xml:space="preserve"> </w:t>
                </w:r>
                <w:r w:rsidR="003B26BA" w:rsidRPr="3419C333">
                  <w:rPr>
                    <w:rFonts w:cs="Arial"/>
                    <w:color w:val="auto"/>
                    <w:sz w:val="24"/>
                    <w:szCs w:val="24"/>
                  </w:rPr>
                  <w:t>technical standards on the European Green Bond Regulation</w:t>
                </w:r>
              </w:p>
            </w:tc>
          </w:tr>
          <w:tr w:rsidR="006A5E48" w:rsidRPr="00B16706" w14:paraId="6442D9C9" w14:textId="77777777" w:rsidTr="3419C333">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5E7FA"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6"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respond to the question </w:t>
          </w:r>
          <w:proofErr w:type="gramStart"/>
          <w:r w:rsidRPr="00B16706">
            <w:rPr>
              <w:rFonts w:asciiTheme="minorHAnsi" w:eastAsiaTheme="minorEastAsia" w:hAnsiTheme="minorHAnsi" w:cstheme="minorBidi"/>
              <w:sz w:val="18"/>
              <w:szCs w:val="16"/>
              <w:lang w:eastAsia="en-US"/>
            </w:rPr>
            <w:t>stated;</w:t>
          </w:r>
          <w:proofErr w:type="gramEnd"/>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indicate the specific question to which the comment </w:t>
          </w:r>
          <w:proofErr w:type="gramStart"/>
          <w:r w:rsidRPr="00B16706">
            <w:rPr>
              <w:rFonts w:asciiTheme="minorHAnsi" w:eastAsiaTheme="minorEastAsia" w:hAnsiTheme="minorHAnsi" w:cstheme="minorBidi"/>
              <w:sz w:val="18"/>
              <w:szCs w:val="16"/>
              <w:lang w:eastAsia="en-US"/>
            </w:rPr>
            <w:t>relates;</w:t>
          </w:r>
          <w:proofErr w:type="gramEnd"/>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8FA92AD"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C17150">
            <w:rPr>
              <w:rFonts w:asciiTheme="minorHAnsi" w:eastAsiaTheme="minorEastAsia" w:hAnsiTheme="minorHAnsi" w:cstheme="minorBidi"/>
              <w:b/>
              <w:sz w:val="18"/>
              <w:szCs w:val="16"/>
              <w:lang w:eastAsia="en-US"/>
            </w:rPr>
            <w:t>30 May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proofErr w:type="gramStart"/>
          <w:r w:rsidR="00A409C2" w:rsidRPr="00871163">
            <w:rPr>
              <w:rFonts w:eastAsiaTheme="minorEastAsia" w:cstheme="minorBidi"/>
              <w:sz w:val="18"/>
              <w:szCs w:val="16"/>
              <w:u w:val="single"/>
              <w:lang w:eastAsia="en-US"/>
            </w:rPr>
            <w:t>);</w:t>
          </w:r>
          <w:proofErr w:type="gramEnd"/>
        </w:p>
        <w:p w14:paraId="6692798E" w14:textId="20E6626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EUGB</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E29AB30"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EUGB</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Heading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 xml:space="preserve">All interested stakeholders are invited to respond to this Consultation Paper. </w:t>
      </w:r>
      <w:proofErr w:type="gramStart"/>
      <w:r w:rsidRPr="00C17150">
        <w:rPr>
          <w:rFonts w:ascii="Arial" w:eastAsia="Times New Roman" w:hAnsi="Arial" w:cs="Arial"/>
          <w:b w:val="0"/>
          <w:sz w:val="18"/>
          <w:szCs w:val="18"/>
          <w:lang w:eastAsia="it-IT"/>
        </w:rPr>
        <w:t>In particular, ESMA</w:t>
      </w:r>
      <w:proofErr w:type="gramEnd"/>
      <w:r w:rsidRPr="00C17150">
        <w:rPr>
          <w:rFonts w:ascii="Arial" w:eastAsia="Times New Roman" w:hAnsi="Arial" w:cs="Arial"/>
          <w:b w:val="0"/>
          <w:sz w:val="18"/>
          <w:szCs w:val="18"/>
          <w:lang w:eastAsia="it-IT"/>
        </w:rPr>
        <w:t xml:space="preserve">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4EEB4C3E">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rPr>
              <w:color w:val="808080" w:themeColor="background1" w:themeShade="80"/>
              <w:szCs w:val="16"/>
            </w:rPr>
          </w:sdtEndPr>
          <w:sdtContent>
            <w:tc>
              <w:tcPr>
                <w:tcW w:w="5595" w:type="dxa"/>
                <w:shd w:val="clear" w:color="auto" w:fill="auto"/>
              </w:tcPr>
              <w:p w14:paraId="1B67440D" w14:textId="6E5A4704" w:rsidR="00C85C8B" w:rsidRPr="00B16706" w:rsidRDefault="67CE0E62" w:rsidP="00C85C8B">
                <w:pPr>
                  <w:rPr>
                    <w:rFonts w:ascii="Arial" w:hAnsi="Arial" w:cs="Arial"/>
                    <w:color w:val="808080"/>
                    <w:sz w:val="16"/>
                    <w:szCs w:val="16"/>
                    <w:lang w:eastAsia="de-DE"/>
                  </w:rPr>
                </w:pPr>
                <w:r w:rsidRPr="4B022A0F">
                  <w:rPr>
                    <w:rFonts w:ascii="Arial" w:hAnsi="Arial" w:cs="Arial"/>
                    <w:color w:val="808080" w:themeColor="background1" w:themeShade="80"/>
                    <w:sz w:val="16"/>
                    <w:szCs w:val="16"/>
                    <w:lang w:eastAsia="de-DE"/>
                  </w:rPr>
                  <w:t>Eu</w:t>
                </w:r>
                <w:r w:rsidR="2693528C" w:rsidRPr="4B022A0F">
                  <w:rPr>
                    <w:rFonts w:ascii="Arial" w:hAnsi="Arial" w:cs="Arial"/>
                    <w:color w:val="808080" w:themeColor="background1" w:themeShade="80"/>
                    <w:sz w:val="16"/>
                    <w:szCs w:val="16"/>
                    <w:lang w:eastAsia="de-DE"/>
                  </w:rPr>
                  <w:t>ro</w:t>
                </w:r>
                <w:r w:rsidRPr="4B022A0F">
                  <w:rPr>
                    <w:rFonts w:ascii="Arial" w:hAnsi="Arial" w:cs="Arial"/>
                    <w:color w:val="808080" w:themeColor="background1" w:themeShade="80"/>
                    <w:sz w:val="16"/>
                    <w:szCs w:val="16"/>
                    <w:lang w:eastAsia="de-DE"/>
                  </w:rPr>
                  <w:t>pean Contact Group (ECG)</w:t>
                </w:r>
              </w:p>
            </w:tc>
          </w:sdtContent>
        </w:sdt>
      </w:tr>
      <w:tr w:rsidR="00C85C8B" w:rsidRPr="00B16706" w14:paraId="216F3E57" w14:textId="77777777" w:rsidTr="4EEB4C3E">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CE43E45"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1529F">
                  <w:rPr>
                    <w:rFonts w:ascii="Arial" w:hAnsi="Arial" w:cs="Arial"/>
                    <w:sz w:val="16"/>
                    <w:szCs w:val="20"/>
                    <w:lang w:eastAsia="de-DE"/>
                  </w:rPr>
                  <w:t>Audit/Legal/Individual</w:t>
                </w:r>
              </w:sdtContent>
            </w:sdt>
          </w:p>
        </w:tc>
      </w:tr>
      <w:tr w:rsidR="00C85C8B" w:rsidRPr="00B16706" w14:paraId="0D216581" w14:textId="77777777" w:rsidTr="4EEB4C3E">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rPr>
              <w:szCs w:val="16"/>
            </w:rPr>
          </w:sdtEndPr>
          <w:sdtContent>
            <w:tc>
              <w:tcPr>
                <w:tcW w:w="5595" w:type="dxa"/>
                <w:shd w:val="clear" w:color="auto" w:fill="auto"/>
              </w:tcPr>
              <w:p w14:paraId="6C4423E1" w14:textId="0DE6C331" w:rsidR="00C85C8B" w:rsidRPr="00B16706" w:rsidRDefault="002D3EE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4EEB4C3E">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szCs w:val="16"/>
            </w:rPr>
          </w:sdtEndPr>
          <w:sdtContent>
            <w:tc>
              <w:tcPr>
                <w:tcW w:w="5595" w:type="dxa"/>
                <w:shd w:val="clear" w:color="auto" w:fill="auto"/>
              </w:tcPr>
              <w:p w14:paraId="082656BF" w14:textId="6094513C" w:rsidR="00C85C8B" w:rsidRPr="00B16706" w:rsidRDefault="002D3EE6"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32F8AA44"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appropriateness, adequacy and effectiveness of systems, resources and procedures</w:t>
      </w:r>
      <w:r w:rsidR="0037311D" w:rsidRPr="0037311D">
        <w:rPr>
          <w:rFonts w:ascii="Arial" w:hAnsi="Arial" w:cs="Arial"/>
          <w:b/>
          <w:sz w:val="22"/>
          <w:szCs w:val="22"/>
          <w:lang w:val="en-US" w:eastAsia="en-US"/>
        </w:rPr>
        <w:t>?</w:t>
      </w:r>
    </w:p>
    <w:p w14:paraId="034DFB41" w14:textId="7DE25C3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5FBD5F3D" w14:textId="77777777" w:rsidR="00972348" w:rsidRPr="002D59DD" w:rsidRDefault="00972348" w:rsidP="00972348">
      <w:pPr>
        <w:spacing w:after="160" w:line="259" w:lineRule="auto"/>
        <w:rPr>
          <w:rFonts w:ascii="Calibri" w:eastAsia="Calibri" w:hAnsi="Calibri"/>
          <w:b/>
          <w:bCs/>
          <w:kern w:val="2"/>
          <w:sz w:val="22"/>
          <w:szCs w:val="22"/>
          <w:lang w:eastAsia="en-US"/>
          <w14:ligatures w14:val="standardContextual"/>
        </w:rPr>
      </w:pPr>
      <w:r w:rsidRPr="002D59DD">
        <w:rPr>
          <w:rFonts w:ascii="Calibri" w:eastAsia="Calibri" w:hAnsi="Calibri"/>
          <w:b/>
          <w:bCs/>
          <w:kern w:val="2"/>
          <w:sz w:val="22"/>
          <w:szCs w:val="22"/>
          <w:lang w:eastAsia="en-US"/>
          <w14:ligatures w14:val="standardContextual"/>
        </w:rPr>
        <w:t>General Observations</w:t>
      </w:r>
      <w:r>
        <w:rPr>
          <w:rFonts w:ascii="Calibri" w:eastAsia="Calibri" w:hAnsi="Calibri"/>
          <w:b/>
          <w:bCs/>
          <w:kern w:val="2"/>
          <w:sz w:val="22"/>
          <w:szCs w:val="22"/>
          <w:lang w:eastAsia="en-US"/>
          <w14:ligatures w14:val="standardContextual"/>
        </w:rPr>
        <w:t xml:space="preserve"> regarding the consultation paper </w:t>
      </w:r>
    </w:p>
    <w:p w14:paraId="7EFB893D" w14:textId="77777777" w:rsidR="00972348" w:rsidRPr="002D59DD" w:rsidRDefault="00972348" w:rsidP="00972348">
      <w:pPr>
        <w:spacing w:after="160" w:line="259" w:lineRule="auto"/>
        <w:rPr>
          <w:rFonts w:ascii="Calibri" w:eastAsia="Calibri" w:hAnsi="Calibri"/>
          <w:kern w:val="2"/>
          <w:sz w:val="22"/>
          <w:szCs w:val="22"/>
          <w:lang w:eastAsia="en-US"/>
          <w14:ligatures w14:val="standardContextual"/>
        </w:rPr>
      </w:pPr>
      <w:r w:rsidRPr="002D59DD">
        <w:rPr>
          <w:rFonts w:ascii="Calibri" w:eastAsia="Calibri" w:hAnsi="Calibri"/>
          <w:kern w:val="2"/>
          <w:sz w:val="22"/>
          <w:szCs w:val="22"/>
          <w:lang w:eastAsia="en-US"/>
          <w14:ligatures w14:val="standardContextual"/>
        </w:rPr>
        <w:t>We welcome the opportunity to respond to ESMA’s Consultation Paper on the regulatory and implementing technical standards (RTS and ITS) under the European Green Bond Regulation (</w:t>
      </w:r>
      <w:proofErr w:type="spellStart"/>
      <w:r w:rsidRPr="002D59DD">
        <w:rPr>
          <w:rFonts w:ascii="Calibri" w:eastAsia="Calibri" w:hAnsi="Calibri"/>
          <w:kern w:val="2"/>
          <w:sz w:val="22"/>
          <w:szCs w:val="22"/>
          <w:lang w:eastAsia="en-US"/>
          <w14:ligatures w14:val="standardContextual"/>
        </w:rPr>
        <w:t>EuGBR</w:t>
      </w:r>
      <w:proofErr w:type="spellEnd"/>
      <w:r w:rsidRPr="002D59DD">
        <w:rPr>
          <w:rFonts w:ascii="Calibri" w:eastAsia="Calibri" w:hAnsi="Calibri"/>
          <w:kern w:val="2"/>
          <w:sz w:val="22"/>
          <w:szCs w:val="22"/>
          <w:lang w:eastAsia="en-US"/>
          <w14:ligatures w14:val="standardContextual"/>
        </w:rPr>
        <w:t>).</w:t>
      </w:r>
    </w:p>
    <w:p w14:paraId="12CCE073" w14:textId="77777777" w:rsidR="00972348" w:rsidRPr="002D59DD" w:rsidRDefault="00972348" w:rsidP="00972348">
      <w:pPr>
        <w:spacing w:after="160" w:line="259" w:lineRule="auto"/>
        <w:rPr>
          <w:rFonts w:ascii="Calibri" w:eastAsia="Calibri" w:hAnsi="Calibri"/>
          <w:kern w:val="2"/>
          <w:sz w:val="22"/>
          <w:szCs w:val="22"/>
          <w:lang w:eastAsia="en-US"/>
          <w14:ligatures w14:val="standardContextual"/>
        </w:rPr>
      </w:pPr>
      <w:r w:rsidRPr="002D59DD">
        <w:rPr>
          <w:rFonts w:ascii="Calibri" w:eastAsia="Calibri" w:hAnsi="Calibri"/>
          <w:kern w:val="2"/>
          <w:sz w:val="22"/>
          <w:szCs w:val="22"/>
          <w:lang w:eastAsia="en-US"/>
          <w14:ligatures w14:val="standardContextual"/>
        </w:rPr>
        <w:t>We fully support the objective of ensuring that external reviews in the green bond market are conducted with integrity, competence, and transparency. At the same time, we believe that these objectives can—and should—be achieved through a framework that builds on existing, widely recognized international standards and that avoids creating duplicative or divergent requirements.</w:t>
      </w:r>
    </w:p>
    <w:p w14:paraId="58CB55D8" w14:textId="77777777" w:rsidR="00972348" w:rsidRPr="002D59DD" w:rsidRDefault="00972348" w:rsidP="00972348">
      <w:pPr>
        <w:spacing w:after="160" w:line="259" w:lineRule="auto"/>
        <w:rPr>
          <w:rFonts w:ascii="Calibri" w:eastAsia="Calibri" w:hAnsi="Calibri"/>
          <w:kern w:val="2"/>
          <w:sz w:val="22"/>
          <w:szCs w:val="22"/>
          <w:lang w:eastAsia="en-US"/>
          <w14:ligatures w14:val="standardContextual"/>
        </w:rPr>
      </w:pPr>
      <w:r w:rsidRPr="002D59DD">
        <w:rPr>
          <w:rFonts w:ascii="Calibri" w:eastAsia="Calibri" w:hAnsi="Calibri"/>
          <w:kern w:val="2"/>
          <w:sz w:val="22"/>
          <w:szCs w:val="22"/>
          <w:lang w:eastAsia="en-US"/>
          <w14:ligatures w14:val="standardContextual"/>
        </w:rPr>
        <w:t>The current RTS proposals reflect a high-level approach, but in many cases stop short of offering sufficient clarity or referencing established global frameworks such as</w:t>
      </w:r>
      <w:r>
        <w:rPr>
          <w:rFonts w:ascii="Calibri" w:eastAsia="Calibri" w:hAnsi="Calibri"/>
          <w:kern w:val="2"/>
          <w:sz w:val="22"/>
          <w:szCs w:val="22"/>
          <w:lang w:eastAsia="en-US"/>
          <w14:ligatures w14:val="standardContextual"/>
        </w:rPr>
        <w:t xml:space="preserve"> (but not limited to)</w:t>
      </w:r>
      <w:r w:rsidRPr="002D59DD">
        <w:rPr>
          <w:rFonts w:ascii="Calibri" w:eastAsia="Calibri" w:hAnsi="Calibri"/>
          <w:kern w:val="2"/>
          <w:sz w:val="22"/>
          <w:szCs w:val="22"/>
          <w:lang w:eastAsia="en-US"/>
          <w14:ligatures w14:val="standardContextual"/>
        </w:rPr>
        <w:t>:</w:t>
      </w:r>
    </w:p>
    <w:p w14:paraId="0BA936E8" w14:textId="2D08EDB4" w:rsidR="00972348" w:rsidRPr="002D59DD" w:rsidRDefault="00972348" w:rsidP="00972348">
      <w:pPr>
        <w:numPr>
          <w:ilvl w:val="0"/>
          <w:numId w:val="32"/>
        </w:numPr>
        <w:spacing w:after="160" w:line="259" w:lineRule="auto"/>
        <w:rPr>
          <w:rFonts w:ascii="Calibri" w:eastAsia="Calibri" w:hAnsi="Calibri"/>
          <w:kern w:val="2"/>
          <w:sz w:val="22"/>
          <w:szCs w:val="22"/>
          <w:lang w:eastAsia="en-US"/>
          <w14:ligatures w14:val="standardContextual"/>
        </w:rPr>
      </w:pPr>
      <w:r w:rsidRPr="002D59DD">
        <w:rPr>
          <w:rFonts w:ascii="Calibri" w:eastAsia="Calibri" w:hAnsi="Calibri"/>
          <w:b/>
          <w:bCs/>
          <w:kern w:val="2"/>
          <w:sz w:val="22"/>
          <w:szCs w:val="22"/>
          <w:lang w:eastAsia="en-US"/>
          <w14:ligatures w14:val="standardContextual"/>
        </w:rPr>
        <w:t>ISQM 1</w:t>
      </w:r>
      <w:r w:rsidR="5B0A9C42" w:rsidRPr="159D85D6">
        <w:rPr>
          <w:rFonts w:ascii="Calibri" w:eastAsia="Calibri" w:hAnsi="Calibri"/>
          <w:b/>
          <w:bCs/>
          <w:sz w:val="22"/>
          <w:szCs w:val="22"/>
          <w:lang w:eastAsia="en-US"/>
        </w:rPr>
        <w:t xml:space="preserve">, </w:t>
      </w:r>
      <w:r w:rsidR="5B0A9C42" w:rsidRPr="00541618">
        <w:rPr>
          <w:rFonts w:ascii="Calibri" w:eastAsia="Calibri" w:hAnsi="Calibri"/>
          <w:b/>
          <w:bCs/>
          <w:i/>
          <w:iCs/>
          <w:sz w:val="22"/>
          <w:szCs w:val="22"/>
          <w:lang w:eastAsia="en-US"/>
        </w:rPr>
        <w:t xml:space="preserve">International Standard on Quality </w:t>
      </w:r>
      <w:proofErr w:type="gramStart"/>
      <w:r w:rsidR="5B0A9C42" w:rsidRPr="00541618">
        <w:rPr>
          <w:rFonts w:ascii="Calibri" w:eastAsia="Calibri" w:hAnsi="Calibri"/>
          <w:b/>
          <w:bCs/>
          <w:i/>
          <w:iCs/>
          <w:sz w:val="22"/>
          <w:szCs w:val="22"/>
          <w:lang w:eastAsia="en-US"/>
        </w:rPr>
        <w:t>Management</w:t>
      </w:r>
      <w:r w:rsidR="5273A9AE" w:rsidRPr="159D85D6">
        <w:rPr>
          <w:rFonts w:ascii="Calibri" w:eastAsia="Calibri" w:hAnsi="Calibri"/>
          <w:b/>
          <w:bCs/>
          <w:i/>
          <w:iCs/>
          <w:sz w:val="22"/>
          <w:szCs w:val="22"/>
          <w:lang w:eastAsia="en-US"/>
        </w:rPr>
        <w:t xml:space="preserve">, </w:t>
      </w:r>
      <w:r w:rsidRPr="159D85D6">
        <w:rPr>
          <w:rFonts w:ascii="Calibri" w:eastAsia="Calibri" w:hAnsi="Calibri"/>
          <w:sz w:val="22"/>
          <w:szCs w:val="22"/>
          <w:lang w:eastAsia="en-US"/>
        </w:rPr>
        <w:t xml:space="preserve"> </w:t>
      </w:r>
      <w:r w:rsidR="40A4BE0A" w:rsidRPr="159D85D6">
        <w:rPr>
          <w:rFonts w:ascii="Calibri" w:eastAsia="Calibri" w:hAnsi="Calibri"/>
          <w:sz w:val="22"/>
          <w:szCs w:val="22"/>
          <w:lang w:eastAsia="en-US"/>
        </w:rPr>
        <w:t>issued</w:t>
      </w:r>
      <w:proofErr w:type="gramEnd"/>
      <w:r w:rsidR="40A4BE0A" w:rsidRPr="159D85D6">
        <w:rPr>
          <w:rFonts w:ascii="Calibri" w:eastAsia="Calibri" w:hAnsi="Calibri"/>
          <w:sz w:val="22"/>
          <w:szCs w:val="22"/>
          <w:lang w:eastAsia="en-US"/>
        </w:rPr>
        <w:t xml:space="preserve"> by IAASB </w:t>
      </w:r>
      <w:r w:rsidRPr="002D59DD">
        <w:rPr>
          <w:rFonts w:ascii="Calibri" w:eastAsia="Calibri" w:hAnsi="Calibri"/>
          <w:kern w:val="2"/>
          <w:sz w:val="22"/>
          <w:szCs w:val="22"/>
          <w:lang w:eastAsia="en-US"/>
          <w14:ligatures w14:val="standardContextual"/>
        </w:rPr>
        <w:t>– governing firm-level quality management,</w:t>
      </w:r>
    </w:p>
    <w:p w14:paraId="75AC2A49" w14:textId="363CA6D1" w:rsidR="00972348" w:rsidRPr="002D59DD" w:rsidRDefault="00972348" w:rsidP="00972348">
      <w:pPr>
        <w:numPr>
          <w:ilvl w:val="0"/>
          <w:numId w:val="32"/>
        </w:numPr>
        <w:spacing w:after="160" w:line="259" w:lineRule="auto"/>
        <w:rPr>
          <w:rFonts w:ascii="Calibri" w:eastAsia="Calibri" w:hAnsi="Calibri"/>
          <w:kern w:val="2"/>
          <w:sz w:val="22"/>
          <w:szCs w:val="22"/>
          <w:lang w:eastAsia="en-US"/>
          <w14:ligatures w14:val="standardContextual"/>
        </w:rPr>
      </w:pPr>
      <w:r w:rsidRPr="002D59DD">
        <w:rPr>
          <w:rFonts w:ascii="Calibri" w:eastAsia="Calibri" w:hAnsi="Calibri"/>
          <w:b/>
          <w:bCs/>
          <w:kern w:val="2"/>
          <w:sz w:val="22"/>
          <w:szCs w:val="22"/>
          <w:lang w:eastAsia="en-US"/>
          <w14:ligatures w14:val="standardContextual"/>
        </w:rPr>
        <w:t>ISSA 5000</w:t>
      </w:r>
      <w:r w:rsidR="080B0162" w:rsidRPr="3419C333">
        <w:rPr>
          <w:rFonts w:ascii="Calibri" w:eastAsia="Calibri" w:hAnsi="Calibri"/>
          <w:b/>
          <w:bCs/>
          <w:sz w:val="22"/>
          <w:szCs w:val="22"/>
          <w:lang w:eastAsia="en-US"/>
        </w:rPr>
        <w:t xml:space="preserve">, </w:t>
      </w:r>
      <w:r w:rsidR="080B0162" w:rsidRPr="00541618">
        <w:rPr>
          <w:rFonts w:ascii="Calibri" w:eastAsia="Calibri" w:hAnsi="Calibri"/>
          <w:b/>
          <w:bCs/>
          <w:i/>
          <w:iCs/>
          <w:sz w:val="22"/>
          <w:szCs w:val="22"/>
          <w:lang w:eastAsia="en-US"/>
        </w:rPr>
        <w:t>International Standard on sustainability Assurance</w:t>
      </w:r>
      <w:r w:rsidR="080B0162" w:rsidRPr="3419C333">
        <w:rPr>
          <w:rFonts w:ascii="Calibri" w:eastAsia="Calibri" w:hAnsi="Calibri"/>
          <w:b/>
          <w:bCs/>
          <w:sz w:val="22"/>
          <w:szCs w:val="22"/>
          <w:lang w:eastAsia="en-US"/>
        </w:rPr>
        <w:t>,</w:t>
      </w:r>
      <w:r w:rsidRPr="159D85D6">
        <w:rPr>
          <w:rFonts w:ascii="Calibri" w:eastAsia="Calibri" w:hAnsi="Calibri"/>
          <w:kern w:val="2"/>
          <w:sz w:val="22"/>
          <w:szCs w:val="22"/>
          <w:lang w:eastAsia="en-US"/>
          <w14:ligatures w14:val="standardContextual"/>
        </w:rPr>
        <w:t xml:space="preserve"> </w:t>
      </w:r>
      <w:r w:rsidR="142D9142" w:rsidRPr="3419C333">
        <w:rPr>
          <w:rFonts w:ascii="Calibri" w:eastAsia="Calibri" w:hAnsi="Calibri"/>
          <w:sz w:val="22"/>
          <w:szCs w:val="22"/>
          <w:lang w:eastAsia="en-US"/>
        </w:rPr>
        <w:t xml:space="preserve">issued by IAASB </w:t>
      </w:r>
      <w:r w:rsidRPr="002D59DD">
        <w:rPr>
          <w:rFonts w:ascii="Calibri" w:eastAsia="Calibri" w:hAnsi="Calibri"/>
          <w:kern w:val="2"/>
          <w:sz w:val="22"/>
          <w:szCs w:val="22"/>
          <w:lang w:eastAsia="en-US"/>
          <w14:ligatures w14:val="standardContextual"/>
        </w:rPr>
        <w:t>(or in the interim, ISAE 3000</w:t>
      </w:r>
      <w:r w:rsidR="73B5F9CD" w:rsidRPr="002D59DD">
        <w:rPr>
          <w:rFonts w:ascii="Calibri" w:eastAsia="Calibri" w:hAnsi="Calibri"/>
          <w:kern w:val="2"/>
          <w:sz w:val="22"/>
          <w:szCs w:val="22"/>
          <w:lang w:eastAsia="en-US"/>
          <w14:ligatures w14:val="standardContextual"/>
        </w:rPr>
        <w:t xml:space="preserve"> (Revised), I</w:t>
      </w:r>
      <w:r w:rsidR="73B5F9CD" w:rsidRPr="00541618">
        <w:rPr>
          <w:rFonts w:ascii="Calibri" w:eastAsia="Calibri" w:hAnsi="Calibri"/>
          <w:i/>
          <w:iCs/>
          <w:kern w:val="2"/>
          <w:sz w:val="22"/>
          <w:szCs w:val="22"/>
          <w:lang w:eastAsia="en-US"/>
          <w14:ligatures w14:val="standardContextual"/>
        </w:rPr>
        <w:t>nternational Standard on Assurance Engagements</w:t>
      </w:r>
      <w:r w:rsidR="73B5F9CD" w:rsidRPr="002D59DD">
        <w:rPr>
          <w:rFonts w:ascii="Calibri" w:eastAsia="Calibri" w:hAnsi="Calibri"/>
          <w:kern w:val="2"/>
          <w:sz w:val="22"/>
          <w:szCs w:val="22"/>
          <w:lang w:eastAsia="en-US"/>
          <w14:ligatures w14:val="standardContextual"/>
        </w:rPr>
        <w:t>, issued by IAASB</w:t>
      </w:r>
      <w:r w:rsidRPr="002D59DD">
        <w:rPr>
          <w:rFonts w:ascii="Calibri" w:eastAsia="Calibri" w:hAnsi="Calibri"/>
          <w:kern w:val="2"/>
          <w:sz w:val="22"/>
          <w:szCs w:val="22"/>
          <w:lang w:eastAsia="en-US"/>
          <w14:ligatures w14:val="standardContextual"/>
        </w:rPr>
        <w:t>) – governing sustainability assurance engagements, and</w:t>
      </w:r>
    </w:p>
    <w:p w14:paraId="68DF21B6" w14:textId="45E36710" w:rsidR="00972348" w:rsidRPr="002D59DD" w:rsidRDefault="79543AD9" w:rsidP="00972348">
      <w:pPr>
        <w:numPr>
          <w:ilvl w:val="0"/>
          <w:numId w:val="32"/>
        </w:numPr>
        <w:spacing w:after="160" w:line="259" w:lineRule="auto"/>
        <w:rPr>
          <w:rFonts w:ascii="Calibri" w:eastAsia="Calibri" w:hAnsi="Calibri"/>
          <w:kern w:val="2"/>
          <w:sz w:val="22"/>
          <w:szCs w:val="22"/>
          <w:lang w:eastAsia="en-US"/>
          <w14:ligatures w14:val="standardContextual"/>
        </w:rPr>
      </w:pPr>
      <w:r w:rsidRPr="002D59DD">
        <w:rPr>
          <w:rFonts w:ascii="Calibri" w:eastAsia="Calibri" w:hAnsi="Calibri"/>
          <w:b/>
          <w:bCs/>
          <w:kern w:val="2"/>
          <w:sz w:val="22"/>
          <w:szCs w:val="22"/>
          <w:lang w:eastAsia="en-US"/>
          <w14:ligatures w14:val="standardContextual"/>
        </w:rPr>
        <w:t xml:space="preserve"> </w:t>
      </w:r>
      <w:r w:rsidR="77458793" w:rsidRPr="00541618">
        <w:rPr>
          <w:rFonts w:ascii="Calibri" w:eastAsia="Calibri" w:hAnsi="Calibri"/>
          <w:b/>
          <w:bCs/>
          <w:i/>
          <w:iCs/>
          <w:kern w:val="2"/>
          <w:sz w:val="22"/>
          <w:szCs w:val="22"/>
          <w:lang w:eastAsia="en-US"/>
          <w14:ligatures w14:val="standardContextual"/>
        </w:rPr>
        <w:t xml:space="preserve">International </w:t>
      </w:r>
      <w:r w:rsidRPr="00541618">
        <w:rPr>
          <w:rFonts w:ascii="Calibri" w:eastAsia="Calibri" w:hAnsi="Calibri"/>
          <w:b/>
          <w:bCs/>
          <w:i/>
          <w:iCs/>
          <w:kern w:val="2"/>
          <w:sz w:val="22"/>
          <w:szCs w:val="22"/>
          <w:lang w:eastAsia="en-US"/>
          <w14:ligatures w14:val="standardContextual"/>
        </w:rPr>
        <w:t>Code of Ethics</w:t>
      </w:r>
      <w:r w:rsidR="0674A123" w:rsidRPr="00541618">
        <w:rPr>
          <w:rFonts w:ascii="Calibri" w:eastAsia="Calibri" w:hAnsi="Calibri"/>
          <w:b/>
          <w:bCs/>
          <w:i/>
          <w:iCs/>
          <w:kern w:val="2"/>
          <w:sz w:val="22"/>
          <w:szCs w:val="22"/>
          <w:lang w:eastAsia="en-US"/>
          <w14:ligatures w14:val="standardContextual"/>
        </w:rPr>
        <w:t xml:space="preserve"> for professional accountants (including International Independence </w:t>
      </w:r>
      <w:proofErr w:type="gramStart"/>
      <w:r w:rsidR="0674A123" w:rsidRPr="00541618">
        <w:rPr>
          <w:rFonts w:ascii="Calibri" w:eastAsia="Calibri" w:hAnsi="Calibri"/>
          <w:b/>
          <w:bCs/>
          <w:i/>
          <w:iCs/>
          <w:kern w:val="2"/>
          <w:sz w:val="22"/>
          <w:szCs w:val="22"/>
          <w:lang w:eastAsia="en-US"/>
          <w14:ligatures w14:val="standardContextual"/>
        </w:rPr>
        <w:t>Standards</w:t>
      </w:r>
      <w:r w:rsidR="5C45DED4" w:rsidRPr="002D59DD">
        <w:rPr>
          <w:rFonts w:ascii="Calibri" w:eastAsia="Calibri" w:hAnsi="Calibri"/>
          <w:b/>
          <w:bCs/>
          <w:kern w:val="2"/>
          <w:sz w:val="22"/>
          <w:szCs w:val="22"/>
          <w:lang w:eastAsia="en-US"/>
          <w14:ligatures w14:val="standardContextual"/>
        </w:rPr>
        <w:t xml:space="preserve"> </w:t>
      </w:r>
      <w:r w:rsidR="0674A123" w:rsidRPr="002D59DD">
        <w:rPr>
          <w:rFonts w:ascii="Calibri" w:eastAsia="Calibri" w:hAnsi="Calibri"/>
          <w:b/>
          <w:bCs/>
          <w:kern w:val="2"/>
          <w:sz w:val="22"/>
          <w:szCs w:val="22"/>
          <w:lang w:eastAsia="en-US"/>
          <w14:ligatures w14:val="standardContextual"/>
        </w:rPr>
        <w:t>)</w:t>
      </w:r>
      <w:proofErr w:type="gramEnd"/>
      <w:r w:rsidR="5E50D3A1" w:rsidRPr="002D59DD">
        <w:rPr>
          <w:rFonts w:ascii="Calibri" w:eastAsia="Calibri" w:hAnsi="Calibri"/>
          <w:b/>
          <w:bCs/>
          <w:kern w:val="2"/>
          <w:sz w:val="22"/>
          <w:szCs w:val="22"/>
          <w:lang w:eastAsia="en-US"/>
          <w14:ligatures w14:val="standardContextual"/>
        </w:rPr>
        <w:t xml:space="preserve">, </w:t>
      </w:r>
      <w:r w:rsidR="5E50D3A1" w:rsidRPr="00541618">
        <w:rPr>
          <w:rFonts w:ascii="Calibri" w:eastAsia="Calibri" w:hAnsi="Calibri"/>
          <w:kern w:val="2"/>
          <w:sz w:val="22"/>
          <w:szCs w:val="22"/>
          <w:lang w:eastAsia="en-US"/>
          <w14:ligatures w14:val="standardContextual"/>
        </w:rPr>
        <w:t xml:space="preserve">issued by </w:t>
      </w:r>
      <w:proofErr w:type="gramStart"/>
      <w:r w:rsidR="5E50D3A1" w:rsidRPr="00541618">
        <w:rPr>
          <w:rFonts w:ascii="Calibri" w:eastAsia="Calibri" w:hAnsi="Calibri"/>
          <w:kern w:val="2"/>
          <w:sz w:val="22"/>
          <w:szCs w:val="22"/>
          <w:lang w:eastAsia="en-US"/>
          <w14:ligatures w14:val="standardContextual"/>
        </w:rPr>
        <w:t>IESBA</w:t>
      </w:r>
      <w:r w:rsidR="5E50D3A1" w:rsidRPr="002D59DD">
        <w:rPr>
          <w:rFonts w:ascii="Calibri" w:eastAsia="Calibri" w:hAnsi="Calibri"/>
          <w:b/>
          <w:bCs/>
          <w:kern w:val="2"/>
          <w:sz w:val="22"/>
          <w:szCs w:val="22"/>
          <w:lang w:eastAsia="en-US"/>
          <w14:ligatures w14:val="standardContextual"/>
        </w:rPr>
        <w:t xml:space="preserve"> </w:t>
      </w:r>
      <w:r w:rsidRPr="002D59DD">
        <w:rPr>
          <w:rFonts w:ascii="Calibri" w:eastAsia="Calibri" w:hAnsi="Calibri"/>
          <w:kern w:val="2"/>
          <w:sz w:val="22"/>
          <w:szCs w:val="22"/>
          <w:lang w:eastAsia="en-US"/>
          <w14:ligatures w14:val="standardContextual"/>
        </w:rPr>
        <w:t xml:space="preserve"> –</w:t>
      </w:r>
      <w:proofErr w:type="gramEnd"/>
      <w:r w:rsidRPr="002D59DD">
        <w:rPr>
          <w:rFonts w:ascii="Calibri" w:eastAsia="Calibri" w:hAnsi="Calibri"/>
          <w:kern w:val="2"/>
          <w:sz w:val="22"/>
          <w:szCs w:val="22"/>
          <w:lang w:eastAsia="en-US"/>
          <w14:ligatures w14:val="standardContextual"/>
        </w:rPr>
        <w:t xml:space="preserve"> governing independence and professional conduct.</w:t>
      </w:r>
    </w:p>
    <w:p w14:paraId="531D323C" w14:textId="4D4D699A" w:rsidR="00972348" w:rsidRPr="002D59DD" w:rsidRDefault="00972348" w:rsidP="00972348">
      <w:pPr>
        <w:spacing w:after="160" w:line="259" w:lineRule="auto"/>
        <w:rPr>
          <w:rFonts w:ascii="Calibri" w:eastAsia="Calibri" w:hAnsi="Calibri"/>
          <w:kern w:val="2"/>
          <w:sz w:val="22"/>
          <w:szCs w:val="22"/>
          <w:lang w:eastAsia="en-US"/>
          <w14:ligatures w14:val="standardContextual"/>
        </w:rPr>
      </w:pPr>
      <w:r w:rsidRPr="002D59DD">
        <w:rPr>
          <w:rFonts w:ascii="Calibri" w:eastAsia="Calibri" w:hAnsi="Calibri"/>
          <w:kern w:val="2"/>
          <w:sz w:val="22"/>
          <w:szCs w:val="22"/>
          <w:lang w:eastAsia="en-US"/>
          <w14:ligatures w14:val="standardContextual"/>
        </w:rPr>
        <w:t>These frameworks have been developed by global standard-setters and are already applied by a wide range of assurance providers</w:t>
      </w:r>
      <w:r w:rsidR="00BC1D04">
        <w:rPr>
          <w:rFonts w:ascii="Calibri" w:eastAsia="Calibri" w:hAnsi="Calibri"/>
          <w:kern w:val="2"/>
          <w:sz w:val="22"/>
          <w:szCs w:val="22"/>
          <w:lang w:eastAsia="en-US"/>
          <w14:ligatures w14:val="standardContextual"/>
        </w:rPr>
        <w:t xml:space="preserve">, for example in the context of </w:t>
      </w:r>
      <w:r w:rsidR="002D36ED">
        <w:rPr>
          <w:rFonts w:ascii="Calibri" w:eastAsia="Calibri" w:hAnsi="Calibri"/>
          <w:kern w:val="2"/>
          <w:sz w:val="22"/>
          <w:szCs w:val="22"/>
          <w:lang w:eastAsia="en-US"/>
          <w14:ligatures w14:val="standardContextual"/>
        </w:rPr>
        <w:t>limited assurance of sustainability reports in accordance with CSRD/ESRS</w:t>
      </w:r>
      <w:r w:rsidR="1EF51137">
        <w:rPr>
          <w:rFonts w:ascii="Calibri" w:eastAsia="Calibri" w:hAnsi="Calibri"/>
          <w:kern w:val="2"/>
          <w:sz w:val="22"/>
          <w:szCs w:val="22"/>
          <w:lang w:eastAsia="en-US"/>
          <w14:ligatures w14:val="standardContextual"/>
        </w:rPr>
        <w:t xml:space="preserve"> (which include assurance over taxonomy information)</w:t>
      </w:r>
      <w:r w:rsidR="002D36ED">
        <w:rPr>
          <w:rFonts w:ascii="Calibri" w:eastAsia="Calibri" w:hAnsi="Calibri"/>
          <w:kern w:val="2"/>
          <w:sz w:val="22"/>
          <w:szCs w:val="22"/>
          <w:lang w:eastAsia="en-US"/>
          <w14:ligatures w14:val="standardContextual"/>
        </w:rPr>
        <w:t xml:space="preserve"> or </w:t>
      </w:r>
      <w:r w:rsidR="00340EFE">
        <w:rPr>
          <w:rFonts w:ascii="Calibri" w:eastAsia="Calibri" w:hAnsi="Calibri"/>
          <w:kern w:val="2"/>
          <w:sz w:val="22"/>
          <w:szCs w:val="22"/>
          <w:lang w:eastAsia="en-US"/>
          <w14:ligatures w14:val="standardContextual"/>
        </w:rPr>
        <w:t>financial statement audits in the EU</w:t>
      </w:r>
      <w:r w:rsidRPr="002D59D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 xml:space="preserve">It should also be noted that National Competent Authorities for audit oversight in the EU use these standards (or similar local standards based on these global standards) as a benchmark for their regular inspections or enforcement activities. </w:t>
      </w:r>
      <w:r w:rsidR="001601C4">
        <w:rPr>
          <w:rFonts w:ascii="Calibri" w:eastAsia="Calibri" w:hAnsi="Calibri"/>
          <w:kern w:val="2"/>
          <w:sz w:val="22"/>
          <w:szCs w:val="22"/>
          <w:lang w:eastAsia="en-US"/>
          <w14:ligatures w14:val="standardContextual"/>
        </w:rPr>
        <w:t>For example, the Committee of European Auditing Oversight Bodies (CEAOB) has</w:t>
      </w:r>
      <w:r w:rsidR="0083687B">
        <w:rPr>
          <w:rFonts w:ascii="Calibri" w:eastAsia="Calibri" w:hAnsi="Calibri"/>
          <w:kern w:val="2"/>
          <w:sz w:val="22"/>
          <w:szCs w:val="22"/>
          <w:lang w:eastAsia="en-US"/>
          <w14:ligatures w14:val="standardContextual"/>
        </w:rPr>
        <w:t xml:space="preserve"> developed a </w:t>
      </w:r>
      <w:hyperlink r:id="rId19" w:history="1">
        <w:r w:rsidR="0083687B" w:rsidRPr="0083687B">
          <w:rPr>
            <w:rStyle w:val="Hyperlink"/>
            <w:rFonts w:ascii="Calibri" w:eastAsia="Calibri" w:hAnsi="Calibri"/>
            <w:kern w:val="2"/>
            <w:sz w:val="22"/>
            <w:szCs w:val="22"/>
            <w:lang w:eastAsia="en-US"/>
            <w14:ligatures w14:val="standardContextual"/>
          </w:rPr>
          <w:t>Common Audit Inspection Methodology for ISQM1</w:t>
        </w:r>
      </w:hyperlink>
      <w:r w:rsidR="0083687B">
        <w:rPr>
          <w:rFonts w:ascii="Calibri" w:eastAsia="Calibri" w:hAnsi="Calibri"/>
          <w:kern w:val="2"/>
          <w:sz w:val="22"/>
          <w:szCs w:val="22"/>
          <w:lang w:eastAsia="en-US"/>
          <w14:ligatures w14:val="standardContextual"/>
        </w:rPr>
        <w:t xml:space="preserve">. </w:t>
      </w:r>
      <w:r w:rsidRPr="002D59DD">
        <w:rPr>
          <w:rFonts w:ascii="Calibri" w:eastAsia="Calibri" w:hAnsi="Calibri"/>
          <w:kern w:val="2"/>
          <w:sz w:val="22"/>
          <w:szCs w:val="22"/>
          <w:lang w:eastAsia="en-US"/>
          <w14:ligatures w14:val="standardContextual"/>
        </w:rPr>
        <w:t xml:space="preserve">Recognizing them </w:t>
      </w:r>
      <w:r w:rsidR="771C1620" w:rsidRPr="002D59DD">
        <w:rPr>
          <w:rFonts w:ascii="Calibri" w:eastAsia="Calibri" w:hAnsi="Calibri"/>
          <w:kern w:val="2"/>
          <w:sz w:val="22"/>
          <w:szCs w:val="22"/>
          <w:lang w:eastAsia="en-US"/>
          <w14:ligatures w14:val="standardContextual"/>
        </w:rPr>
        <w:t>as a baseline</w:t>
      </w:r>
      <w:r w:rsidRPr="002D59DD">
        <w:rPr>
          <w:rFonts w:ascii="Calibri" w:eastAsia="Calibri" w:hAnsi="Calibri"/>
          <w:kern w:val="2"/>
          <w:sz w:val="22"/>
          <w:szCs w:val="22"/>
          <w:lang w:eastAsia="en-US"/>
          <w14:ligatures w14:val="standardContextual"/>
        </w:rPr>
        <w:t xml:space="preserve"> for external reviewer expectations would promote consistency across jurisdictions, ease supervisory implementation, and significantly reduce compliance burdens without sacrificing quality.</w:t>
      </w:r>
    </w:p>
    <w:p w14:paraId="221D0FF3" w14:textId="77777777" w:rsidR="00972348" w:rsidRPr="002D59DD" w:rsidRDefault="00972348" w:rsidP="00972348">
      <w:pPr>
        <w:spacing w:after="160" w:line="259" w:lineRule="auto"/>
        <w:rPr>
          <w:rFonts w:ascii="Calibri" w:eastAsia="Calibri" w:hAnsi="Calibri"/>
          <w:kern w:val="2"/>
          <w:sz w:val="22"/>
          <w:szCs w:val="22"/>
          <w:lang w:eastAsia="en-US"/>
          <w14:ligatures w14:val="standardContextual"/>
        </w:rPr>
      </w:pPr>
      <w:r w:rsidRPr="002D59DD">
        <w:rPr>
          <w:rFonts w:ascii="Calibri" w:eastAsia="Calibri" w:hAnsi="Calibri"/>
          <w:kern w:val="2"/>
          <w:sz w:val="22"/>
          <w:szCs w:val="22"/>
          <w:lang w:eastAsia="en-US"/>
          <w14:ligatures w14:val="standardContextual"/>
        </w:rPr>
        <w:t xml:space="preserve">We believe this approach would also align with the Commission’s broader simplification agenda, as emphasized in its </w:t>
      </w:r>
      <w:r w:rsidRPr="002D59DD">
        <w:rPr>
          <w:rFonts w:ascii="Calibri" w:eastAsia="Calibri" w:hAnsi="Calibri"/>
          <w:i/>
          <w:iCs/>
          <w:kern w:val="2"/>
          <w:sz w:val="22"/>
          <w:szCs w:val="22"/>
          <w:lang w:eastAsia="en-US"/>
          <w14:ligatures w14:val="standardContextual"/>
        </w:rPr>
        <w:t>"Competitiveness Compass for the EU – Simplification"</w:t>
      </w:r>
      <w:r w:rsidRPr="002D59DD">
        <w:rPr>
          <w:rFonts w:ascii="Calibri" w:eastAsia="Calibri" w:hAnsi="Calibri"/>
          <w:kern w:val="2"/>
          <w:sz w:val="22"/>
          <w:szCs w:val="22"/>
          <w:lang w:eastAsia="en-US"/>
          <w14:ligatures w14:val="standardContextual"/>
        </w:rPr>
        <w:t xml:space="preserve"> (January 2025), which promotes reduced regulatory burdens and greater reliance on existing best practices</w:t>
      </w:r>
      <w:r>
        <w:rPr>
          <w:rFonts w:ascii="Calibri" w:eastAsia="Calibri" w:hAnsi="Calibri"/>
          <w:kern w:val="2"/>
          <w:sz w:val="22"/>
          <w:szCs w:val="22"/>
          <w:lang w:eastAsia="en-US"/>
          <w14:ligatures w14:val="standardContextual"/>
        </w:rPr>
        <w:t xml:space="preserve"> – hence using what exists rather than creating new requirements</w:t>
      </w:r>
      <w:r w:rsidRPr="002D59DD">
        <w:rPr>
          <w:rFonts w:ascii="Calibri" w:eastAsia="Calibri" w:hAnsi="Calibri"/>
          <w:kern w:val="2"/>
          <w:sz w:val="22"/>
          <w:szCs w:val="22"/>
          <w:lang w:eastAsia="en-US"/>
          <w14:ligatures w14:val="standardContextual"/>
        </w:rPr>
        <w:t>.</w:t>
      </w:r>
    </w:p>
    <w:p w14:paraId="4FF9A32F" w14:textId="77777777" w:rsidR="00972348" w:rsidRDefault="00972348" w:rsidP="00972348">
      <w:pPr>
        <w:spacing w:after="160" w:line="259" w:lineRule="auto"/>
        <w:rPr>
          <w:rFonts w:ascii="Calibri" w:eastAsia="Calibri" w:hAnsi="Calibri"/>
          <w:kern w:val="2"/>
          <w:sz w:val="22"/>
          <w:szCs w:val="22"/>
          <w:lang w:eastAsia="en-US"/>
          <w14:ligatures w14:val="standardContextual"/>
        </w:rPr>
      </w:pPr>
      <w:r w:rsidRPr="002D59DD">
        <w:rPr>
          <w:rFonts w:ascii="Calibri" w:eastAsia="Calibri" w:hAnsi="Calibri"/>
          <w:kern w:val="2"/>
          <w:sz w:val="22"/>
          <w:szCs w:val="22"/>
          <w:lang w:eastAsia="en-US"/>
          <w14:ligatures w14:val="standardContextual"/>
        </w:rPr>
        <w:lastRenderedPageBreak/>
        <w:t>We encourage ESMA to consider formally recognizing these standards as sufficient to meet the RTS requirements where applicable, and to focus any additional requirements on aspects truly unique to the green bond context.</w:t>
      </w:r>
    </w:p>
    <w:p w14:paraId="36F62DF9" w14:textId="77777777" w:rsidR="00972348" w:rsidRDefault="00972348" w:rsidP="00972348">
      <w:pPr>
        <w:spacing w:after="16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We fully acknowledge that other professionals may perform reviews in accordance with the EUGBR. The standards above are usually principles based and – especially in the case of ISSA 5000 – profession agnostic.</w:t>
      </w:r>
    </w:p>
    <w:p w14:paraId="1D4E7284" w14:textId="77777777" w:rsidR="00972348" w:rsidRDefault="00972348" w:rsidP="00972348">
      <w:pPr>
        <w:spacing w:after="160" w:line="259" w:lineRule="auto"/>
        <w:rPr>
          <w:rFonts w:ascii="Calibri" w:eastAsia="Calibri" w:hAnsi="Calibri"/>
          <w:kern w:val="2"/>
          <w:sz w:val="22"/>
          <w:szCs w:val="22"/>
          <w:lang w:eastAsia="en-US"/>
          <w14:ligatures w14:val="standardContextual"/>
        </w:rPr>
      </w:pPr>
    </w:p>
    <w:p w14:paraId="658BE940" w14:textId="77777777" w:rsidR="00972348" w:rsidRPr="00EC3556" w:rsidRDefault="00972348" w:rsidP="00972348">
      <w:pPr>
        <w:spacing w:after="160" w:line="259" w:lineRule="auto"/>
        <w:rPr>
          <w:rFonts w:ascii="Calibri" w:eastAsia="Calibri" w:hAnsi="Calibri"/>
          <w:b/>
          <w:bCs/>
          <w:kern w:val="2"/>
          <w:sz w:val="22"/>
          <w:szCs w:val="22"/>
          <w:lang w:eastAsia="en-US"/>
          <w14:ligatures w14:val="standardContextual"/>
        </w:rPr>
      </w:pPr>
      <w:r>
        <w:rPr>
          <w:rFonts w:ascii="Calibri" w:eastAsia="Calibri" w:hAnsi="Calibri"/>
          <w:b/>
          <w:bCs/>
          <w:kern w:val="2"/>
          <w:sz w:val="22"/>
          <w:szCs w:val="22"/>
          <w:lang w:eastAsia="en-US"/>
          <w14:ligatures w14:val="standardContextual"/>
        </w:rPr>
        <w:t xml:space="preserve">Regarding </w:t>
      </w:r>
      <w:r w:rsidRPr="00EC3556">
        <w:rPr>
          <w:rFonts w:ascii="Calibri" w:eastAsia="Calibri" w:hAnsi="Calibri"/>
          <w:b/>
          <w:bCs/>
          <w:kern w:val="2"/>
          <w:sz w:val="22"/>
          <w:szCs w:val="22"/>
          <w:lang w:eastAsia="en-US"/>
          <w14:ligatures w14:val="standardContextual"/>
        </w:rPr>
        <w:t>Q1 – Systems, Resources and Procedures</w:t>
      </w:r>
    </w:p>
    <w:p w14:paraId="4380180A" w14:textId="77777777" w:rsidR="00972348" w:rsidRPr="00EC3556" w:rsidRDefault="00972348" w:rsidP="00972348">
      <w:pPr>
        <w:spacing w:after="160" w:line="259" w:lineRule="auto"/>
        <w:rPr>
          <w:rFonts w:ascii="Calibri" w:eastAsia="Calibri" w:hAnsi="Calibri"/>
          <w:kern w:val="2"/>
          <w:sz w:val="22"/>
          <w:szCs w:val="22"/>
          <w:lang w:eastAsia="en-US"/>
          <w14:ligatures w14:val="standardContextual"/>
        </w:rPr>
      </w:pPr>
      <w:r w:rsidRPr="00EC3556">
        <w:rPr>
          <w:rFonts w:ascii="Calibri" w:eastAsia="Calibri" w:hAnsi="Calibri"/>
          <w:kern w:val="2"/>
          <w:sz w:val="22"/>
          <w:szCs w:val="22"/>
          <w:lang w:eastAsia="en-US"/>
          <w14:ligatures w14:val="standardContextual"/>
        </w:rPr>
        <w:t>We support ESMA’s aim to ensure sound systems and effective resource deployment. However, as audit firms already operate under ISQM 1, we strongly recommend that this international standard be explicitly recognized as a baseline for compliance.</w:t>
      </w:r>
    </w:p>
    <w:p w14:paraId="2426FEAB" w14:textId="77777777" w:rsidR="00972348" w:rsidRPr="00EC3556" w:rsidRDefault="00972348" w:rsidP="00972348">
      <w:pPr>
        <w:spacing w:after="160" w:line="259" w:lineRule="auto"/>
        <w:rPr>
          <w:rFonts w:ascii="Calibri" w:eastAsia="Calibri" w:hAnsi="Calibri"/>
          <w:kern w:val="2"/>
          <w:sz w:val="22"/>
          <w:szCs w:val="22"/>
          <w:lang w:eastAsia="en-US"/>
          <w14:ligatures w14:val="standardContextual"/>
        </w:rPr>
      </w:pPr>
      <w:r w:rsidRPr="00EC3556">
        <w:rPr>
          <w:rFonts w:ascii="Calibri" w:eastAsia="Calibri" w:hAnsi="Calibri"/>
          <w:kern w:val="2"/>
          <w:sz w:val="22"/>
          <w:szCs w:val="22"/>
          <w:lang w:eastAsia="en-US"/>
          <w14:ligatures w14:val="standardContextual"/>
        </w:rPr>
        <w:t>This would provide clarity for market participants and simplify supervisory assessments, while still allowing ESMA to highlight any green bond-specific needs. Firms could demonstrate compliance by cross-referencing their quality management documentation, with ESMA focusing on any supplementary capabilities (e.g. knowledge of EU Taxonomy criteria).</w:t>
      </w:r>
    </w:p>
    <w:p w14:paraId="0704A118" w14:textId="77777777" w:rsidR="00972348" w:rsidRPr="00EC3556" w:rsidRDefault="00972348" w:rsidP="00972348">
      <w:pPr>
        <w:spacing w:after="160" w:line="259" w:lineRule="auto"/>
        <w:rPr>
          <w:rFonts w:ascii="Calibri" w:eastAsia="Calibri" w:hAnsi="Calibri"/>
          <w:kern w:val="2"/>
          <w:sz w:val="22"/>
          <w:szCs w:val="22"/>
          <w:lang w:eastAsia="en-US"/>
          <w14:ligatures w14:val="standardContextual"/>
        </w:rPr>
      </w:pPr>
      <w:r w:rsidRPr="00EC3556">
        <w:rPr>
          <w:rFonts w:ascii="Calibri" w:eastAsia="Calibri" w:hAnsi="Calibri"/>
          <w:kern w:val="2"/>
          <w:sz w:val="22"/>
          <w:szCs w:val="22"/>
          <w:lang w:eastAsia="en-US"/>
          <w14:ligatures w14:val="standardContextual"/>
        </w:rPr>
        <w:t>This approach also avoids the risk of regulatory fragmentation and supports comparability across Member States.</w:t>
      </w:r>
    </w:p>
    <w:p w14:paraId="38524F57" w14:textId="153662E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0BC2FE8F" w:rsidR="001B1B48" w:rsidRPr="001B1B48" w:rsidRDefault="00BB29AA" w:rsidP="77E82626">
      <w:pPr>
        <w:numPr>
          <w:ilvl w:val="0"/>
          <w:numId w:val="31"/>
        </w:numPr>
        <w:spacing w:after="240" w:line="259" w:lineRule="auto"/>
        <w:ind w:left="851" w:hanging="851"/>
        <w:jc w:val="both"/>
        <w:rPr>
          <w:rFonts w:ascii="Arial" w:hAnsi="Arial" w:cs="Arial"/>
          <w:b/>
          <w:bCs/>
          <w:sz w:val="22"/>
          <w:szCs w:val="22"/>
          <w:lang w:val="en-US" w:eastAsia="en-US"/>
        </w:rPr>
      </w:pPr>
      <w:r w:rsidRPr="77E82626">
        <w:rPr>
          <w:rFonts w:ascii="Arial" w:hAnsi="Arial" w:cs="Arial"/>
          <w:b/>
          <w:bCs/>
          <w:sz w:val="22"/>
          <w:szCs w:val="22"/>
          <w:lang w:eastAsia="en-US"/>
        </w:rPr>
        <w:t>Do you agree with ESMA’s proposals for the assessment of whether the compliance function has the authority to discharge its responsibilities properly and independently</w:t>
      </w:r>
      <w:r w:rsidRPr="77E82626">
        <w:rPr>
          <w:rFonts w:ascii="Arial" w:hAnsi="Arial" w:cs="Arial"/>
          <w:b/>
          <w:bCs/>
          <w:sz w:val="22"/>
          <w:szCs w:val="22"/>
          <w:lang w:val="en-US" w:eastAsia="en-US"/>
        </w:rPr>
        <w:t xml:space="preserve">, </w:t>
      </w:r>
      <w:r w:rsidRPr="77E82626">
        <w:rPr>
          <w:rFonts w:ascii="Arial" w:hAnsi="Arial" w:cs="Arial"/>
          <w:b/>
          <w:bCs/>
          <w:sz w:val="22"/>
          <w:szCs w:val="22"/>
          <w:lang w:eastAsia="en-US"/>
        </w:rPr>
        <w:t>the necessary resources and expertise and access to all relevant information?</w:t>
      </w:r>
    </w:p>
    <w:p w14:paraId="6C03D9F2" w14:textId="06B52983"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3698C748" w14:textId="77777777" w:rsidR="002B6060" w:rsidRPr="002B6060" w:rsidRDefault="002B6060"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We agree that the compliance function should be independent, resourced, and empowered. However, the requirement for formal inclusion in senior governance bodies (e.g. board or risk committee) could conflict with certain organizational models and may be too rigid.</w:t>
      </w:r>
    </w:p>
    <w:p w14:paraId="1E21EBA0" w14:textId="77777777" w:rsidR="002B6060" w:rsidRPr="002B6060" w:rsidRDefault="002B6060"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 xml:space="preserve">Instead, we suggest assessing the </w:t>
      </w:r>
      <w:r w:rsidRPr="002B6060">
        <w:rPr>
          <w:rFonts w:ascii="Calibri" w:eastAsia="Calibri" w:hAnsi="Calibri"/>
          <w:b/>
          <w:bCs/>
          <w:kern w:val="2"/>
          <w:sz w:val="22"/>
          <w:szCs w:val="22"/>
          <w:lang w:eastAsia="en-US"/>
          <w14:ligatures w14:val="standardContextual"/>
        </w:rPr>
        <w:t>substance</w:t>
      </w:r>
      <w:r w:rsidRPr="002B6060">
        <w:rPr>
          <w:rFonts w:ascii="Calibri" w:eastAsia="Calibri" w:hAnsi="Calibri"/>
          <w:kern w:val="2"/>
          <w:sz w:val="22"/>
          <w:szCs w:val="22"/>
          <w:lang w:eastAsia="en-US"/>
          <w14:ligatures w14:val="standardContextual"/>
        </w:rPr>
        <w:t xml:space="preserve"> of independence and access—consistent with ISQM 1’s scalable model. For example, ISQM 1 already requires that roles and responsibilities be assigned clearly, and that monitoring and remediation processes be in place to ensure effectiveness.</w:t>
      </w:r>
    </w:p>
    <w:p w14:paraId="16592422" w14:textId="77777777" w:rsidR="002B6060" w:rsidRPr="002B6060" w:rsidRDefault="002B6060"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Recognizing this framework would allow ESMA to verify that appropriate safeguards exist, while giving firms flexibility in how to structure their governance.</w:t>
      </w:r>
    </w:p>
    <w:p w14:paraId="578EB98F" w14:textId="5D7C8C0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63666676"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lastRenderedPageBreak/>
        <w:t>Do you agree with ESMA’s proposals for the assessment of the soundness of administrative and accounting procedures</w:t>
      </w:r>
      <w:r>
        <w:rPr>
          <w:rFonts w:ascii="Arial" w:hAnsi="Arial" w:cs="Arial"/>
          <w:b/>
          <w:sz w:val="22"/>
          <w:szCs w:val="22"/>
          <w:lang w:val="en-US" w:eastAsia="en-US"/>
        </w:rPr>
        <w:t xml:space="preserve"> and </w:t>
      </w:r>
      <w:r w:rsidRPr="00BB29AA">
        <w:rPr>
          <w:rFonts w:ascii="Arial" w:hAnsi="Arial" w:cs="Arial"/>
          <w:b/>
          <w:sz w:val="22"/>
          <w:szCs w:val="22"/>
          <w:lang w:eastAsia="en-US"/>
        </w:rPr>
        <w:t>of internal control mechanisms</w:t>
      </w:r>
      <w:r>
        <w:rPr>
          <w:rFonts w:ascii="Arial" w:hAnsi="Arial" w:cs="Arial"/>
          <w:b/>
          <w:sz w:val="22"/>
          <w:szCs w:val="22"/>
          <w:lang w:eastAsia="en-US"/>
        </w:rPr>
        <w:t xml:space="preserve"> and </w:t>
      </w:r>
      <w:r w:rsidRPr="00BB29AA">
        <w:rPr>
          <w:rFonts w:ascii="Arial" w:hAnsi="Arial" w:cs="Arial"/>
          <w:b/>
          <w:sz w:val="22"/>
          <w:szCs w:val="22"/>
          <w:lang w:eastAsia="en-US"/>
        </w:rPr>
        <w:t>the effectiveness of control and safeguard arrangements for information processing systems</w:t>
      </w:r>
      <w:r>
        <w:rPr>
          <w:rFonts w:ascii="Arial" w:hAnsi="Arial" w:cs="Arial"/>
          <w:b/>
          <w:sz w:val="22"/>
          <w:szCs w:val="22"/>
          <w:lang w:eastAsia="en-US"/>
        </w:rPr>
        <w:t>?</w:t>
      </w:r>
    </w:p>
    <w:p w14:paraId="4E720D75" w14:textId="44986E3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0C52192C" w14:textId="367B5723" w:rsidR="002B6060" w:rsidRPr="002B6060" w:rsidRDefault="002B6060" w:rsidP="002B6060">
      <w:pPr>
        <w:spacing w:after="160" w:line="259" w:lineRule="auto"/>
        <w:rPr>
          <w:rFonts w:ascii="Calibri" w:eastAsia="Calibri" w:hAnsi="Calibri"/>
          <w:b/>
          <w:bCs/>
          <w:kern w:val="2"/>
          <w:sz w:val="22"/>
          <w:szCs w:val="22"/>
          <w:lang w:eastAsia="en-US"/>
          <w14:ligatures w14:val="standardContextual"/>
        </w:rPr>
      </w:pPr>
      <w:r w:rsidRPr="002B6060">
        <w:rPr>
          <w:rFonts w:ascii="Calibri" w:eastAsia="Calibri" w:hAnsi="Calibri"/>
          <w:b/>
          <w:bCs/>
          <w:kern w:val="2"/>
          <w:sz w:val="22"/>
          <w:szCs w:val="22"/>
          <w:lang w:eastAsia="en-US"/>
          <w14:ligatures w14:val="standardContextual"/>
        </w:rPr>
        <w:t>Administrative and Accounting Procedures</w:t>
      </w:r>
    </w:p>
    <w:p w14:paraId="449C6242" w14:textId="77777777" w:rsidR="002B6060" w:rsidRPr="002B6060" w:rsidRDefault="002B6060"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We believe the RTS would benefit from clarifying whether these procedures refer to:</w:t>
      </w:r>
    </w:p>
    <w:p w14:paraId="3E725D70" w14:textId="77777777" w:rsidR="002B6060" w:rsidRPr="002B6060" w:rsidRDefault="002B6060" w:rsidP="002B6060">
      <w:pPr>
        <w:numPr>
          <w:ilvl w:val="0"/>
          <w:numId w:val="33"/>
        </w:num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 xml:space="preserve">the </w:t>
      </w:r>
      <w:r w:rsidRPr="002B6060">
        <w:rPr>
          <w:rFonts w:ascii="Calibri" w:eastAsia="Calibri" w:hAnsi="Calibri"/>
          <w:b/>
          <w:bCs/>
          <w:kern w:val="2"/>
          <w:sz w:val="22"/>
          <w:szCs w:val="22"/>
          <w:lang w:eastAsia="en-US"/>
          <w14:ligatures w14:val="standardContextual"/>
        </w:rPr>
        <w:t>external reviewer’s own accounting systems</w:t>
      </w:r>
      <w:r w:rsidRPr="002B6060">
        <w:rPr>
          <w:rFonts w:ascii="Calibri" w:eastAsia="Calibri" w:hAnsi="Calibri"/>
          <w:kern w:val="2"/>
          <w:sz w:val="22"/>
          <w:szCs w:val="22"/>
          <w:lang w:eastAsia="en-US"/>
          <w14:ligatures w14:val="standardContextual"/>
        </w:rPr>
        <w:t>, or</w:t>
      </w:r>
    </w:p>
    <w:p w14:paraId="447754E6" w14:textId="77777777" w:rsidR="002B6060" w:rsidRPr="002B6060" w:rsidRDefault="002B6060" w:rsidP="002B6060">
      <w:pPr>
        <w:numPr>
          <w:ilvl w:val="0"/>
          <w:numId w:val="33"/>
        </w:num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 xml:space="preserve">the </w:t>
      </w:r>
      <w:r w:rsidRPr="002B6060">
        <w:rPr>
          <w:rFonts w:ascii="Calibri" w:eastAsia="Calibri" w:hAnsi="Calibri"/>
          <w:b/>
          <w:bCs/>
          <w:kern w:val="2"/>
          <w:sz w:val="22"/>
          <w:szCs w:val="22"/>
          <w:lang w:eastAsia="en-US"/>
          <w14:ligatures w14:val="standardContextual"/>
        </w:rPr>
        <w:t>systems supporting review engagements</w:t>
      </w:r>
      <w:r w:rsidRPr="002B6060">
        <w:rPr>
          <w:rFonts w:ascii="Calibri" w:eastAsia="Calibri" w:hAnsi="Calibri"/>
          <w:kern w:val="2"/>
          <w:sz w:val="22"/>
          <w:szCs w:val="22"/>
          <w:lang w:eastAsia="en-US"/>
          <w14:ligatures w14:val="standardContextual"/>
        </w:rPr>
        <w:t>.</w:t>
      </w:r>
    </w:p>
    <w:p w14:paraId="3100D2C6" w14:textId="38385976" w:rsidR="002B6060" w:rsidRPr="002B6060" w:rsidRDefault="002B6060"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If the focus is on the former, this may fall outside the scope of green bond assurance</w:t>
      </w:r>
      <w:r w:rsidR="450B8047" w:rsidRPr="002B6060">
        <w:rPr>
          <w:rFonts w:ascii="Calibri" w:eastAsia="Calibri" w:hAnsi="Calibri"/>
          <w:kern w:val="2"/>
          <w:sz w:val="22"/>
          <w:szCs w:val="22"/>
          <w:lang w:eastAsia="en-US"/>
          <w14:ligatures w14:val="standardContextual"/>
        </w:rPr>
        <w:t xml:space="preserve"> engagements</w:t>
      </w:r>
      <w:r w:rsidRPr="002B6060">
        <w:rPr>
          <w:rFonts w:ascii="Calibri" w:eastAsia="Calibri" w:hAnsi="Calibri"/>
          <w:kern w:val="2"/>
          <w:sz w:val="22"/>
          <w:szCs w:val="22"/>
          <w:lang w:eastAsia="en-US"/>
          <w14:ligatures w14:val="standardContextual"/>
        </w:rPr>
        <w:t xml:space="preserve"> and would introduce unnecessary obligations unrelated to engagement quality. If the intent is to ensure orderly recordkeeping and financial responsibility, we suggest referring more narrowly to what is needed to support transparency and accountability in the context of assurance activities.</w:t>
      </w:r>
    </w:p>
    <w:p w14:paraId="07A2B9E5" w14:textId="77777777" w:rsidR="002B6060" w:rsidRPr="002B6060" w:rsidRDefault="002B6060"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Again, much of this is already captured under ISQM 1 and should be recognized as such to avoid regulatory layering.</w:t>
      </w:r>
    </w:p>
    <w:p w14:paraId="28C46549" w14:textId="77777777" w:rsidR="002B6060" w:rsidRDefault="002B6060" w:rsidP="002B6060">
      <w:pPr>
        <w:spacing w:after="160" w:line="259" w:lineRule="auto"/>
        <w:rPr>
          <w:rFonts w:ascii="Calibri" w:eastAsia="Calibri" w:hAnsi="Calibri"/>
          <w:b/>
          <w:bCs/>
          <w:kern w:val="2"/>
          <w:sz w:val="22"/>
          <w:szCs w:val="22"/>
          <w:lang w:eastAsia="en-US"/>
          <w14:ligatures w14:val="standardContextual"/>
        </w:rPr>
      </w:pPr>
    </w:p>
    <w:p w14:paraId="1CB8577A" w14:textId="02F0E183" w:rsidR="002B6060" w:rsidRPr="002B6060" w:rsidRDefault="002B6060" w:rsidP="002B6060">
      <w:pPr>
        <w:spacing w:after="160" w:line="259" w:lineRule="auto"/>
        <w:rPr>
          <w:rFonts w:ascii="Calibri" w:eastAsia="Calibri" w:hAnsi="Calibri"/>
          <w:b/>
          <w:bCs/>
          <w:kern w:val="2"/>
          <w:sz w:val="22"/>
          <w:szCs w:val="22"/>
          <w:lang w:eastAsia="en-US"/>
          <w14:ligatures w14:val="standardContextual"/>
        </w:rPr>
      </w:pPr>
      <w:r w:rsidRPr="002B6060">
        <w:rPr>
          <w:rFonts w:ascii="Calibri" w:eastAsia="Calibri" w:hAnsi="Calibri"/>
          <w:b/>
          <w:bCs/>
          <w:kern w:val="2"/>
          <w:sz w:val="22"/>
          <w:szCs w:val="22"/>
          <w:lang w:eastAsia="en-US"/>
          <w14:ligatures w14:val="standardContextual"/>
        </w:rPr>
        <w:t>Internal Control Mechanisms</w:t>
      </w:r>
    </w:p>
    <w:p w14:paraId="6700B73D" w14:textId="77777777" w:rsidR="002B6060" w:rsidRPr="002B6060" w:rsidRDefault="002B6060"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 xml:space="preserve">We agree on the importance of internal controls, but recommend a tighter focus on controls relevant to the </w:t>
      </w:r>
      <w:r w:rsidRPr="002B6060">
        <w:rPr>
          <w:rFonts w:ascii="Calibri" w:eastAsia="Calibri" w:hAnsi="Calibri"/>
          <w:b/>
          <w:bCs/>
          <w:kern w:val="2"/>
          <w:sz w:val="22"/>
          <w:szCs w:val="22"/>
          <w:lang w:eastAsia="en-US"/>
          <w14:ligatures w14:val="standardContextual"/>
        </w:rPr>
        <w:t>execution of reviews</w:t>
      </w:r>
      <w:r w:rsidRPr="002B6060">
        <w:rPr>
          <w:rFonts w:ascii="Calibri" w:eastAsia="Calibri" w:hAnsi="Calibri"/>
          <w:kern w:val="2"/>
          <w:sz w:val="22"/>
          <w:szCs w:val="22"/>
          <w:lang w:eastAsia="en-US"/>
          <w14:ligatures w14:val="standardContextual"/>
        </w:rPr>
        <w:t>, rather than internal governance or financial reporting per se.</w:t>
      </w:r>
    </w:p>
    <w:p w14:paraId="218289C9" w14:textId="77777777" w:rsidR="002B6060" w:rsidRPr="002B6060" w:rsidRDefault="002B6060"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The COSO framework referenced by ESMA is helpful, but should be complemented or replaced with ISQM 1, which is more directly aligned with the objective of high-quality assurance performance. Recognizing ISQM 1 would also make it easier for both ESMA and firms to anchor compliance assessments in a consistent global benchmark.</w:t>
      </w:r>
    </w:p>
    <w:p w14:paraId="27ECA9B4" w14:textId="116E5B71" w:rsidR="002B6060" w:rsidRPr="002B6060" w:rsidRDefault="002B6060" w:rsidP="002B6060">
      <w:pPr>
        <w:spacing w:after="160" w:line="259" w:lineRule="auto"/>
        <w:rPr>
          <w:rFonts w:ascii="Calibri" w:eastAsia="Calibri" w:hAnsi="Calibri"/>
          <w:kern w:val="2"/>
          <w:sz w:val="22"/>
          <w:szCs w:val="22"/>
          <w:lang w:eastAsia="en-US"/>
          <w14:ligatures w14:val="standardContextual"/>
        </w:rPr>
      </w:pPr>
    </w:p>
    <w:p w14:paraId="3D373562" w14:textId="6AB89D49" w:rsidR="002B6060" w:rsidRPr="002B6060" w:rsidRDefault="002B6060" w:rsidP="002B6060">
      <w:pPr>
        <w:spacing w:after="160" w:line="259" w:lineRule="auto"/>
        <w:rPr>
          <w:rFonts w:ascii="Calibri" w:eastAsia="Calibri" w:hAnsi="Calibri"/>
          <w:b/>
          <w:bCs/>
          <w:kern w:val="2"/>
          <w:sz w:val="22"/>
          <w:szCs w:val="22"/>
          <w:lang w:eastAsia="en-US"/>
          <w14:ligatures w14:val="standardContextual"/>
        </w:rPr>
      </w:pPr>
      <w:r w:rsidRPr="002B6060">
        <w:rPr>
          <w:rFonts w:ascii="Calibri" w:eastAsia="Calibri" w:hAnsi="Calibri"/>
          <w:b/>
          <w:bCs/>
          <w:kern w:val="2"/>
          <w:sz w:val="22"/>
          <w:szCs w:val="22"/>
          <w:lang w:eastAsia="en-US"/>
          <w14:ligatures w14:val="standardContextual"/>
        </w:rPr>
        <w:t>ICT Safeguards and DORA</w:t>
      </w:r>
    </w:p>
    <w:p w14:paraId="0A07C606" w14:textId="06ADB047" w:rsidR="002B6060" w:rsidRPr="002B6060" w:rsidRDefault="563B294A"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 xml:space="preserve">We respectfully caution against pre-emptively applying DORA-aligned ICT requirements to external reviewers. </w:t>
      </w:r>
      <w:r w:rsidR="07C4619C" w:rsidRPr="3419C333">
        <w:rPr>
          <w:rFonts w:ascii="Calibri" w:eastAsia="Calibri" w:hAnsi="Calibri"/>
          <w:sz w:val="22"/>
          <w:szCs w:val="22"/>
          <w:lang w:eastAsia="en-US"/>
        </w:rPr>
        <w:t xml:space="preserve">External </w:t>
      </w:r>
      <w:proofErr w:type="gramStart"/>
      <w:r w:rsidR="07C4619C" w:rsidRPr="3419C333">
        <w:rPr>
          <w:rFonts w:ascii="Calibri" w:eastAsia="Calibri" w:hAnsi="Calibri"/>
          <w:sz w:val="22"/>
          <w:szCs w:val="22"/>
          <w:lang w:eastAsia="en-US"/>
        </w:rPr>
        <w:t xml:space="preserve">reviewers </w:t>
      </w:r>
      <w:r w:rsidRPr="002B6060">
        <w:rPr>
          <w:rFonts w:ascii="Calibri" w:eastAsia="Calibri" w:hAnsi="Calibri"/>
          <w:kern w:val="2"/>
          <w:sz w:val="22"/>
          <w:szCs w:val="22"/>
          <w:lang w:eastAsia="en-US"/>
          <w14:ligatures w14:val="standardContextual"/>
        </w:rPr>
        <w:t xml:space="preserve"> are</w:t>
      </w:r>
      <w:proofErr w:type="gramEnd"/>
      <w:r w:rsidRPr="002B6060">
        <w:rPr>
          <w:rFonts w:ascii="Calibri" w:eastAsia="Calibri" w:hAnsi="Calibri"/>
          <w:kern w:val="2"/>
          <w:sz w:val="22"/>
          <w:szCs w:val="22"/>
          <w:lang w:eastAsia="en-US"/>
          <w14:ligatures w14:val="standardContextual"/>
        </w:rPr>
        <w:t xml:space="preserve"> </w:t>
      </w:r>
      <w:proofErr w:type="gramStart"/>
      <w:r w:rsidRPr="002B6060">
        <w:rPr>
          <w:rFonts w:ascii="Calibri" w:eastAsia="Calibri" w:hAnsi="Calibri"/>
          <w:kern w:val="2"/>
          <w:sz w:val="22"/>
          <w:szCs w:val="22"/>
          <w:lang w:eastAsia="en-US"/>
          <w14:ligatures w14:val="standardContextual"/>
        </w:rPr>
        <w:t>not  financial</w:t>
      </w:r>
      <w:proofErr w:type="gramEnd"/>
      <w:r w:rsidRPr="002B6060">
        <w:rPr>
          <w:rFonts w:ascii="Calibri" w:eastAsia="Calibri" w:hAnsi="Calibri"/>
          <w:kern w:val="2"/>
          <w:sz w:val="22"/>
          <w:szCs w:val="22"/>
          <w:lang w:eastAsia="en-US"/>
          <w14:ligatures w14:val="standardContextual"/>
        </w:rPr>
        <w:t xml:space="preserve"> institutions </w:t>
      </w:r>
      <w:r w:rsidR="59D45FBC" w:rsidRPr="3419C333">
        <w:rPr>
          <w:rFonts w:ascii="Calibri" w:eastAsia="Calibri" w:hAnsi="Calibri"/>
          <w:sz w:val="22"/>
          <w:szCs w:val="22"/>
          <w:lang w:eastAsia="en-US"/>
        </w:rPr>
        <w:t>and are not subject to the requirement</w:t>
      </w:r>
      <w:r w:rsidR="30D32B50" w:rsidRPr="3419C333">
        <w:rPr>
          <w:rFonts w:ascii="Calibri" w:eastAsia="Calibri" w:hAnsi="Calibri"/>
          <w:sz w:val="22"/>
          <w:szCs w:val="22"/>
          <w:lang w:eastAsia="en-US"/>
        </w:rPr>
        <w:t>s of</w:t>
      </w:r>
      <w:r w:rsidRPr="002B6060">
        <w:rPr>
          <w:rFonts w:ascii="Calibri" w:eastAsia="Calibri" w:hAnsi="Calibri"/>
          <w:kern w:val="2"/>
          <w:sz w:val="22"/>
          <w:szCs w:val="22"/>
          <w:lang w:eastAsia="en-US"/>
          <w14:ligatures w14:val="standardContextual"/>
        </w:rPr>
        <w:t xml:space="preserve"> DORA, and the scope of their activities is significantly narrower and less systemic.</w:t>
      </w:r>
    </w:p>
    <w:p w14:paraId="67448A5A" w14:textId="77777777" w:rsidR="002B6060" w:rsidRDefault="002B6060" w:rsidP="002B6060">
      <w:pPr>
        <w:spacing w:after="160" w:line="259" w:lineRule="auto"/>
        <w:rPr>
          <w:rFonts w:ascii="Calibri" w:eastAsia="Calibri" w:hAnsi="Calibri"/>
          <w:kern w:val="2"/>
          <w:sz w:val="22"/>
          <w:szCs w:val="22"/>
          <w:lang w:eastAsia="en-US"/>
          <w14:ligatures w14:val="standardContextual"/>
        </w:rPr>
      </w:pPr>
      <w:r w:rsidRPr="002B6060">
        <w:rPr>
          <w:rFonts w:ascii="Calibri" w:eastAsia="Calibri" w:hAnsi="Calibri"/>
          <w:kern w:val="2"/>
          <w:sz w:val="22"/>
          <w:szCs w:val="22"/>
          <w:lang w:eastAsia="en-US"/>
          <w14:ligatures w14:val="standardContextual"/>
        </w:rPr>
        <w:t>Requiring compliance with DORA-level safeguards could create unnecessary burdens—especially for smaller or non-financial reviewers—without a proportional benefit. Instead, ISQM 1 already mandates that technological resources be appropriate, secure, and supportive of engagement quality, with guidance tailored to the scale and complexity of the firm. We recommend this as the appropriate reference point for ICT expectations.</w:t>
      </w:r>
    </w:p>
    <w:p w14:paraId="241C00B7" w14:textId="42E76508" w:rsidR="00AD0458" w:rsidRPr="002B6060" w:rsidRDefault="00BF54C9" w:rsidP="002B6060">
      <w:pPr>
        <w:spacing w:after="160" w:line="259" w:lineRule="auto"/>
        <w:rPr>
          <w:rFonts w:ascii="Calibri" w:eastAsia="Calibri" w:hAnsi="Calibri"/>
          <w:kern w:val="2"/>
          <w:sz w:val="22"/>
          <w:szCs w:val="22"/>
          <w:lang w:eastAsia="en-US"/>
          <w14:ligatures w14:val="standardContextual"/>
        </w:rPr>
      </w:pPr>
      <w:r w:rsidRPr="00BF54C9">
        <w:rPr>
          <w:rFonts w:ascii="Calibri" w:eastAsia="Calibri" w:hAnsi="Calibri"/>
          <w:kern w:val="2"/>
          <w:sz w:val="22"/>
          <w:szCs w:val="22"/>
          <w:lang w:eastAsia="en-US"/>
          <w14:ligatures w14:val="standardContextual"/>
        </w:rPr>
        <w:t>As mentioned earlier, the C</w:t>
      </w:r>
      <w:r>
        <w:rPr>
          <w:rFonts w:ascii="Calibri" w:eastAsia="Calibri" w:hAnsi="Calibri"/>
          <w:kern w:val="2"/>
          <w:sz w:val="22"/>
          <w:szCs w:val="22"/>
          <w:lang w:eastAsia="en-US"/>
          <w14:ligatures w14:val="standardContextual"/>
        </w:rPr>
        <w:t xml:space="preserve">EAOB has developed Common Audit Inspection Methodologies </w:t>
      </w:r>
      <w:r w:rsidR="00324D51">
        <w:rPr>
          <w:rFonts w:ascii="Calibri" w:eastAsia="Calibri" w:hAnsi="Calibri"/>
          <w:kern w:val="2"/>
          <w:sz w:val="22"/>
          <w:szCs w:val="22"/>
          <w:lang w:eastAsia="en-US"/>
          <w14:ligatures w14:val="standardContextual"/>
        </w:rPr>
        <w:t xml:space="preserve">(CAIM) </w:t>
      </w:r>
      <w:r>
        <w:rPr>
          <w:rFonts w:ascii="Calibri" w:eastAsia="Calibri" w:hAnsi="Calibri"/>
          <w:kern w:val="2"/>
          <w:sz w:val="22"/>
          <w:szCs w:val="22"/>
          <w:lang w:eastAsia="en-US"/>
          <w14:ligatures w14:val="standardContextual"/>
        </w:rPr>
        <w:t xml:space="preserve">on several aspects related to the quality and integrity of </w:t>
      </w:r>
      <w:r w:rsidR="00677E8F">
        <w:rPr>
          <w:rFonts w:ascii="Calibri" w:eastAsia="Calibri" w:hAnsi="Calibri"/>
          <w:kern w:val="2"/>
          <w:sz w:val="22"/>
          <w:szCs w:val="22"/>
          <w:lang w:eastAsia="en-US"/>
          <w14:ligatures w14:val="standardContextual"/>
        </w:rPr>
        <w:t xml:space="preserve">PIE audits. There is also </w:t>
      </w:r>
      <w:r w:rsidR="00324D51">
        <w:rPr>
          <w:rFonts w:ascii="Calibri" w:eastAsia="Calibri" w:hAnsi="Calibri"/>
          <w:kern w:val="2"/>
          <w:sz w:val="22"/>
          <w:szCs w:val="22"/>
          <w:lang w:eastAsia="en-US"/>
          <w14:ligatures w14:val="standardContextual"/>
        </w:rPr>
        <w:t xml:space="preserve">a </w:t>
      </w:r>
      <w:hyperlink r:id="rId20" w:history="1">
        <w:r w:rsidR="00324D51" w:rsidRPr="00324D51">
          <w:rPr>
            <w:rStyle w:val="Hyperlink"/>
            <w:rFonts w:ascii="Calibri" w:eastAsia="Calibri" w:hAnsi="Calibri"/>
            <w:kern w:val="2"/>
            <w:sz w:val="22"/>
            <w:szCs w:val="22"/>
            <w:lang w:eastAsia="en-US"/>
            <w14:ligatures w14:val="standardContextual"/>
          </w:rPr>
          <w:t>CAIM on</w:t>
        </w:r>
        <w:r w:rsidR="00677E8F" w:rsidRPr="00324D51">
          <w:rPr>
            <w:rStyle w:val="Hyperlink"/>
            <w:rFonts w:ascii="Calibri" w:eastAsia="Calibri" w:hAnsi="Calibri"/>
            <w:kern w:val="2"/>
            <w:sz w:val="22"/>
            <w:szCs w:val="22"/>
            <w:lang w:eastAsia="en-US"/>
            <w14:ligatures w14:val="standardContextual"/>
          </w:rPr>
          <w:t xml:space="preserve"> </w:t>
        </w:r>
        <w:r w:rsidR="00324D51" w:rsidRPr="00324D51">
          <w:rPr>
            <w:rStyle w:val="Hyperlink"/>
            <w:rFonts w:ascii="Calibri" w:eastAsia="Calibri" w:hAnsi="Calibri"/>
            <w:kern w:val="2"/>
            <w:sz w:val="22"/>
            <w:szCs w:val="22"/>
            <w:lang w:eastAsia="en-US"/>
            <w14:ligatures w14:val="standardContextual"/>
          </w:rPr>
          <w:t>I</w:t>
        </w:r>
        <w:r w:rsidR="00677E8F" w:rsidRPr="00324D51">
          <w:rPr>
            <w:rStyle w:val="Hyperlink"/>
            <w:rFonts w:ascii="Calibri" w:eastAsia="Calibri" w:hAnsi="Calibri"/>
            <w:kern w:val="2"/>
            <w:sz w:val="22"/>
            <w:szCs w:val="22"/>
            <w:lang w:eastAsia="en-US"/>
            <w14:ligatures w14:val="standardContextual"/>
          </w:rPr>
          <w:t xml:space="preserve">nformation </w:t>
        </w:r>
        <w:r w:rsidR="00677E8F" w:rsidRPr="00324D51">
          <w:rPr>
            <w:rStyle w:val="Hyperlink"/>
            <w:rFonts w:ascii="Calibri" w:eastAsia="Calibri" w:hAnsi="Calibri"/>
            <w:kern w:val="2"/>
            <w:sz w:val="22"/>
            <w:szCs w:val="22"/>
            <w:lang w:eastAsia="en-US"/>
            <w14:ligatures w14:val="standardContextual"/>
          </w:rPr>
          <w:lastRenderedPageBreak/>
          <w:t xml:space="preserve">and </w:t>
        </w:r>
        <w:r w:rsidR="00324D51" w:rsidRPr="00324D51">
          <w:rPr>
            <w:rStyle w:val="Hyperlink"/>
            <w:rFonts w:ascii="Calibri" w:eastAsia="Calibri" w:hAnsi="Calibri"/>
            <w:kern w:val="2"/>
            <w:sz w:val="22"/>
            <w:szCs w:val="22"/>
            <w:lang w:eastAsia="en-US"/>
            <w14:ligatures w14:val="standardContextual"/>
          </w:rPr>
          <w:t>C</w:t>
        </w:r>
        <w:r w:rsidR="00677E8F" w:rsidRPr="00324D51">
          <w:rPr>
            <w:rStyle w:val="Hyperlink"/>
            <w:rFonts w:ascii="Calibri" w:eastAsia="Calibri" w:hAnsi="Calibri"/>
            <w:kern w:val="2"/>
            <w:sz w:val="22"/>
            <w:szCs w:val="22"/>
            <w:lang w:eastAsia="en-US"/>
            <w14:ligatures w14:val="standardContextual"/>
          </w:rPr>
          <w:t xml:space="preserve">yber </w:t>
        </w:r>
        <w:r w:rsidR="00324D51" w:rsidRPr="00324D51">
          <w:rPr>
            <w:rStyle w:val="Hyperlink"/>
            <w:rFonts w:ascii="Calibri" w:eastAsia="Calibri" w:hAnsi="Calibri"/>
            <w:kern w:val="2"/>
            <w:sz w:val="22"/>
            <w:szCs w:val="22"/>
            <w:lang w:eastAsia="en-US"/>
            <w14:ligatures w14:val="standardContextual"/>
          </w:rPr>
          <w:t>S</w:t>
        </w:r>
        <w:r w:rsidR="00677E8F" w:rsidRPr="00324D51">
          <w:rPr>
            <w:rStyle w:val="Hyperlink"/>
            <w:rFonts w:ascii="Calibri" w:eastAsia="Calibri" w:hAnsi="Calibri"/>
            <w:kern w:val="2"/>
            <w:sz w:val="22"/>
            <w:szCs w:val="22"/>
            <w:lang w:eastAsia="en-US"/>
            <w14:ligatures w14:val="standardContextual"/>
          </w:rPr>
          <w:t>ecurity</w:t>
        </w:r>
      </w:hyperlink>
      <w:r w:rsidR="004F569C" w:rsidRPr="004F569C">
        <w:t xml:space="preserve"> </w:t>
      </w:r>
      <w:r w:rsidR="004F569C">
        <w:rPr>
          <w:rFonts w:ascii="Calibri" w:eastAsia="Calibri" w:hAnsi="Calibri"/>
          <w:kern w:val="2"/>
          <w:sz w:val="22"/>
          <w:szCs w:val="22"/>
          <w:lang w:eastAsia="en-US"/>
          <w14:ligatures w14:val="standardContextual"/>
        </w:rPr>
        <w:t>supporting</w:t>
      </w:r>
      <w:r w:rsidR="004F569C" w:rsidRPr="004F569C">
        <w:rPr>
          <w:rFonts w:ascii="Calibri" w:eastAsia="Calibri" w:hAnsi="Calibri"/>
          <w:kern w:val="2"/>
          <w:sz w:val="22"/>
          <w:szCs w:val="22"/>
          <w:lang w:eastAsia="en-US"/>
          <w14:ligatures w14:val="standardContextual"/>
        </w:rPr>
        <w:t xml:space="preserve"> the inspection of the measures implemented by the audit firm</w:t>
      </w:r>
      <w:r w:rsidR="004F569C">
        <w:rPr>
          <w:rFonts w:ascii="Calibri" w:eastAsia="Calibri" w:hAnsi="Calibri"/>
          <w:kern w:val="2"/>
          <w:sz w:val="22"/>
          <w:szCs w:val="22"/>
          <w:lang w:eastAsia="en-US"/>
          <w14:ligatures w14:val="standardContextual"/>
        </w:rPr>
        <w:t>s</w:t>
      </w:r>
      <w:r w:rsidR="004F569C" w:rsidRPr="004F569C">
        <w:rPr>
          <w:rFonts w:ascii="Calibri" w:eastAsia="Calibri" w:hAnsi="Calibri"/>
          <w:kern w:val="2"/>
          <w:sz w:val="22"/>
          <w:szCs w:val="22"/>
          <w:lang w:eastAsia="en-US"/>
          <w14:ligatures w14:val="standardContextual"/>
        </w:rPr>
        <w:t xml:space="preserve"> to protect the information</w:t>
      </w:r>
      <w:r w:rsidR="00A71822" w:rsidRPr="004F569C">
        <w:rPr>
          <w:rFonts w:ascii="Calibri" w:eastAsia="Calibri" w:hAnsi="Calibri"/>
          <w:kern w:val="2"/>
          <w:sz w:val="22"/>
          <w:szCs w:val="22"/>
          <w:lang w:eastAsia="en-US"/>
          <w14:ligatures w14:val="standardContextual"/>
        </w:rPr>
        <w:t>, and particularly</w:t>
      </w:r>
      <w:r w:rsidR="004F569C" w:rsidRPr="004F569C">
        <w:rPr>
          <w:rFonts w:ascii="Calibri" w:eastAsia="Calibri" w:hAnsi="Calibri"/>
          <w:kern w:val="2"/>
          <w:sz w:val="22"/>
          <w:szCs w:val="22"/>
          <w:lang w:eastAsia="en-US"/>
          <w14:ligatures w14:val="standardContextual"/>
        </w:rPr>
        <w:t xml:space="preserve"> the audit documentation, which includes </w:t>
      </w:r>
      <w:r w:rsidR="0065244F">
        <w:rPr>
          <w:rFonts w:ascii="Calibri" w:eastAsia="Calibri" w:hAnsi="Calibri"/>
          <w:kern w:val="2"/>
          <w:sz w:val="22"/>
          <w:szCs w:val="22"/>
          <w:lang w:eastAsia="en-US"/>
          <w14:ligatures w14:val="standardContextual"/>
        </w:rPr>
        <w:t>t</w:t>
      </w:r>
      <w:r w:rsidR="004F569C" w:rsidRPr="004F569C">
        <w:rPr>
          <w:rFonts w:ascii="Calibri" w:eastAsia="Calibri" w:hAnsi="Calibri"/>
          <w:kern w:val="2"/>
          <w:sz w:val="22"/>
          <w:szCs w:val="22"/>
          <w:lang w:eastAsia="en-US"/>
          <w14:ligatures w14:val="standardContextual"/>
        </w:rPr>
        <w:t>he documentation produced by the auditor, and the client documentation which has been collected during the audit engagements.</w:t>
      </w:r>
      <w:r w:rsidR="0065244F">
        <w:rPr>
          <w:rFonts w:ascii="Calibri" w:eastAsia="Calibri" w:hAnsi="Calibri"/>
          <w:kern w:val="2"/>
          <w:sz w:val="22"/>
          <w:szCs w:val="22"/>
          <w:lang w:eastAsia="en-US"/>
          <w14:ligatures w14:val="standardContextual"/>
        </w:rPr>
        <w:t xml:space="preserve"> We suggest that ESMA connects with the CEAOB to learn more about this approach</w:t>
      </w:r>
      <w:r w:rsidR="00A71822">
        <w:rPr>
          <w:rFonts w:ascii="Calibri" w:eastAsia="Calibri" w:hAnsi="Calibri"/>
          <w:kern w:val="2"/>
          <w:sz w:val="22"/>
          <w:szCs w:val="22"/>
          <w:lang w:eastAsia="en-US"/>
          <w14:ligatures w14:val="standardContextual"/>
        </w:rPr>
        <w:t xml:space="preserve"> for the purpose of </w:t>
      </w:r>
      <w:r w:rsidR="00324D51">
        <w:rPr>
          <w:rFonts w:ascii="Calibri" w:eastAsia="Calibri" w:hAnsi="Calibri"/>
          <w:kern w:val="2"/>
          <w:sz w:val="22"/>
          <w:szCs w:val="22"/>
          <w:lang w:eastAsia="en-US"/>
          <w14:ligatures w14:val="standardContextual"/>
        </w:rPr>
        <w:t>assessing the adequacy of ICT safeguards.</w:t>
      </w:r>
    </w:p>
    <w:p w14:paraId="77645EA9" w14:textId="0F18C709" w:rsidR="001B1B48" w:rsidRPr="00677E8F" w:rsidRDefault="001B1B48" w:rsidP="001B1B48">
      <w:pPr>
        <w:spacing w:after="160" w:line="259" w:lineRule="auto"/>
        <w:rPr>
          <w:rFonts w:ascii="Calibri" w:eastAsia="Calibri" w:hAnsi="Calibri"/>
          <w:kern w:val="2"/>
          <w:sz w:val="22"/>
          <w:szCs w:val="22"/>
          <w:lang w:eastAsia="en-US"/>
          <w14:ligatures w14:val="standardContextual"/>
        </w:rPr>
      </w:pPr>
      <w:r w:rsidRPr="00677E8F">
        <w:rPr>
          <w:rFonts w:ascii="Calibri" w:eastAsia="Calibri" w:hAnsi="Calibri"/>
          <w:kern w:val="2"/>
          <w:sz w:val="22"/>
          <w:szCs w:val="22"/>
          <w:lang w:eastAsia="en-US"/>
          <w14:ligatures w14:val="standardContextual"/>
        </w:rPr>
        <w:t>&lt;ESMA_QUESTION_</w:t>
      </w:r>
      <w:r w:rsidR="0037311D" w:rsidRPr="00677E8F">
        <w:rPr>
          <w:rFonts w:ascii="Calibri" w:eastAsia="Calibri" w:hAnsi="Calibri"/>
          <w:kern w:val="2"/>
          <w:sz w:val="22"/>
          <w:szCs w:val="22"/>
          <w:lang w:eastAsia="en-US"/>
          <w14:ligatures w14:val="standardContextual"/>
        </w:rPr>
        <w:t xml:space="preserve"> EUGB</w:t>
      </w:r>
      <w:r w:rsidRPr="00677E8F">
        <w:rPr>
          <w:rFonts w:ascii="Calibri" w:eastAsia="Calibri" w:hAnsi="Calibri"/>
          <w:kern w:val="2"/>
          <w:sz w:val="22"/>
          <w:szCs w:val="22"/>
          <w:lang w:eastAsia="en-US"/>
          <w14:ligatures w14:val="standardContextual"/>
        </w:rPr>
        <w:t>_3&gt;</w:t>
      </w:r>
    </w:p>
    <w:p w14:paraId="60907BC5" w14:textId="77777777" w:rsidR="001B1B48" w:rsidRPr="00677E8F"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48C80BB7" w:rsidR="001B1B48" w:rsidRPr="0037311D" w:rsidRDefault="1A640F2B" w:rsidP="1BD89645">
      <w:pPr>
        <w:numPr>
          <w:ilvl w:val="0"/>
          <w:numId w:val="31"/>
        </w:numPr>
        <w:spacing w:after="240" w:line="259" w:lineRule="auto"/>
        <w:ind w:left="851" w:hanging="851"/>
        <w:jc w:val="both"/>
        <w:rPr>
          <w:rFonts w:ascii="Arial" w:hAnsi="Arial" w:cs="Arial"/>
          <w:b/>
          <w:bCs/>
          <w:sz w:val="22"/>
          <w:szCs w:val="22"/>
          <w:lang w:val="en-US" w:eastAsia="en-US"/>
        </w:rPr>
      </w:pPr>
      <w:r w:rsidRPr="1BD89645">
        <w:rPr>
          <w:rFonts w:ascii="Arial" w:hAnsi="Arial" w:cs="Arial"/>
          <w:b/>
          <w:bCs/>
          <w:sz w:val="22"/>
          <w:szCs w:val="22"/>
          <w:lang w:eastAsia="en-US"/>
        </w:rPr>
        <w:t>Do you agree with ESMA’s proposals to specify the criteria to assess whether the information used when providing reviews is of sufficient quality</w:t>
      </w:r>
      <w:r w:rsidRPr="1BD89645">
        <w:rPr>
          <w:rFonts w:ascii="Arial" w:hAnsi="Arial" w:cs="Arial"/>
          <w:b/>
          <w:bCs/>
          <w:sz w:val="22"/>
          <w:szCs w:val="22"/>
          <w:lang w:val="en-US" w:eastAsia="en-US"/>
        </w:rPr>
        <w:t xml:space="preserve"> and</w:t>
      </w:r>
      <w:r w:rsidRPr="1BD89645">
        <w:rPr>
          <w:rFonts w:ascii="Arial" w:hAnsi="Arial" w:cs="Arial"/>
          <w:b/>
          <w:bCs/>
          <w:sz w:val="22"/>
          <w:szCs w:val="22"/>
          <w:lang w:eastAsia="en-US"/>
        </w:rPr>
        <w:t xml:space="preserve"> from reliable sources?</w:t>
      </w:r>
    </w:p>
    <w:p w14:paraId="052AF9D6" w14:textId="7468E3B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3AD727FB" w14:textId="50504AF1" w:rsidR="000337EC" w:rsidRPr="000337EC" w:rsidRDefault="000337EC" w:rsidP="000337EC">
      <w:pPr>
        <w:spacing w:after="160" w:line="259" w:lineRule="auto"/>
        <w:rPr>
          <w:rFonts w:ascii="Calibri" w:eastAsia="Calibri" w:hAnsi="Calibri"/>
          <w:kern w:val="2"/>
          <w:sz w:val="22"/>
          <w:szCs w:val="22"/>
          <w:lang w:eastAsia="en-US"/>
          <w14:ligatures w14:val="standardContextual"/>
        </w:rPr>
      </w:pPr>
      <w:r w:rsidRPr="000337EC">
        <w:rPr>
          <w:rFonts w:ascii="Calibri" w:eastAsia="Calibri" w:hAnsi="Calibri"/>
          <w:kern w:val="2"/>
          <w:sz w:val="22"/>
          <w:szCs w:val="22"/>
          <w:lang w:eastAsia="en-US"/>
          <w14:ligatures w14:val="standardContextual"/>
        </w:rPr>
        <w:t xml:space="preserve">We fully support ESMA’s objective to ensure that reviews are based on </w:t>
      </w:r>
      <w:r w:rsidRPr="000337EC">
        <w:rPr>
          <w:rFonts w:ascii="Calibri" w:eastAsia="Calibri" w:hAnsi="Calibri"/>
          <w:b/>
          <w:bCs/>
          <w:kern w:val="2"/>
          <w:sz w:val="22"/>
          <w:szCs w:val="22"/>
          <w:lang w:eastAsia="en-US"/>
          <w14:ligatures w14:val="standardContextual"/>
        </w:rPr>
        <w:t>reliable, high-quality evidence</w:t>
      </w:r>
      <w:r w:rsidRPr="000337EC">
        <w:rPr>
          <w:rFonts w:ascii="Calibri" w:eastAsia="Calibri" w:hAnsi="Calibri"/>
          <w:kern w:val="2"/>
          <w:sz w:val="22"/>
          <w:szCs w:val="22"/>
          <w:lang w:eastAsia="en-US"/>
          <w14:ligatures w14:val="standardContextual"/>
        </w:rPr>
        <w:t xml:space="preserve">. To achieve this consistently and effectively, we urge ESMA to align the RTS more clearly with the </w:t>
      </w:r>
      <w:r w:rsidRPr="000337EC">
        <w:rPr>
          <w:rFonts w:ascii="Calibri" w:eastAsia="Calibri" w:hAnsi="Calibri"/>
          <w:b/>
          <w:bCs/>
          <w:kern w:val="2"/>
          <w:sz w:val="22"/>
          <w:szCs w:val="22"/>
          <w:lang w:eastAsia="en-US"/>
          <w14:ligatures w14:val="standardContextual"/>
        </w:rPr>
        <w:t>ISSA 5000</w:t>
      </w:r>
      <w:r w:rsidRPr="000337EC">
        <w:rPr>
          <w:rFonts w:ascii="Calibri" w:eastAsia="Calibri" w:hAnsi="Calibri"/>
          <w:kern w:val="2"/>
          <w:sz w:val="22"/>
          <w:szCs w:val="22"/>
          <w:lang w:eastAsia="en-US"/>
          <w14:ligatures w14:val="standardContextual"/>
        </w:rPr>
        <w:t xml:space="preserve"> standard (or, until its </w:t>
      </w:r>
      <w:r w:rsidR="38854CFF" w:rsidRPr="000337EC">
        <w:rPr>
          <w:rFonts w:ascii="Calibri" w:eastAsia="Calibri" w:hAnsi="Calibri"/>
          <w:kern w:val="2"/>
          <w:sz w:val="22"/>
          <w:szCs w:val="22"/>
          <w:lang w:eastAsia="en-US"/>
          <w14:ligatures w14:val="standardContextual"/>
        </w:rPr>
        <w:t>application</w:t>
      </w:r>
      <w:r w:rsidRPr="000337EC">
        <w:rPr>
          <w:rFonts w:ascii="Calibri" w:eastAsia="Calibri" w:hAnsi="Calibri"/>
          <w:kern w:val="2"/>
          <w:sz w:val="22"/>
          <w:szCs w:val="22"/>
          <w:lang w:eastAsia="en-US"/>
          <w14:ligatures w14:val="standardContextual"/>
        </w:rPr>
        <w:t xml:space="preserve">, ISAE 3000 </w:t>
      </w:r>
      <w:r w:rsidR="2CEDD2C7" w:rsidRPr="000337EC">
        <w:rPr>
          <w:rFonts w:ascii="Calibri" w:eastAsia="Calibri" w:hAnsi="Calibri"/>
          <w:kern w:val="2"/>
          <w:sz w:val="22"/>
          <w:szCs w:val="22"/>
          <w:lang w:eastAsia="en-US"/>
          <w14:ligatures w14:val="standardContextual"/>
        </w:rPr>
        <w:t>(</w:t>
      </w:r>
      <w:r w:rsidRPr="000337EC">
        <w:rPr>
          <w:rFonts w:ascii="Calibri" w:eastAsia="Calibri" w:hAnsi="Calibri"/>
          <w:kern w:val="2"/>
          <w:sz w:val="22"/>
          <w:szCs w:val="22"/>
          <w:lang w:eastAsia="en-US"/>
          <w14:ligatures w14:val="standardContextual"/>
        </w:rPr>
        <w:t>Revised</w:t>
      </w:r>
      <w:r w:rsidR="6644AE28" w:rsidRPr="000337EC">
        <w:rPr>
          <w:rFonts w:ascii="Calibri" w:eastAsia="Calibri" w:hAnsi="Calibri"/>
          <w:kern w:val="2"/>
          <w:sz w:val="22"/>
          <w:szCs w:val="22"/>
          <w:lang w:eastAsia="en-US"/>
          <w14:ligatures w14:val="standardContextual"/>
        </w:rPr>
        <w:t>)</w:t>
      </w:r>
      <w:r w:rsidRPr="000337EC">
        <w:rPr>
          <w:rFonts w:ascii="Calibri" w:eastAsia="Calibri" w:hAnsi="Calibri"/>
          <w:kern w:val="2"/>
          <w:sz w:val="22"/>
          <w:szCs w:val="22"/>
          <w:lang w:eastAsia="en-US"/>
          <w14:ligatures w14:val="standardContextual"/>
        </w:rPr>
        <w:t>).</w:t>
      </w:r>
    </w:p>
    <w:p w14:paraId="6B259369" w14:textId="77777777" w:rsidR="000337EC" w:rsidRPr="000337EC" w:rsidRDefault="000337EC" w:rsidP="000337EC">
      <w:pPr>
        <w:spacing w:after="160" w:line="259" w:lineRule="auto"/>
        <w:rPr>
          <w:rFonts w:ascii="Calibri" w:eastAsia="Calibri" w:hAnsi="Calibri"/>
          <w:kern w:val="2"/>
          <w:sz w:val="22"/>
          <w:szCs w:val="22"/>
          <w:lang w:eastAsia="en-US"/>
          <w14:ligatures w14:val="standardContextual"/>
        </w:rPr>
      </w:pPr>
      <w:r w:rsidRPr="000337EC">
        <w:rPr>
          <w:rFonts w:ascii="Calibri" w:eastAsia="Calibri" w:hAnsi="Calibri"/>
          <w:kern w:val="2"/>
          <w:sz w:val="22"/>
          <w:szCs w:val="22"/>
          <w:lang w:eastAsia="en-US"/>
          <w14:ligatures w14:val="standardContextual"/>
        </w:rPr>
        <w:t xml:space="preserve">ISSA 5000 includes well-established criteria for assessing both the </w:t>
      </w:r>
      <w:r w:rsidRPr="000337EC">
        <w:rPr>
          <w:rFonts w:ascii="Calibri" w:eastAsia="Calibri" w:hAnsi="Calibri"/>
          <w:b/>
          <w:bCs/>
          <w:kern w:val="2"/>
          <w:sz w:val="22"/>
          <w:szCs w:val="22"/>
          <w:lang w:eastAsia="en-US"/>
          <w14:ligatures w14:val="standardContextual"/>
        </w:rPr>
        <w:t>appropriateness</w:t>
      </w:r>
      <w:r w:rsidRPr="000337EC">
        <w:rPr>
          <w:rFonts w:ascii="Calibri" w:eastAsia="Calibri" w:hAnsi="Calibri"/>
          <w:kern w:val="2"/>
          <w:sz w:val="22"/>
          <w:szCs w:val="22"/>
          <w:lang w:eastAsia="en-US"/>
          <w14:ligatures w14:val="standardContextual"/>
        </w:rPr>
        <w:t xml:space="preserve"> (relevance and reliability) and </w:t>
      </w:r>
      <w:r w:rsidRPr="000337EC">
        <w:rPr>
          <w:rFonts w:ascii="Calibri" w:eastAsia="Calibri" w:hAnsi="Calibri"/>
          <w:b/>
          <w:bCs/>
          <w:kern w:val="2"/>
          <w:sz w:val="22"/>
          <w:szCs w:val="22"/>
          <w:lang w:eastAsia="en-US"/>
          <w14:ligatures w14:val="standardContextual"/>
        </w:rPr>
        <w:t>sufficiency</w:t>
      </w:r>
      <w:r w:rsidRPr="000337EC">
        <w:rPr>
          <w:rFonts w:ascii="Calibri" w:eastAsia="Calibri" w:hAnsi="Calibri"/>
          <w:kern w:val="2"/>
          <w:sz w:val="22"/>
          <w:szCs w:val="22"/>
          <w:lang w:eastAsia="en-US"/>
          <w14:ligatures w14:val="standardContextual"/>
        </w:rPr>
        <w:t xml:space="preserve"> (quantity) of evidence. We encourage ESMA to:</w:t>
      </w:r>
    </w:p>
    <w:p w14:paraId="1B950B13" w14:textId="77777777" w:rsidR="000337EC" w:rsidRPr="000337EC" w:rsidRDefault="000337EC" w:rsidP="000337EC">
      <w:pPr>
        <w:numPr>
          <w:ilvl w:val="0"/>
          <w:numId w:val="34"/>
        </w:numPr>
        <w:spacing w:after="160" w:line="259" w:lineRule="auto"/>
        <w:rPr>
          <w:rFonts w:ascii="Calibri" w:eastAsia="Calibri" w:hAnsi="Calibri"/>
          <w:kern w:val="2"/>
          <w:sz w:val="22"/>
          <w:szCs w:val="22"/>
          <w:lang w:eastAsia="en-US"/>
          <w14:ligatures w14:val="standardContextual"/>
        </w:rPr>
      </w:pPr>
      <w:r w:rsidRPr="000337EC">
        <w:rPr>
          <w:rFonts w:ascii="Calibri" w:eastAsia="Calibri" w:hAnsi="Calibri"/>
          <w:kern w:val="2"/>
          <w:sz w:val="22"/>
          <w:szCs w:val="22"/>
          <w:lang w:eastAsia="en-US"/>
          <w14:ligatures w14:val="standardContextual"/>
        </w:rPr>
        <w:t>Avoid conflating “sufficient quality” with “sufficient quantity”—a conceptual distinction made clear in ISSA 5000.</w:t>
      </w:r>
    </w:p>
    <w:p w14:paraId="3FD688FB" w14:textId="77777777" w:rsidR="000337EC" w:rsidRPr="000337EC" w:rsidRDefault="000337EC" w:rsidP="000337EC">
      <w:pPr>
        <w:numPr>
          <w:ilvl w:val="0"/>
          <w:numId w:val="34"/>
        </w:numPr>
        <w:spacing w:after="160" w:line="259" w:lineRule="auto"/>
        <w:rPr>
          <w:rFonts w:ascii="Calibri" w:eastAsia="Calibri" w:hAnsi="Calibri"/>
          <w:kern w:val="2"/>
          <w:sz w:val="22"/>
          <w:szCs w:val="22"/>
          <w:lang w:eastAsia="en-US"/>
          <w14:ligatures w14:val="standardContextual"/>
        </w:rPr>
      </w:pPr>
      <w:r w:rsidRPr="000337EC">
        <w:rPr>
          <w:rFonts w:ascii="Calibri" w:eastAsia="Calibri" w:hAnsi="Calibri"/>
          <w:kern w:val="2"/>
          <w:sz w:val="22"/>
          <w:szCs w:val="22"/>
          <w:lang w:eastAsia="en-US"/>
          <w14:ligatures w14:val="standardContextual"/>
        </w:rPr>
        <w:t>Emphasize the assurance provider’s professional judgment and responsibility to obtain appropriate evidence for the specific context of each bond.</w:t>
      </w:r>
    </w:p>
    <w:p w14:paraId="2451DE0D" w14:textId="77777777" w:rsidR="000337EC" w:rsidRPr="000337EC" w:rsidRDefault="000337EC" w:rsidP="000337EC">
      <w:pPr>
        <w:spacing w:after="160" w:line="259" w:lineRule="auto"/>
        <w:rPr>
          <w:rFonts w:ascii="Calibri" w:eastAsia="Calibri" w:hAnsi="Calibri"/>
          <w:kern w:val="2"/>
          <w:sz w:val="22"/>
          <w:szCs w:val="22"/>
          <w:lang w:eastAsia="en-US"/>
          <w14:ligatures w14:val="standardContextual"/>
        </w:rPr>
      </w:pPr>
      <w:r w:rsidRPr="000337EC">
        <w:rPr>
          <w:rFonts w:ascii="Calibri" w:eastAsia="Calibri" w:hAnsi="Calibri"/>
          <w:kern w:val="2"/>
          <w:sz w:val="22"/>
          <w:szCs w:val="22"/>
          <w:lang w:eastAsia="en-US"/>
          <w14:ligatures w14:val="standardContextual"/>
        </w:rPr>
        <w:t>This alignment would ensure that EU expectations are globally coherent and operationally feasible, while allowing for necessary flexibility.</w:t>
      </w:r>
    </w:p>
    <w:p w14:paraId="2F0C894F" w14:textId="4CA27B8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0D426DD4" w:rsidR="001B1B48" w:rsidRPr="001B1B48" w:rsidRDefault="1A640F2B" w:rsidP="36725D5C">
      <w:pPr>
        <w:numPr>
          <w:ilvl w:val="0"/>
          <w:numId w:val="31"/>
        </w:numPr>
        <w:spacing w:after="240" w:line="259" w:lineRule="auto"/>
        <w:ind w:left="851" w:hanging="851"/>
        <w:jc w:val="both"/>
        <w:rPr>
          <w:rFonts w:ascii="Arial" w:hAnsi="Arial" w:cs="Arial"/>
          <w:b/>
          <w:bCs/>
          <w:sz w:val="22"/>
          <w:szCs w:val="22"/>
          <w:lang w:val="en-US" w:eastAsia="en-US"/>
        </w:rPr>
      </w:pPr>
      <w:r w:rsidRPr="1BD89645">
        <w:rPr>
          <w:rFonts w:ascii="Arial" w:hAnsi="Arial" w:cs="Arial"/>
          <w:b/>
          <w:bCs/>
          <w:sz w:val="22"/>
          <w:szCs w:val="22"/>
          <w:lang w:eastAsia="en-US"/>
        </w:rPr>
        <w:t>Do you agree with ESMA’s proposals to specify the information, form and content of applications for recognition</w:t>
      </w:r>
      <w:r w:rsidR="6EF1E5E4" w:rsidRPr="1BD89645">
        <w:rPr>
          <w:rFonts w:ascii="Arial" w:hAnsi="Arial" w:cs="Arial"/>
          <w:b/>
          <w:bCs/>
          <w:sz w:val="22"/>
          <w:szCs w:val="22"/>
          <w:lang w:val="en-US" w:eastAsia="en-US"/>
        </w:rPr>
        <w:t>?</w:t>
      </w:r>
    </w:p>
    <w:p w14:paraId="2996F4BA" w14:textId="237E781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A7754CA" w14:textId="77777777" w:rsidR="003C221A" w:rsidRPr="003C221A" w:rsidRDefault="003C221A" w:rsidP="003C221A">
      <w:pPr>
        <w:spacing w:after="160" w:line="259" w:lineRule="auto"/>
        <w:rPr>
          <w:rFonts w:ascii="Calibri" w:eastAsia="Calibri" w:hAnsi="Calibri"/>
          <w:kern w:val="2"/>
          <w:sz w:val="22"/>
          <w:szCs w:val="22"/>
          <w:lang w:eastAsia="en-US"/>
          <w14:ligatures w14:val="standardContextual"/>
        </w:rPr>
      </w:pPr>
      <w:r w:rsidRPr="003C221A">
        <w:rPr>
          <w:rFonts w:ascii="Calibri" w:eastAsia="Calibri" w:hAnsi="Calibri"/>
          <w:kern w:val="2"/>
          <w:sz w:val="22"/>
          <w:szCs w:val="22"/>
          <w:lang w:eastAsia="en-US"/>
          <w14:ligatures w14:val="standardContextual"/>
        </w:rPr>
        <w:t xml:space="preserve">The information required from third-country external reviewers is generally reasonable. However, greater clarity on </w:t>
      </w:r>
      <w:r w:rsidRPr="003C221A">
        <w:rPr>
          <w:rFonts w:ascii="Calibri" w:eastAsia="Calibri" w:hAnsi="Calibri"/>
          <w:b/>
          <w:bCs/>
          <w:kern w:val="2"/>
          <w:sz w:val="22"/>
          <w:szCs w:val="22"/>
          <w:lang w:eastAsia="en-US"/>
          <w14:ligatures w14:val="standardContextual"/>
        </w:rPr>
        <w:t>how ESMA will assess these applications</w:t>
      </w:r>
      <w:r w:rsidRPr="003C221A">
        <w:rPr>
          <w:rFonts w:ascii="Calibri" w:eastAsia="Calibri" w:hAnsi="Calibri"/>
          <w:kern w:val="2"/>
          <w:sz w:val="22"/>
          <w:szCs w:val="22"/>
          <w:lang w:eastAsia="en-US"/>
          <w14:ligatures w14:val="standardContextual"/>
        </w:rPr>
        <w:t xml:space="preserve"> would be helpful—especially for entities already supervised under robust frameworks in their home jurisdictions.</w:t>
      </w:r>
    </w:p>
    <w:p w14:paraId="6EFC7A9C" w14:textId="77777777" w:rsidR="003C221A" w:rsidRPr="003C221A" w:rsidRDefault="003C221A" w:rsidP="003C221A">
      <w:pPr>
        <w:spacing w:after="160" w:line="259" w:lineRule="auto"/>
        <w:rPr>
          <w:rFonts w:ascii="Calibri" w:eastAsia="Calibri" w:hAnsi="Calibri"/>
          <w:kern w:val="2"/>
          <w:sz w:val="22"/>
          <w:szCs w:val="22"/>
          <w:lang w:eastAsia="en-US"/>
          <w14:ligatures w14:val="standardContextual"/>
        </w:rPr>
      </w:pPr>
      <w:r w:rsidRPr="003C221A">
        <w:rPr>
          <w:rFonts w:ascii="Calibri" w:eastAsia="Calibri" w:hAnsi="Calibri"/>
          <w:kern w:val="2"/>
          <w:sz w:val="22"/>
          <w:szCs w:val="22"/>
          <w:lang w:eastAsia="en-US"/>
          <w14:ligatures w14:val="standardContextual"/>
        </w:rPr>
        <w:t xml:space="preserve">Referring explicitly to ISQM 1, ISSA 5000, and the IESBA Code as acceptable benchmarks would facilitate a level playing field between EU and non-EU </w:t>
      </w:r>
      <w:proofErr w:type="gramStart"/>
      <w:r w:rsidRPr="003C221A">
        <w:rPr>
          <w:rFonts w:ascii="Calibri" w:eastAsia="Calibri" w:hAnsi="Calibri"/>
          <w:kern w:val="2"/>
          <w:sz w:val="22"/>
          <w:szCs w:val="22"/>
          <w:lang w:eastAsia="en-US"/>
          <w14:ligatures w14:val="standardContextual"/>
        </w:rPr>
        <w:t>applicants, and</w:t>
      </w:r>
      <w:proofErr w:type="gramEnd"/>
      <w:r w:rsidRPr="003C221A">
        <w:rPr>
          <w:rFonts w:ascii="Calibri" w:eastAsia="Calibri" w:hAnsi="Calibri"/>
          <w:kern w:val="2"/>
          <w:sz w:val="22"/>
          <w:szCs w:val="22"/>
          <w:lang w:eastAsia="en-US"/>
          <w14:ligatures w14:val="standardContextual"/>
        </w:rPr>
        <w:t xml:space="preserve"> make the recognition process more transparent and predictable for all parties.</w:t>
      </w:r>
    </w:p>
    <w:p w14:paraId="30054D96" w14:textId="77777777" w:rsidR="00EC3556" w:rsidRPr="002D59DD" w:rsidRDefault="00EC3556" w:rsidP="002D59DD">
      <w:pPr>
        <w:spacing w:after="160" w:line="259" w:lineRule="auto"/>
        <w:rPr>
          <w:rFonts w:ascii="Calibri" w:eastAsia="Calibri" w:hAnsi="Calibri"/>
          <w:kern w:val="2"/>
          <w:sz w:val="22"/>
          <w:szCs w:val="22"/>
          <w:lang w:eastAsia="en-US"/>
          <w14:ligatures w14:val="standardContextual"/>
        </w:rPr>
      </w:pPr>
    </w:p>
    <w:p w14:paraId="2A15B62C" w14:textId="7E520D4D"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DFA7AC5" w14:textId="77777777" w:rsidR="001B1B48" w:rsidRPr="0037311D" w:rsidRDefault="001B1B48" w:rsidP="001B1B48">
      <w:pPr>
        <w:spacing w:after="160" w:line="259" w:lineRule="auto"/>
        <w:rPr>
          <w:rFonts w:ascii="Arial" w:hAnsi="Arial" w:cs="Arial"/>
          <w:b/>
          <w:bCs/>
          <w:sz w:val="22"/>
          <w:szCs w:val="22"/>
          <w:lang w:val="en-US" w:eastAsia="en-US"/>
        </w:rPr>
      </w:pPr>
    </w:p>
    <w:p w14:paraId="2D44A7AB" w14:textId="6139FB3F"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standard forms, templates and procedures to notify ESMA of material changes in the information provided at registration</w:t>
      </w:r>
      <w:r w:rsidR="0037311D" w:rsidRPr="0037311D">
        <w:rPr>
          <w:rFonts w:ascii="Arial" w:hAnsi="Arial" w:cs="Arial"/>
          <w:b/>
          <w:bCs/>
          <w:sz w:val="22"/>
          <w:szCs w:val="22"/>
          <w:lang w:val="en-US" w:eastAsia="en-US"/>
        </w:rPr>
        <w:t>?</w:t>
      </w:r>
    </w:p>
    <w:p w14:paraId="3DE10544" w14:textId="5798EA6B"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0C4124D" w14:textId="77777777" w:rsidR="003C221A" w:rsidRDefault="003C221A" w:rsidP="001B1B48">
      <w:pPr>
        <w:spacing w:after="160" w:line="259" w:lineRule="auto"/>
        <w:rPr>
          <w:rFonts w:ascii="Calibri" w:eastAsia="Calibri" w:hAnsi="Calibri"/>
          <w:kern w:val="2"/>
          <w:sz w:val="22"/>
          <w:szCs w:val="22"/>
          <w:lang w:eastAsia="en-US"/>
          <w14:ligatures w14:val="standardContextual"/>
        </w:rPr>
      </w:pPr>
      <w:r w:rsidRPr="003C221A">
        <w:rPr>
          <w:rFonts w:ascii="Calibri" w:eastAsia="Calibri" w:hAnsi="Calibri"/>
          <w:kern w:val="2"/>
          <w:sz w:val="22"/>
          <w:szCs w:val="22"/>
          <w:lang w:eastAsia="en-US"/>
          <w14:ligatures w14:val="standardContextual"/>
        </w:rPr>
        <w:t>We support the proposed standardization of notification forms and templates. A structured, digital-friendly process is welcome and will benefit both ESMA and reviewers.</w:t>
      </w:r>
    </w:p>
    <w:p w14:paraId="77155A82" w14:textId="3ABB257C" w:rsidR="00F076DC" w:rsidRDefault="00F076DC" w:rsidP="001B1B48">
      <w:pPr>
        <w:spacing w:after="160" w:line="259" w:lineRule="auto"/>
        <w:rPr>
          <w:rFonts w:ascii="Calibri" w:eastAsia="Calibri" w:hAnsi="Calibri"/>
          <w:kern w:val="2"/>
          <w:sz w:val="22"/>
          <w:szCs w:val="22"/>
          <w:lang w:eastAsia="en-US"/>
          <w14:ligatures w14:val="standardContextual"/>
        </w:rPr>
      </w:pPr>
      <w:r w:rsidRPr="00F076DC">
        <w:rPr>
          <w:rFonts w:ascii="Calibri" w:eastAsia="Calibri" w:hAnsi="Calibri"/>
          <w:kern w:val="2"/>
          <w:sz w:val="22"/>
          <w:szCs w:val="22"/>
          <w:lang w:eastAsia="en-US"/>
          <w14:ligatures w14:val="standardContextual"/>
        </w:rPr>
        <w:t>However, it remains unclear what constitutes a material change and what would therefore trigger a notification. This should be further clarified, with a focus on practicality and proportionality, to avoid placing an undue burden on reviewers or overwhelming ESMA with unnecessary notifications.</w:t>
      </w:r>
      <w:r w:rsidR="002D3EE6">
        <w:rPr>
          <w:rFonts w:ascii="Calibri" w:eastAsia="Calibri" w:hAnsi="Calibri"/>
          <w:kern w:val="2"/>
          <w:sz w:val="22"/>
          <w:szCs w:val="22"/>
          <w:lang w:eastAsia="en-US"/>
          <w14:ligatures w14:val="standardContextual"/>
        </w:rPr>
        <w:t xml:space="preserve"> A reasonable balance between ad-hoc notification and periodic updates needs to be found.</w:t>
      </w:r>
    </w:p>
    <w:p w14:paraId="4F153845" w14:textId="167A90E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6FB17469"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have comments or quantitative information to provide on the CBA and options considered by ESMA?</w:t>
      </w:r>
    </w:p>
    <w:p w14:paraId="4EB81B41" w14:textId="6E15BC3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3E389177" w14:textId="77777777" w:rsidR="009B2F11" w:rsidRPr="009B2F11" w:rsidRDefault="009B2F11" w:rsidP="009B2F11">
      <w:pPr>
        <w:spacing w:after="160" w:line="259" w:lineRule="auto"/>
        <w:rPr>
          <w:rFonts w:ascii="Calibri" w:eastAsia="Calibri" w:hAnsi="Calibri"/>
          <w:kern w:val="2"/>
          <w:sz w:val="22"/>
          <w:szCs w:val="22"/>
          <w:lang w:eastAsia="en-US"/>
          <w14:ligatures w14:val="standardContextual"/>
        </w:rPr>
      </w:pPr>
      <w:r w:rsidRPr="009B2F11">
        <w:rPr>
          <w:rFonts w:ascii="Calibri" w:eastAsia="Calibri" w:hAnsi="Calibri"/>
          <w:kern w:val="2"/>
          <w:sz w:val="22"/>
          <w:szCs w:val="22"/>
          <w:lang w:eastAsia="en-US"/>
          <w14:ligatures w14:val="standardContextual"/>
        </w:rPr>
        <w:t>While the CBA recognizes some implementation burdens, we believe it underestimates the potential efficiencies of aligning with existing international frameworks. By allowing firms to rely on ISQM 1, ISSA 5000, and the IESBA Code, ESMA could:</w:t>
      </w:r>
    </w:p>
    <w:p w14:paraId="1B315B53" w14:textId="77777777" w:rsidR="009B2F11" w:rsidRPr="009B2F11" w:rsidRDefault="009B2F11" w:rsidP="009B2F11">
      <w:pPr>
        <w:numPr>
          <w:ilvl w:val="0"/>
          <w:numId w:val="35"/>
        </w:numPr>
        <w:spacing w:after="160" w:line="259" w:lineRule="auto"/>
        <w:rPr>
          <w:rFonts w:ascii="Calibri" w:eastAsia="Calibri" w:hAnsi="Calibri"/>
          <w:kern w:val="2"/>
          <w:sz w:val="22"/>
          <w:szCs w:val="22"/>
          <w:lang w:eastAsia="en-US"/>
          <w14:ligatures w14:val="standardContextual"/>
        </w:rPr>
      </w:pPr>
      <w:r w:rsidRPr="009B2F11">
        <w:rPr>
          <w:rFonts w:ascii="Calibri" w:eastAsia="Calibri" w:hAnsi="Calibri"/>
          <w:kern w:val="2"/>
          <w:sz w:val="22"/>
          <w:szCs w:val="22"/>
          <w:lang w:eastAsia="en-US"/>
          <w14:ligatures w14:val="standardContextual"/>
        </w:rPr>
        <w:t>Reduce its own supervisory overhead,</w:t>
      </w:r>
    </w:p>
    <w:p w14:paraId="4F893181" w14:textId="77777777" w:rsidR="009B2F11" w:rsidRPr="009B2F11" w:rsidRDefault="009B2F11" w:rsidP="009B2F11">
      <w:pPr>
        <w:numPr>
          <w:ilvl w:val="0"/>
          <w:numId w:val="35"/>
        </w:numPr>
        <w:spacing w:after="160" w:line="259" w:lineRule="auto"/>
        <w:rPr>
          <w:rFonts w:ascii="Calibri" w:eastAsia="Calibri" w:hAnsi="Calibri"/>
          <w:kern w:val="2"/>
          <w:sz w:val="22"/>
          <w:szCs w:val="22"/>
          <w:lang w:eastAsia="en-US"/>
          <w14:ligatures w14:val="standardContextual"/>
        </w:rPr>
      </w:pPr>
      <w:r w:rsidRPr="009B2F11">
        <w:rPr>
          <w:rFonts w:ascii="Calibri" w:eastAsia="Calibri" w:hAnsi="Calibri"/>
          <w:kern w:val="2"/>
          <w:sz w:val="22"/>
          <w:szCs w:val="22"/>
          <w:lang w:eastAsia="en-US"/>
          <w14:ligatures w14:val="standardContextual"/>
        </w:rPr>
        <w:t>Enable firms to scale compliance more easily,</w:t>
      </w:r>
    </w:p>
    <w:p w14:paraId="5D3CFE19" w14:textId="77777777" w:rsidR="009B2F11" w:rsidRPr="009B2F11" w:rsidRDefault="009B2F11" w:rsidP="009B2F11">
      <w:pPr>
        <w:numPr>
          <w:ilvl w:val="0"/>
          <w:numId w:val="35"/>
        </w:numPr>
        <w:spacing w:after="160" w:line="259" w:lineRule="auto"/>
        <w:rPr>
          <w:rFonts w:ascii="Calibri" w:eastAsia="Calibri" w:hAnsi="Calibri"/>
          <w:kern w:val="2"/>
          <w:sz w:val="22"/>
          <w:szCs w:val="22"/>
          <w:lang w:eastAsia="en-US"/>
          <w14:ligatures w14:val="standardContextual"/>
        </w:rPr>
      </w:pPr>
      <w:r w:rsidRPr="009B2F11">
        <w:rPr>
          <w:rFonts w:ascii="Calibri" w:eastAsia="Calibri" w:hAnsi="Calibri"/>
          <w:kern w:val="2"/>
          <w:sz w:val="22"/>
          <w:szCs w:val="22"/>
          <w:lang w:eastAsia="en-US"/>
          <w14:ligatures w14:val="standardContextual"/>
        </w:rPr>
        <w:t>Lower barriers to entry for qualified market participants, and</w:t>
      </w:r>
    </w:p>
    <w:p w14:paraId="07ECF5EE" w14:textId="77777777" w:rsidR="009B2F11" w:rsidRPr="009B2F11" w:rsidRDefault="009B2F11" w:rsidP="009B2F11">
      <w:pPr>
        <w:numPr>
          <w:ilvl w:val="0"/>
          <w:numId w:val="35"/>
        </w:numPr>
        <w:spacing w:after="160" w:line="259" w:lineRule="auto"/>
        <w:rPr>
          <w:rFonts w:ascii="Calibri" w:eastAsia="Calibri" w:hAnsi="Calibri"/>
          <w:kern w:val="2"/>
          <w:sz w:val="22"/>
          <w:szCs w:val="22"/>
          <w:lang w:eastAsia="en-US"/>
          <w14:ligatures w14:val="standardContextual"/>
        </w:rPr>
      </w:pPr>
      <w:r w:rsidRPr="009B2F11">
        <w:rPr>
          <w:rFonts w:ascii="Calibri" w:eastAsia="Calibri" w:hAnsi="Calibri"/>
          <w:kern w:val="2"/>
          <w:sz w:val="22"/>
          <w:szCs w:val="22"/>
          <w:lang w:eastAsia="en-US"/>
          <w14:ligatures w14:val="standardContextual"/>
        </w:rPr>
        <w:t>Promote consistency and credibility across the European market.</w:t>
      </w:r>
    </w:p>
    <w:p w14:paraId="28A34DB4" w14:textId="5918A25C" w:rsidR="009B2F11" w:rsidRDefault="009B2F11" w:rsidP="009B2F11">
      <w:pPr>
        <w:spacing w:after="160" w:line="259" w:lineRule="auto"/>
        <w:rPr>
          <w:rFonts w:ascii="Calibri" w:eastAsia="Calibri" w:hAnsi="Calibri"/>
          <w:kern w:val="2"/>
          <w:sz w:val="22"/>
          <w:szCs w:val="22"/>
          <w:lang w:eastAsia="en-US"/>
          <w14:ligatures w14:val="standardContextual"/>
        </w:rPr>
      </w:pPr>
      <w:r w:rsidRPr="009B2F11">
        <w:rPr>
          <w:rFonts w:ascii="Calibri" w:eastAsia="Calibri" w:hAnsi="Calibri"/>
          <w:kern w:val="2"/>
          <w:sz w:val="22"/>
          <w:szCs w:val="22"/>
          <w:lang w:eastAsia="en-US"/>
          <w14:ligatures w14:val="standardContextual"/>
        </w:rPr>
        <w:t xml:space="preserve">This would </w:t>
      </w:r>
      <w:r w:rsidR="00705FDC">
        <w:rPr>
          <w:rFonts w:ascii="Calibri" w:eastAsia="Calibri" w:hAnsi="Calibri"/>
          <w:kern w:val="2"/>
          <w:sz w:val="22"/>
          <w:szCs w:val="22"/>
          <w:lang w:eastAsia="en-US"/>
          <w14:ligatures w14:val="standardContextual"/>
        </w:rPr>
        <w:t xml:space="preserve">significantly reduce bureaucratic cost and </w:t>
      </w:r>
      <w:r w:rsidRPr="009B2F11">
        <w:rPr>
          <w:rFonts w:ascii="Calibri" w:eastAsia="Calibri" w:hAnsi="Calibri"/>
          <w:kern w:val="2"/>
          <w:sz w:val="22"/>
          <w:szCs w:val="22"/>
          <w:lang w:eastAsia="en-US"/>
          <w14:ligatures w14:val="standardContextual"/>
        </w:rPr>
        <w:t>directly support the Commission’s broader policy goals on competitiveness and simplification.</w:t>
      </w:r>
    </w:p>
    <w:p w14:paraId="72D4BA7A" w14:textId="77777777" w:rsidR="009B2F11" w:rsidRDefault="009B2F11" w:rsidP="009B2F11">
      <w:pPr>
        <w:spacing w:after="160" w:line="259" w:lineRule="auto"/>
        <w:rPr>
          <w:rFonts w:ascii="Calibri" w:eastAsia="Calibri" w:hAnsi="Calibri"/>
          <w:b/>
          <w:bCs/>
          <w:kern w:val="2"/>
          <w:sz w:val="22"/>
          <w:szCs w:val="22"/>
          <w:lang w:eastAsia="en-US"/>
          <w14:ligatures w14:val="standardContextual"/>
        </w:rPr>
      </w:pPr>
    </w:p>
    <w:p w14:paraId="6550CE37" w14:textId="23223840" w:rsidR="009B2F11" w:rsidRPr="009B2F11" w:rsidRDefault="009B2F11" w:rsidP="009B2F11">
      <w:pPr>
        <w:spacing w:after="160" w:line="259" w:lineRule="auto"/>
        <w:rPr>
          <w:rFonts w:ascii="Calibri" w:eastAsia="Calibri" w:hAnsi="Calibri"/>
          <w:b/>
          <w:bCs/>
          <w:kern w:val="2"/>
          <w:sz w:val="22"/>
          <w:szCs w:val="22"/>
          <w:lang w:eastAsia="en-US"/>
          <w14:ligatures w14:val="standardContextual"/>
        </w:rPr>
      </w:pPr>
      <w:r w:rsidRPr="009B2F11">
        <w:rPr>
          <w:rFonts w:ascii="Calibri" w:eastAsia="Calibri" w:hAnsi="Calibri"/>
          <w:b/>
          <w:bCs/>
          <w:kern w:val="2"/>
          <w:sz w:val="22"/>
          <w:szCs w:val="22"/>
          <w:lang w:eastAsia="en-US"/>
          <w14:ligatures w14:val="standardContextual"/>
        </w:rPr>
        <w:t>Closing Remarks</w:t>
      </w:r>
    </w:p>
    <w:p w14:paraId="68040DD0" w14:textId="77777777" w:rsidR="009B2F11" w:rsidRPr="009B2F11" w:rsidRDefault="009B2F11" w:rsidP="009B2F11">
      <w:pPr>
        <w:spacing w:after="160" w:line="259" w:lineRule="auto"/>
        <w:rPr>
          <w:rFonts w:ascii="Calibri" w:eastAsia="Calibri" w:hAnsi="Calibri"/>
          <w:kern w:val="2"/>
          <w:sz w:val="22"/>
          <w:szCs w:val="22"/>
          <w:lang w:eastAsia="en-US"/>
          <w14:ligatures w14:val="standardContextual"/>
        </w:rPr>
      </w:pPr>
      <w:r w:rsidRPr="009B2F11">
        <w:rPr>
          <w:rFonts w:ascii="Calibri" w:eastAsia="Calibri" w:hAnsi="Calibri"/>
          <w:kern w:val="2"/>
          <w:sz w:val="22"/>
          <w:szCs w:val="22"/>
          <w:lang w:eastAsia="en-US"/>
          <w14:ligatures w14:val="standardContextual"/>
        </w:rPr>
        <w:t xml:space="preserve">We reiterate our appreciation for ESMA’s efforts to build a solid regulatory foundation for the European Green Bond market. The draft RTS offer a strong starting point, and with further alignment to existing international standards, the final framework can deliver both </w:t>
      </w:r>
      <w:r w:rsidRPr="009B2F11">
        <w:rPr>
          <w:rFonts w:ascii="Calibri" w:eastAsia="Calibri" w:hAnsi="Calibri"/>
          <w:b/>
          <w:bCs/>
          <w:kern w:val="2"/>
          <w:sz w:val="22"/>
          <w:szCs w:val="22"/>
          <w:lang w:eastAsia="en-US"/>
          <w14:ligatures w14:val="standardContextual"/>
        </w:rPr>
        <w:t>quality and practicality</w:t>
      </w:r>
      <w:r w:rsidRPr="009B2F11">
        <w:rPr>
          <w:rFonts w:ascii="Calibri" w:eastAsia="Calibri" w:hAnsi="Calibri"/>
          <w:kern w:val="2"/>
          <w:sz w:val="22"/>
          <w:szCs w:val="22"/>
          <w:lang w:eastAsia="en-US"/>
          <w14:ligatures w14:val="standardContextual"/>
        </w:rPr>
        <w:t>.</w:t>
      </w:r>
    </w:p>
    <w:p w14:paraId="7E92CBBC" w14:textId="77777777" w:rsidR="009B2F11" w:rsidRPr="009B2F11" w:rsidRDefault="009B2F11" w:rsidP="009B2F11">
      <w:pPr>
        <w:spacing w:after="160" w:line="259" w:lineRule="auto"/>
        <w:rPr>
          <w:rFonts w:ascii="Calibri" w:eastAsia="Calibri" w:hAnsi="Calibri"/>
          <w:kern w:val="2"/>
          <w:sz w:val="22"/>
          <w:szCs w:val="22"/>
          <w:lang w:eastAsia="en-US"/>
          <w14:ligatures w14:val="standardContextual"/>
        </w:rPr>
      </w:pPr>
      <w:r w:rsidRPr="009B2F11">
        <w:rPr>
          <w:rFonts w:ascii="Calibri" w:eastAsia="Calibri" w:hAnsi="Calibri"/>
          <w:kern w:val="2"/>
          <w:sz w:val="22"/>
          <w:szCs w:val="22"/>
          <w:lang w:eastAsia="en-US"/>
          <w14:ligatures w14:val="standardContextual"/>
        </w:rPr>
        <w:t>We stand ready to support the finalization and implementation process, and we thank ESMA for its continued engagement with stakeholders.</w:t>
      </w:r>
    </w:p>
    <w:p w14:paraId="4C2FEACB" w14:textId="77777777" w:rsidR="009B2F11" w:rsidRPr="009B2F11" w:rsidRDefault="009B2F11" w:rsidP="009B2F11">
      <w:pPr>
        <w:spacing w:after="160" w:line="259" w:lineRule="auto"/>
        <w:rPr>
          <w:rFonts w:ascii="Calibri" w:eastAsia="Calibri" w:hAnsi="Calibri"/>
          <w:kern w:val="2"/>
          <w:sz w:val="22"/>
          <w:szCs w:val="22"/>
          <w:lang w:eastAsia="en-US"/>
          <w14:ligatures w14:val="standardContextual"/>
        </w:rPr>
      </w:pPr>
    </w:p>
    <w:p w14:paraId="2BBAC781" w14:textId="3A19105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78A217F5"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76F09457" w14:textId="057FA7F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sectPr w:rsidR="0037311D" w:rsidRPr="001B1B48"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0E23" w14:textId="77777777" w:rsidR="00921FC9" w:rsidRDefault="00921FC9" w:rsidP="007E7997">
      <w:r>
        <w:separator/>
      </w:r>
    </w:p>
  </w:endnote>
  <w:endnote w:type="continuationSeparator" w:id="0">
    <w:p w14:paraId="15A75800" w14:textId="77777777" w:rsidR="00921FC9" w:rsidRDefault="00921FC9" w:rsidP="007E7997">
      <w:r>
        <w:continuationSeparator/>
      </w:r>
    </w:p>
  </w:endnote>
  <w:endnote w:type="continuationNotice" w:id="1">
    <w:p w14:paraId="081CDCCE" w14:textId="77777777" w:rsidR="00921FC9" w:rsidRDefault="0092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774F4" w14:textId="77777777" w:rsidR="00921FC9" w:rsidRDefault="00921FC9" w:rsidP="007E7997">
      <w:r>
        <w:separator/>
      </w:r>
    </w:p>
  </w:footnote>
  <w:footnote w:type="continuationSeparator" w:id="0">
    <w:p w14:paraId="6C6F5AF4" w14:textId="77777777" w:rsidR="00921FC9" w:rsidRDefault="00921FC9" w:rsidP="007E7997">
      <w:r>
        <w:continuationSeparator/>
      </w:r>
    </w:p>
  </w:footnote>
  <w:footnote w:type="continuationNotice" w:id="1">
    <w:p w14:paraId="52EA72C5" w14:textId="77777777" w:rsidR="00921FC9" w:rsidRDefault="00921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618CF669"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17150">
      <w:rPr>
        <w:rFonts w:asciiTheme="minorHAnsi" w:eastAsiaTheme="minorEastAsia" w:hAnsiTheme="minorHAnsi" w:cstheme="minorBidi"/>
        <w:color w:val="000000" w:themeColor="text1" w:themeShade="80"/>
        <w:sz w:val="16"/>
        <w:szCs w:val="20"/>
        <w:lang w:eastAsia="en-US"/>
      </w:rPr>
      <w:t>7 April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B5B36"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D11985"/>
    <w:multiLevelType w:val="multilevel"/>
    <w:tmpl w:val="66E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3042E1"/>
    <w:multiLevelType w:val="multilevel"/>
    <w:tmpl w:val="DEE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C5552"/>
    <w:multiLevelType w:val="multilevel"/>
    <w:tmpl w:val="F9E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FF446A"/>
    <w:multiLevelType w:val="multilevel"/>
    <w:tmpl w:val="A7F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975619">
    <w:abstractNumId w:val="2"/>
  </w:num>
  <w:num w:numId="2" w16cid:durableId="1495532731">
    <w:abstractNumId w:val="2"/>
  </w:num>
  <w:num w:numId="3" w16cid:durableId="994409496">
    <w:abstractNumId w:val="25"/>
  </w:num>
  <w:num w:numId="4" w16cid:durableId="1880320868">
    <w:abstractNumId w:val="4"/>
  </w:num>
  <w:num w:numId="5" w16cid:durableId="290864581">
    <w:abstractNumId w:val="13"/>
  </w:num>
  <w:num w:numId="6" w16cid:durableId="952590553">
    <w:abstractNumId w:val="27"/>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1"/>
  </w:num>
  <w:num w:numId="16" w16cid:durableId="398749299">
    <w:abstractNumId w:val="26"/>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7"/>
  </w:num>
  <w:num w:numId="20" w16cid:durableId="1306933315">
    <w:abstractNumId w:val="11"/>
  </w:num>
  <w:num w:numId="21" w16cid:durableId="1623876054">
    <w:abstractNumId w:val="23"/>
  </w:num>
  <w:num w:numId="22" w16cid:durableId="783383837">
    <w:abstractNumId w:val="14"/>
  </w:num>
  <w:num w:numId="23" w16cid:durableId="2112964618">
    <w:abstractNumId w:val="20"/>
  </w:num>
  <w:num w:numId="24" w16cid:durableId="1958565453">
    <w:abstractNumId w:val="0"/>
  </w:num>
  <w:num w:numId="25" w16cid:durableId="1372725395">
    <w:abstractNumId w:val="18"/>
  </w:num>
  <w:num w:numId="26" w16cid:durableId="1686445133">
    <w:abstractNumId w:val="16"/>
  </w:num>
  <w:num w:numId="27" w16cid:durableId="1247768697">
    <w:abstractNumId w:val="10"/>
  </w:num>
  <w:num w:numId="28" w16cid:durableId="954170948">
    <w:abstractNumId w:val="1"/>
  </w:num>
  <w:num w:numId="29" w16cid:durableId="837424337">
    <w:abstractNumId w:val="17"/>
  </w:num>
  <w:num w:numId="30" w16cid:durableId="299657983">
    <w:abstractNumId w:val="5"/>
  </w:num>
  <w:num w:numId="31" w16cid:durableId="699822250">
    <w:abstractNumId w:val="15"/>
  </w:num>
  <w:num w:numId="32" w16cid:durableId="1385717770">
    <w:abstractNumId w:val="3"/>
  </w:num>
  <w:num w:numId="33" w16cid:durableId="873422543">
    <w:abstractNumId w:val="24"/>
  </w:num>
  <w:num w:numId="34" w16cid:durableId="1218199324">
    <w:abstractNumId w:val="19"/>
  </w:num>
  <w:num w:numId="35" w16cid:durableId="17966679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7EC"/>
    <w:rsid w:val="00033934"/>
    <w:rsid w:val="00036C09"/>
    <w:rsid w:val="000372BF"/>
    <w:rsid w:val="00040A52"/>
    <w:rsid w:val="00044C5A"/>
    <w:rsid w:val="00044E0A"/>
    <w:rsid w:val="00047C57"/>
    <w:rsid w:val="00054288"/>
    <w:rsid w:val="00054E00"/>
    <w:rsid w:val="00061B2B"/>
    <w:rsid w:val="000627C5"/>
    <w:rsid w:val="0006448C"/>
    <w:rsid w:val="0006449B"/>
    <w:rsid w:val="000655AD"/>
    <w:rsid w:val="00066FD1"/>
    <w:rsid w:val="00070EBE"/>
    <w:rsid w:val="00072BF9"/>
    <w:rsid w:val="00073DF9"/>
    <w:rsid w:val="0007767E"/>
    <w:rsid w:val="0007796D"/>
    <w:rsid w:val="000830DA"/>
    <w:rsid w:val="00083FBB"/>
    <w:rsid w:val="00086F71"/>
    <w:rsid w:val="000921E6"/>
    <w:rsid w:val="00092D6C"/>
    <w:rsid w:val="00093239"/>
    <w:rsid w:val="000A03C9"/>
    <w:rsid w:val="000A0773"/>
    <w:rsid w:val="000A12CC"/>
    <w:rsid w:val="000A2738"/>
    <w:rsid w:val="000A2DF1"/>
    <w:rsid w:val="000A3D10"/>
    <w:rsid w:val="000A409B"/>
    <w:rsid w:val="000A66FC"/>
    <w:rsid w:val="000A741E"/>
    <w:rsid w:val="000B15E3"/>
    <w:rsid w:val="000B1615"/>
    <w:rsid w:val="000B2AAF"/>
    <w:rsid w:val="000B2E26"/>
    <w:rsid w:val="000B5D3D"/>
    <w:rsid w:val="000C0CE0"/>
    <w:rsid w:val="000C2400"/>
    <w:rsid w:val="000C299C"/>
    <w:rsid w:val="000C406A"/>
    <w:rsid w:val="000C5032"/>
    <w:rsid w:val="000C5ACC"/>
    <w:rsid w:val="000D0293"/>
    <w:rsid w:val="000D0850"/>
    <w:rsid w:val="000D0F2D"/>
    <w:rsid w:val="000D1038"/>
    <w:rsid w:val="000D11A9"/>
    <w:rsid w:val="000D2D7B"/>
    <w:rsid w:val="000E2232"/>
    <w:rsid w:val="000E3DB1"/>
    <w:rsid w:val="000F0169"/>
    <w:rsid w:val="000F0951"/>
    <w:rsid w:val="000F2598"/>
    <w:rsid w:val="000F29C0"/>
    <w:rsid w:val="000F2BE6"/>
    <w:rsid w:val="000F474D"/>
    <w:rsid w:val="000F5267"/>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1C4"/>
    <w:rsid w:val="001608B2"/>
    <w:rsid w:val="00160FE0"/>
    <w:rsid w:val="00163AB3"/>
    <w:rsid w:val="0016471F"/>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438D"/>
    <w:rsid w:val="00234A20"/>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B6060"/>
    <w:rsid w:val="002C03FD"/>
    <w:rsid w:val="002C044D"/>
    <w:rsid w:val="002C1AA5"/>
    <w:rsid w:val="002C2A46"/>
    <w:rsid w:val="002C3048"/>
    <w:rsid w:val="002C76AE"/>
    <w:rsid w:val="002D2992"/>
    <w:rsid w:val="002D36ED"/>
    <w:rsid w:val="002D37A0"/>
    <w:rsid w:val="002D3EE6"/>
    <w:rsid w:val="002D59DD"/>
    <w:rsid w:val="002D5AB5"/>
    <w:rsid w:val="002D6667"/>
    <w:rsid w:val="002D761A"/>
    <w:rsid w:val="002D79F3"/>
    <w:rsid w:val="002E1C11"/>
    <w:rsid w:val="002E3D0B"/>
    <w:rsid w:val="002E3E7D"/>
    <w:rsid w:val="002E6A8E"/>
    <w:rsid w:val="002F6279"/>
    <w:rsid w:val="00300F55"/>
    <w:rsid w:val="003013B7"/>
    <w:rsid w:val="00301993"/>
    <w:rsid w:val="00301E55"/>
    <w:rsid w:val="00302B89"/>
    <w:rsid w:val="00307397"/>
    <w:rsid w:val="003101EF"/>
    <w:rsid w:val="00312BDD"/>
    <w:rsid w:val="00314117"/>
    <w:rsid w:val="00317EDF"/>
    <w:rsid w:val="00324D51"/>
    <w:rsid w:val="003279E7"/>
    <w:rsid w:val="00327B62"/>
    <w:rsid w:val="00331FE9"/>
    <w:rsid w:val="0033324D"/>
    <w:rsid w:val="0033587C"/>
    <w:rsid w:val="00336BF9"/>
    <w:rsid w:val="003371E8"/>
    <w:rsid w:val="00337471"/>
    <w:rsid w:val="00340EFE"/>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C167E"/>
    <w:rsid w:val="003C221A"/>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BFB"/>
    <w:rsid w:val="00430C5B"/>
    <w:rsid w:val="00431968"/>
    <w:rsid w:val="00433936"/>
    <w:rsid w:val="0043475E"/>
    <w:rsid w:val="00435FE9"/>
    <w:rsid w:val="00436279"/>
    <w:rsid w:val="0044199E"/>
    <w:rsid w:val="0044206D"/>
    <w:rsid w:val="00444803"/>
    <w:rsid w:val="00445696"/>
    <w:rsid w:val="00445C40"/>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3E5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69C"/>
    <w:rsid w:val="004F5740"/>
    <w:rsid w:val="004F58C9"/>
    <w:rsid w:val="005028B9"/>
    <w:rsid w:val="00503A3F"/>
    <w:rsid w:val="00505E17"/>
    <w:rsid w:val="00511A59"/>
    <w:rsid w:val="00511C3B"/>
    <w:rsid w:val="005134CB"/>
    <w:rsid w:val="00514440"/>
    <w:rsid w:val="00515E9C"/>
    <w:rsid w:val="005166C3"/>
    <w:rsid w:val="00516E2E"/>
    <w:rsid w:val="00520F7C"/>
    <w:rsid w:val="00523974"/>
    <w:rsid w:val="00526E5D"/>
    <w:rsid w:val="00527517"/>
    <w:rsid w:val="00531432"/>
    <w:rsid w:val="00532BC8"/>
    <w:rsid w:val="005333E8"/>
    <w:rsid w:val="00534912"/>
    <w:rsid w:val="005370E7"/>
    <w:rsid w:val="005409B7"/>
    <w:rsid w:val="00541618"/>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0171"/>
    <w:rsid w:val="0059175F"/>
    <w:rsid w:val="00591AAC"/>
    <w:rsid w:val="00595F08"/>
    <w:rsid w:val="00595FBE"/>
    <w:rsid w:val="005A1C55"/>
    <w:rsid w:val="005B169D"/>
    <w:rsid w:val="005B2163"/>
    <w:rsid w:val="005B467C"/>
    <w:rsid w:val="005B4ACA"/>
    <w:rsid w:val="005B6B12"/>
    <w:rsid w:val="005C19E9"/>
    <w:rsid w:val="005C2DBC"/>
    <w:rsid w:val="005C52EF"/>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8B5"/>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40691"/>
    <w:rsid w:val="00641DB1"/>
    <w:rsid w:val="00642297"/>
    <w:rsid w:val="00644A34"/>
    <w:rsid w:val="0065244F"/>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77E8F"/>
    <w:rsid w:val="00681482"/>
    <w:rsid w:val="00687BF0"/>
    <w:rsid w:val="006904CF"/>
    <w:rsid w:val="006912FB"/>
    <w:rsid w:val="00694199"/>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1225"/>
    <w:rsid w:val="007020FA"/>
    <w:rsid w:val="0070427E"/>
    <w:rsid w:val="00704D53"/>
    <w:rsid w:val="007056C3"/>
    <w:rsid w:val="00705FDC"/>
    <w:rsid w:val="00706072"/>
    <w:rsid w:val="00713644"/>
    <w:rsid w:val="007148CC"/>
    <w:rsid w:val="00720419"/>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687B"/>
    <w:rsid w:val="008372B6"/>
    <w:rsid w:val="008373F7"/>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0A33"/>
    <w:rsid w:val="008842F7"/>
    <w:rsid w:val="00885B94"/>
    <w:rsid w:val="0089075A"/>
    <w:rsid w:val="00890F80"/>
    <w:rsid w:val="00892BFD"/>
    <w:rsid w:val="0089338A"/>
    <w:rsid w:val="00894199"/>
    <w:rsid w:val="008948BE"/>
    <w:rsid w:val="008A1E27"/>
    <w:rsid w:val="008A2C86"/>
    <w:rsid w:val="008A4430"/>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21FC9"/>
    <w:rsid w:val="0093261E"/>
    <w:rsid w:val="0094008E"/>
    <w:rsid w:val="00941C0C"/>
    <w:rsid w:val="009437F2"/>
    <w:rsid w:val="0094528B"/>
    <w:rsid w:val="00960A8B"/>
    <w:rsid w:val="00965128"/>
    <w:rsid w:val="00967068"/>
    <w:rsid w:val="0097234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2F11"/>
    <w:rsid w:val="009B7B79"/>
    <w:rsid w:val="009C0383"/>
    <w:rsid w:val="009C145B"/>
    <w:rsid w:val="009C3E04"/>
    <w:rsid w:val="009C4FB0"/>
    <w:rsid w:val="009C64E3"/>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2FA8"/>
    <w:rsid w:val="00A53AF0"/>
    <w:rsid w:val="00A54ED7"/>
    <w:rsid w:val="00A61561"/>
    <w:rsid w:val="00A63249"/>
    <w:rsid w:val="00A64C2D"/>
    <w:rsid w:val="00A6691F"/>
    <w:rsid w:val="00A67E6A"/>
    <w:rsid w:val="00A70F49"/>
    <w:rsid w:val="00A71822"/>
    <w:rsid w:val="00A72203"/>
    <w:rsid w:val="00A7281F"/>
    <w:rsid w:val="00A73299"/>
    <w:rsid w:val="00A73932"/>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0458"/>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0FD7"/>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53F"/>
    <w:rsid w:val="00B768CF"/>
    <w:rsid w:val="00B81A44"/>
    <w:rsid w:val="00B86BB5"/>
    <w:rsid w:val="00B91072"/>
    <w:rsid w:val="00B91B6E"/>
    <w:rsid w:val="00B94B2C"/>
    <w:rsid w:val="00B96F7D"/>
    <w:rsid w:val="00B970D0"/>
    <w:rsid w:val="00BA49F4"/>
    <w:rsid w:val="00BA4CF8"/>
    <w:rsid w:val="00BA5292"/>
    <w:rsid w:val="00BA5C41"/>
    <w:rsid w:val="00BA6ACA"/>
    <w:rsid w:val="00BA7232"/>
    <w:rsid w:val="00BA7809"/>
    <w:rsid w:val="00BB076C"/>
    <w:rsid w:val="00BB29AA"/>
    <w:rsid w:val="00BB449C"/>
    <w:rsid w:val="00BB44D7"/>
    <w:rsid w:val="00BC1D04"/>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4C9"/>
    <w:rsid w:val="00BF5553"/>
    <w:rsid w:val="00BF75CD"/>
    <w:rsid w:val="00C00D4F"/>
    <w:rsid w:val="00C00F1C"/>
    <w:rsid w:val="00C0346D"/>
    <w:rsid w:val="00C0358F"/>
    <w:rsid w:val="00C03BB0"/>
    <w:rsid w:val="00C041CF"/>
    <w:rsid w:val="00C04494"/>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292E"/>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3E9B"/>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411F"/>
    <w:rsid w:val="00D059F5"/>
    <w:rsid w:val="00D117F5"/>
    <w:rsid w:val="00D13661"/>
    <w:rsid w:val="00D142BD"/>
    <w:rsid w:val="00D146DE"/>
    <w:rsid w:val="00D17CEE"/>
    <w:rsid w:val="00D17FEC"/>
    <w:rsid w:val="00D200E7"/>
    <w:rsid w:val="00D21427"/>
    <w:rsid w:val="00D22164"/>
    <w:rsid w:val="00D22B86"/>
    <w:rsid w:val="00D22F2F"/>
    <w:rsid w:val="00D24194"/>
    <w:rsid w:val="00D2460F"/>
    <w:rsid w:val="00D2590F"/>
    <w:rsid w:val="00D26228"/>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1371"/>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5A1C"/>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845"/>
    <w:rsid w:val="00E67B40"/>
    <w:rsid w:val="00E703AE"/>
    <w:rsid w:val="00E71203"/>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3556"/>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076DC"/>
    <w:rsid w:val="00F146BE"/>
    <w:rsid w:val="00F1529F"/>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57F0F"/>
    <w:rsid w:val="00F61E82"/>
    <w:rsid w:val="00F6243A"/>
    <w:rsid w:val="00F63323"/>
    <w:rsid w:val="00F636FE"/>
    <w:rsid w:val="00F648B2"/>
    <w:rsid w:val="00F67EBD"/>
    <w:rsid w:val="00F70EA4"/>
    <w:rsid w:val="00F715C0"/>
    <w:rsid w:val="00F7736F"/>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3466"/>
    <w:rsid w:val="00FD4D00"/>
    <w:rsid w:val="00FE0BD8"/>
    <w:rsid w:val="00FE1709"/>
    <w:rsid w:val="00FE1FC9"/>
    <w:rsid w:val="00FF32DE"/>
    <w:rsid w:val="00FF4205"/>
    <w:rsid w:val="00FF577A"/>
    <w:rsid w:val="00FF5858"/>
    <w:rsid w:val="00FF6930"/>
    <w:rsid w:val="0543BD18"/>
    <w:rsid w:val="0674A123"/>
    <w:rsid w:val="07C4619C"/>
    <w:rsid w:val="080B0162"/>
    <w:rsid w:val="0A135EF1"/>
    <w:rsid w:val="0D263B88"/>
    <w:rsid w:val="1356A02D"/>
    <w:rsid w:val="142D9142"/>
    <w:rsid w:val="159D85D6"/>
    <w:rsid w:val="16D35672"/>
    <w:rsid w:val="17359F52"/>
    <w:rsid w:val="1A640F2B"/>
    <w:rsid w:val="1BD89645"/>
    <w:rsid w:val="1C6FC03A"/>
    <w:rsid w:val="1C9DACD9"/>
    <w:rsid w:val="1E46F31C"/>
    <w:rsid w:val="1EF51137"/>
    <w:rsid w:val="208651FD"/>
    <w:rsid w:val="216DF681"/>
    <w:rsid w:val="2603439E"/>
    <w:rsid w:val="2693528C"/>
    <w:rsid w:val="278C39D0"/>
    <w:rsid w:val="29C0DC56"/>
    <w:rsid w:val="2CEDD2C7"/>
    <w:rsid w:val="30D32B50"/>
    <w:rsid w:val="3419C333"/>
    <w:rsid w:val="36725D5C"/>
    <w:rsid w:val="36E86BF7"/>
    <w:rsid w:val="3705BDBE"/>
    <w:rsid w:val="38854CFF"/>
    <w:rsid w:val="39D049ED"/>
    <w:rsid w:val="3A34057D"/>
    <w:rsid w:val="3CFE2AD9"/>
    <w:rsid w:val="3EC79034"/>
    <w:rsid w:val="40A4BE0A"/>
    <w:rsid w:val="4119874D"/>
    <w:rsid w:val="42EC885E"/>
    <w:rsid w:val="440F045F"/>
    <w:rsid w:val="441B743B"/>
    <w:rsid w:val="450B8047"/>
    <w:rsid w:val="46933763"/>
    <w:rsid w:val="4B022A0F"/>
    <w:rsid w:val="4EA23C01"/>
    <w:rsid w:val="4EEB4C3E"/>
    <w:rsid w:val="50111100"/>
    <w:rsid w:val="5273A9AE"/>
    <w:rsid w:val="52E0CB5B"/>
    <w:rsid w:val="563B294A"/>
    <w:rsid w:val="563EF20D"/>
    <w:rsid w:val="59D45FBC"/>
    <w:rsid w:val="5B0A9C42"/>
    <w:rsid w:val="5C45DED4"/>
    <w:rsid w:val="5E50D3A1"/>
    <w:rsid w:val="6233BE84"/>
    <w:rsid w:val="641A64C0"/>
    <w:rsid w:val="6644AE28"/>
    <w:rsid w:val="67B50B41"/>
    <w:rsid w:val="67CE0E62"/>
    <w:rsid w:val="6EF1E5E4"/>
    <w:rsid w:val="6FF8BA55"/>
    <w:rsid w:val="73B5F9CD"/>
    <w:rsid w:val="74B3F244"/>
    <w:rsid w:val="74CDD2BF"/>
    <w:rsid w:val="7509756E"/>
    <w:rsid w:val="771C1620"/>
    <w:rsid w:val="77458793"/>
    <w:rsid w:val="77E82626"/>
    <w:rsid w:val="79543AD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8393627D-7529-4780-9E01-5139250D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character" w:styleId="UnresolvedMention">
    <w:name w:val="Unresolved Mention"/>
    <w:basedOn w:val="DefaultParagraphFont"/>
    <w:uiPriority w:val="99"/>
    <w:semiHidden/>
    <w:unhideWhenUsed/>
    <w:rsid w:val="00836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254">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62096385">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69001171">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38536654">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0761769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90815499">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37027717">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74063568">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65889576">
      <w:bodyDiv w:val="1"/>
      <w:marLeft w:val="0"/>
      <w:marRight w:val="0"/>
      <w:marTop w:val="0"/>
      <w:marBottom w:val="0"/>
      <w:divBdr>
        <w:top w:val="none" w:sz="0" w:space="0" w:color="auto"/>
        <w:left w:val="none" w:sz="0" w:space="0" w:color="auto"/>
        <w:bottom w:val="none" w:sz="0" w:space="0" w:color="auto"/>
        <w:right w:val="none" w:sz="0" w:space="0" w:color="auto"/>
      </w:divBdr>
    </w:div>
    <w:div w:id="1943875428">
      <w:bodyDiv w:val="1"/>
      <w:marLeft w:val="0"/>
      <w:marRight w:val="0"/>
      <w:marTop w:val="0"/>
      <w:marBottom w:val="0"/>
      <w:divBdr>
        <w:top w:val="none" w:sz="0" w:space="0" w:color="auto"/>
        <w:left w:val="none" w:sz="0" w:space="0" w:color="auto"/>
        <w:bottom w:val="none" w:sz="0" w:space="0" w:color="auto"/>
        <w:right w:val="none" w:sz="0" w:space="0" w:color="auto"/>
      </w:divBdr>
    </w:div>
    <w:div w:id="201190796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finance.ec.europa.eu/document/download/5e66f882-b00f-411e-9fd6-805ab129b5f7_en?filename=ceaob-caim-cyber-security-inspection-work-programme-2023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inance.ec.europa.eu/document/download/03a5e4e8-ae72-4971-91e8-6404c6bc7087_en?filename=ceaob-caim-risk-assessment-process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734D634A4D7546A1B6706C5F3B60CF" ma:contentTypeVersion="4" ma:contentTypeDescription="Crée un document." ma:contentTypeScope="" ma:versionID="15c4893abc04d493af46e85b4e1cde11">
  <xsd:schema xmlns:xsd="http://www.w3.org/2001/XMLSchema" xmlns:xs="http://www.w3.org/2001/XMLSchema" xmlns:p="http://schemas.microsoft.com/office/2006/metadata/properties" xmlns:ns2="5532bfa3-71c3-4127-a301-3ee9cf71398f" targetNamespace="http://schemas.microsoft.com/office/2006/metadata/properties" ma:root="true" ma:fieldsID="d24034acc12a22ead2b8610c3543c75a" ns2:_="">
    <xsd:import namespace="5532bfa3-71c3-4127-a301-3ee9cf7139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bfa3-71c3-4127-a301-3ee9cf713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A632C02F-3504-42E8-84CF-7A8E19D7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bfa3-71c3-4127-a301-3ee9cf71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10</Pages>
  <Words>2256</Words>
  <Characters>12861</Characters>
  <Application>Microsoft Office Word</Application>
  <DocSecurity>0</DocSecurity>
  <Lines>107</Lines>
  <Paragraphs>30</Paragraphs>
  <ScaleCrop>false</ScaleCrop>
  <Company>ESMA</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Elsa Venturini</cp:lastModifiedBy>
  <cp:revision>3</cp:revision>
  <cp:lastPrinted>2025-05-30T13:28:00Z</cp:lastPrinted>
  <dcterms:created xsi:type="dcterms:W3CDTF">2025-05-30T13:33:00Z</dcterms:created>
  <dcterms:modified xsi:type="dcterms:W3CDTF">2025-05-30T13:33:00Z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0x01010090734D634A4D7546A1B6706C5F3B60CF</vt:lpwstr>
  </property>
  <property fmtid="{D5CDD505-2E9C-101B-9397-08002B2CF9AE}" pid="5" name="_dlc_DocIdItemGuid">
    <vt:lpwstr>306b252d-4d0b-4395-be34-e6ec861ea3e5</vt:lpwstr>
  </property>
  <property fmtid="{D5CDD505-2E9C-101B-9397-08002B2CF9AE}" pid="6" name="DocumentType">
    <vt:lpwstr>86;#Report|78753201-1e9e-4a21-a088-6ff602b5c999</vt:lpwstr>
  </property>
  <property fmtid="{D5CDD505-2E9C-101B-9397-08002B2CF9AE}" pid="7" name="Topic">
    <vt:lpwstr>393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402;#Qualification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