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5633A7B7" w14:textId="77777777" w:rsidR="00870A24" w:rsidRDefault="00870A24" w:rsidP="00F72D28">
          <w:pPr>
            <w:pStyle w:val="Title"/>
            <w:rPr>
              <w:rFonts w:asciiTheme="minorHAnsi" w:eastAsiaTheme="minorEastAsia" w:hAnsiTheme="minorHAnsi" w:cstheme="minorBidi"/>
              <w:b w:val="0"/>
              <w:color w:val="181818" w:themeColor="background1" w:themeShade="1A"/>
              <w:spacing w:val="0"/>
              <w:sz w:val="28"/>
              <w:szCs w:val="28"/>
            </w:rPr>
          </w:pPr>
        </w:p>
        <w:p w14:paraId="3A35CA5C" w14:textId="77777777" w:rsidR="005634A3" w:rsidRDefault="005634A3" w:rsidP="00F72D28">
          <w:pPr>
            <w:pStyle w:val="Title"/>
          </w:pPr>
        </w:p>
        <w:p w14:paraId="01438AE1" w14:textId="052010EB" w:rsidR="00563C1F" w:rsidRDefault="00EC6066" w:rsidP="00F72D28">
          <w:pPr>
            <w:pStyle w:val="Title"/>
          </w:pPr>
          <w:r>
            <w:t xml:space="preserve">Reply </w:t>
          </w:r>
          <w:r w:rsidR="00DD03DC">
            <w:t>F</w:t>
          </w:r>
          <w:r>
            <w:t>orm</w:t>
          </w:r>
        </w:p>
        <w:p w14:paraId="031F2108" w14:textId="40AA087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9494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 xml:space="preserve">Draft </w:t>
          </w:r>
          <w:r w:rsidR="00392A82">
            <w:rPr>
              <w:rFonts w:cs="Arial"/>
              <w:b/>
              <w:sz w:val="36"/>
              <w:szCs w:val="36"/>
            </w:rPr>
            <w:t>implementing technical standards on the extension of the use of the alleviated format of insider lists</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10510D61" w:rsidR="002533FC" w:rsidRPr="005B6B12" w:rsidRDefault="002533FC" w:rsidP="002533FC">
          <w:r w:rsidRPr="005B6B12">
            <w:t xml:space="preserve">ESMA will consider all comments received by </w:t>
          </w:r>
          <w:r w:rsidR="009F4899">
            <w:rPr>
              <w:b/>
              <w:bCs/>
              <w:color w:val="auto"/>
            </w:rPr>
            <w:t>03</w:t>
          </w:r>
          <w:r w:rsidR="4A420E9D" w:rsidRPr="1768F097">
            <w:rPr>
              <w:b/>
              <w:bCs/>
              <w:color w:val="auto"/>
            </w:rPr>
            <w:t xml:space="preserve"> </w:t>
          </w:r>
          <w:r w:rsidR="00392A82">
            <w:rPr>
              <w:b/>
              <w:bCs/>
              <w:color w:val="auto"/>
            </w:rPr>
            <w:t>June</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09AFA9E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392A82">
            <w:rPr>
              <w:bCs/>
            </w:rPr>
            <w:t>CPIL</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8E8044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392A82">
            <w:rPr>
              <w:bCs/>
            </w:rPr>
            <w:t>CPIL</w:t>
          </w:r>
          <w:r w:rsidRPr="00C5469A">
            <w:rPr>
              <w:bCs/>
            </w:rPr>
            <w:t xml:space="preserve">_nameofrespondent. </w:t>
          </w:r>
        </w:p>
        <w:p w14:paraId="210BE93A" w14:textId="543D9B23"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392A82">
            <w:rPr>
              <w:bCs/>
            </w:rPr>
            <w:t>CPIL</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Content>
            <w:tc>
              <w:tcPr>
                <w:tcW w:w="4531" w:type="dxa"/>
              </w:tcPr>
              <w:p w14:paraId="76683ED7" w14:textId="0D0873D9" w:rsidR="00635BCA" w:rsidRPr="00557BD2" w:rsidRDefault="00D51842" w:rsidP="00D21C35">
                <w:r>
                  <w:t>EuropeanIssuers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Content>
            <w:tc>
              <w:tcPr>
                <w:tcW w:w="4531" w:type="dxa"/>
              </w:tcPr>
              <w:p w14:paraId="1185A96B" w14:textId="39D57AC0" w:rsidR="00B17279" w:rsidRDefault="00D51842" w:rsidP="00B17279">
                <w:r>
                  <w:t>Trade Association</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tc>
              <w:tcPr>
                <w:tcW w:w="4531" w:type="dxa"/>
              </w:tcPr>
              <w:p w14:paraId="10359AFE" w14:textId="23D8B2E3" w:rsidR="00B17279" w:rsidRDefault="00444A3E" w:rsidP="00B17279">
                <w:r>
                  <w:rPr>
                    <w:rFonts w:ascii="MS Gothic" w:eastAsia="MS Gothic" w:hAnsi="MS Gothic" w:hint="eastAsia"/>
                  </w:rPr>
                  <w:t>☐</w:t>
                </w:r>
              </w:p>
            </w:tc>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104175425" w:edGrp="everyone" w:displacedByCustomXml="prev"/>
            <w:tc>
              <w:tcPr>
                <w:tcW w:w="4531" w:type="dxa"/>
              </w:tcPr>
              <w:p w14:paraId="6A619B85" w14:textId="2EA81541" w:rsidR="00B17279" w:rsidRPr="00557BD2" w:rsidRDefault="00D51842" w:rsidP="00B17279">
                <w:r>
                  <w:t>Belgium</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Heading1"/>
        <w:rPr>
          <w:lang w:val="fr-BE"/>
        </w:rPr>
      </w:pPr>
      <w:r w:rsidRPr="00557BD2">
        <w:rPr>
          <w:lang w:val="fr-BE"/>
        </w:rPr>
        <w:t>Questions</w:t>
      </w:r>
    </w:p>
    <w:p w14:paraId="6C4AF3A4" w14:textId="37A86A58"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agree with the proposed approach? Please explain. </w:t>
      </w:r>
      <w:r w:rsidR="009B1E21" w:rsidRPr="008605FA">
        <w:t xml:space="preserve"> </w:t>
      </w:r>
    </w:p>
    <w:p w14:paraId="1271C14F" w14:textId="33769F09" w:rsidR="009B1E21" w:rsidRDefault="009B1E21" w:rsidP="009B1E21">
      <w:r>
        <w:t>&lt;ESMA_QUESTION_</w:t>
      </w:r>
      <w:r w:rsidR="00392A82">
        <w:t>CPIL</w:t>
      </w:r>
      <w:r>
        <w:t>_1&gt;</w:t>
      </w:r>
    </w:p>
    <w:p w14:paraId="6F3F9702" w14:textId="77777777" w:rsidR="00854477" w:rsidRDefault="00854477" w:rsidP="00854477">
      <w:pPr>
        <w:rPr>
          <w:rFonts w:ascii="Calibri" w:hAnsi="Calibri" w:cs="Calibri"/>
          <w:color w:val="auto"/>
          <w:szCs w:val="22"/>
        </w:rPr>
      </w:pPr>
      <w:permStart w:id="627510576" w:edGrp="everyone"/>
      <w:r w:rsidRPr="004F74C2">
        <w:rPr>
          <w:rFonts w:ascii="Calibri" w:hAnsi="Calibri" w:cs="Calibri"/>
          <w:color w:val="auto"/>
          <w:szCs w:val="22"/>
        </w:rPr>
        <w:t xml:space="preserve">Art. 18.9, as amended by the Listing Act, mandates ESMA to review its </w:t>
      </w:r>
      <w:proofErr w:type="spellStart"/>
      <w:r w:rsidRPr="004F74C2">
        <w:rPr>
          <w:rFonts w:ascii="Calibri" w:hAnsi="Calibri" w:cs="Calibri"/>
          <w:color w:val="auto"/>
          <w:szCs w:val="22"/>
        </w:rPr>
        <w:t>ITS</w:t>
      </w:r>
      <w:proofErr w:type="spellEnd"/>
      <w:r w:rsidRPr="004F74C2">
        <w:rPr>
          <w:rFonts w:ascii="Calibri" w:hAnsi="Calibri" w:cs="Calibri"/>
          <w:color w:val="auto"/>
          <w:szCs w:val="22"/>
        </w:rPr>
        <w:t xml:space="preserve"> to extend the alleviated format of the insider list for SME GM issuers to all issuers.</w:t>
      </w:r>
    </w:p>
    <w:p w14:paraId="75910F80" w14:textId="4496511F" w:rsidR="00854477" w:rsidRDefault="00854477" w:rsidP="00854477">
      <w:pPr>
        <w:rPr>
          <w:rFonts w:ascii="Calibri" w:hAnsi="Calibri" w:cs="Calibri"/>
          <w:color w:val="auto"/>
          <w:szCs w:val="22"/>
        </w:rPr>
      </w:pPr>
      <w:r w:rsidRPr="004F74C2">
        <w:rPr>
          <w:rFonts w:ascii="Calibri" w:hAnsi="Calibri" w:cs="Calibri"/>
          <w:color w:val="auto"/>
          <w:szCs w:val="22"/>
        </w:rPr>
        <w:t>Even though we welcome the alleviations proposed in the Consultation Paper</w:t>
      </w:r>
      <w:r>
        <w:rPr>
          <w:rFonts w:ascii="Calibri" w:hAnsi="Calibri" w:cs="Calibri"/>
          <w:color w:val="auto"/>
          <w:szCs w:val="22"/>
        </w:rPr>
        <w:t xml:space="preserve"> and even though we are aware of the fact that this issue is not in the remit of ESMA, </w:t>
      </w:r>
      <w:r w:rsidRPr="004F74C2">
        <w:rPr>
          <w:rFonts w:ascii="Calibri" w:hAnsi="Calibri" w:cs="Calibri"/>
          <w:color w:val="auto"/>
          <w:szCs w:val="22"/>
        </w:rPr>
        <w:t xml:space="preserve">we still believe that a real burden reduction could </w:t>
      </w:r>
      <w:r>
        <w:rPr>
          <w:rFonts w:ascii="Calibri" w:hAnsi="Calibri" w:cs="Calibri"/>
          <w:color w:val="auto"/>
          <w:szCs w:val="22"/>
        </w:rPr>
        <w:t xml:space="preserve">have </w:t>
      </w:r>
      <w:r w:rsidRPr="004F74C2">
        <w:rPr>
          <w:rFonts w:ascii="Calibri" w:hAnsi="Calibri" w:cs="Calibri"/>
          <w:color w:val="auto"/>
          <w:szCs w:val="22"/>
        </w:rPr>
        <w:t>be</w:t>
      </w:r>
      <w:r>
        <w:rPr>
          <w:rFonts w:ascii="Calibri" w:hAnsi="Calibri" w:cs="Calibri"/>
          <w:color w:val="auto"/>
          <w:szCs w:val="22"/>
        </w:rPr>
        <w:t>en</w:t>
      </w:r>
      <w:r w:rsidRPr="004F74C2">
        <w:rPr>
          <w:rFonts w:ascii="Calibri" w:hAnsi="Calibri" w:cs="Calibri"/>
          <w:color w:val="auto"/>
          <w:szCs w:val="22"/>
        </w:rPr>
        <w:t xml:space="preserve"> achieved </w:t>
      </w:r>
      <w:r>
        <w:rPr>
          <w:rFonts w:ascii="Calibri" w:hAnsi="Calibri" w:cs="Calibri"/>
          <w:color w:val="auto"/>
          <w:szCs w:val="22"/>
        </w:rPr>
        <w:t xml:space="preserve">with the Listing Act, </w:t>
      </w:r>
      <w:r w:rsidRPr="004F74C2">
        <w:rPr>
          <w:rFonts w:ascii="Calibri" w:hAnsi="Calibri" w:cs="Calibri"/>
          <w:color w:val="auto"/>
          <w:szCs w:val="22"/>
        </w:rPr>
        <w:t>through the deletion of the insider list given</w:t>
      </w:r>
      <w:r>
        <w:rPr>
          <w:rFonts w:ascii="Calibri" w:hAnsi="Calibri" w:cs="Calibri"/>
          <w:color w:val="auto"/>
          <w:szCs w:val="22"/>
        </w:rPr>
        <w:t xml:space="preserve"> </w:t>
      </w:r>
      <w:r w:rsidRPr="004F74C2">
        <w:rPr>
          <w:rFonts w:ascii="Calibri" w:hAnsi="Calibri" w:cs="Calibri"/>
          <w:color w:val="auto"/>
          <w:szCs w:val="22"/>
        </w:rPr>
        <w:t xml:space="preserve">that the NCAs should have all necessary resources and powers to detect market abuse and identify the persons involved in a transaction in accordance with Article 23 of MAR (for instance by requiring telephone conversations or data traffic records held by investment firms or telecommunications operators). Member States should ensure that their NCAs have the means to fulfil their mission. This responsibility should not be transferred to issuers. If a NCA encounters limitations due to national law, this situation should be addressed at </w:t>
      </w:r>
      <w:r>
        <w:rPr>
          <w:rFonts w:ascii="Calibri" w:hAnsi="Calibri" w:cs="Calibri"/>
          <w:color w:val="auto"/>
          <w:szCs w:val="22"/>
        </w:rPr>
        <w:t xml:space="preserve">the </w:t>
      </w:r>
      <w:r w:rsidRPr="004F74C2">
        <w:rPr>
          <w:rFonts w:ascii="Calibri" w:hAnsi="Calibri" w:cs="Calibri"/>
          <w:color w:val="auto"/>
          <w:szCs w:val="22"/>
        </w:rPr>
        <w:t>domestic level.</w:t>
      </w:r>
      <w:r>
        <w:rPr>
          <w:rFonts w:ascii="Calibri" w:hAnsi="Calibri" w:cs="Calibri"/>
          <w:color w:val="auto"/>
          <w:szCs w:val="22"/>
        </w:rPr>
        <w:t xml:space="preserve"> </w:t>
      </w:r>
      <w:r w:rsidRPr="004F74C2">
        <w:rPr>
          <w:rFonts w:ascii="Calibri" w:hAnsi="Calibri" w:cs="Calibri"/>
          <w:color w:val="auto"/>
          <w:szCs w:val="22"/>
        </w:rPr>
        <w:t xml:space="preserve">However, we think that the </w:t>
      </w:r>
      <w:r>
        <w:rPr>
          <w:rFonts w:ascii="Calibri" w:hAnsi="Calibri" w:cs="Calibri"/>
          <w:color w:val="auto"/>
          <w:szCs w:val="22"/>
        </w:rPr>
        <w:t xml:space="preserve">future possible </w:t>
      </w:r>
      <w:r w:rsidRPr="004F74C2">
        <w:rPr>
          <w:rFonts w:ascii="Calibri" w:hAnsi="Calibri" w:cs="Calibri"/>
          <w:color w:val="auto"/>
          <w:szCs w:val="22"/>
        </w:rPr>
        <w:t xml:space="preserve">deletion of the insider list from the Market Abuse Regulation </w:t>
      </w:r>
      <w:r>
        <w:rPr>
          <w:rFonts w:ascii="Calibri" w:hAnsi="Calibri" w:cs="Calibri"/>
          <w:color w:val="auto"/>
          <w:szCs w:val="22"/>
        </w:rPr>
        <w:t xml:space="preserve">would </w:t>
      </w:r>
      <w:r w:rsidRPr="004F74C2">
        <w:rPr>
          <w:rFonts w:ascii="Calibri" w:hAnsi="Calibri" w:cs="Calibri"/>
          <w:color w:val="auto"/>
          <w:szCs w:val="22"/>
        </w:rPr>
        <w:t>not prevent companies from keeping their own insider lists on a voluntary basis</w:t>
      </w:r>
      <w:r>
        <w:rPr>
          <w:rFonts w:ascii="Calibri" w:hAnsi="Calibri" w:cs="Calibri"/>
          <w:color w:val="auto"/>
          <w:szCs w:val="22"/>
        </w:rPr>
        <w:t>.</w:t>
      </w:r>
    </w:p>
    <w:p w14:paraId="590C915E" w14:textId="77777777" w:rsidR="00854477" w:rsidRPr="00104818" w:rsidRDefault="00854477" w:rsidP="00854477">
      <w:pPr>
        <w:rPr>
          <w:rFonts w:ascii="Calibri" w:hAnsi="Calibri" w:cs="Calibri"/>
          <w:color w:val="auto"/>
          <w:szCs w:val="22"/>
        </w:rPr>
      </w:pPr>
      <w:r w:rsidRPr="00104818">
        <w:rPr>
          <w:rFonts w:ascii="Calibri" w:hAnsi="Calibri" w:cs="Calibri"/>
          <w:color w:val="auto"/>
          <w:szCs w:val="22"/>
        </w:rPr>
        <w:t xml:space="preserve">We therefore would welcome </w:t>
      </w:r>
      <w:r w:rsidRPr="00104818">
        <w:rPr>
          <w:rFonts w:ascii="Calibri" w:hAnsi="Calibri" w:cs="Calibri"/>
          <w:color w:val="auto"/>
          <w:sz w:val="21"/>
          <w:szCs w:val="21"/>
          <w:shd w:val="clear" w:color="auto" w:fill="FFFFFF"/>
        </w:rPr>
        <w:t>a reassessment of the issue around the possible deletion of insider lists, particularly in the context of a potential future review of the Level 1 text.</w:t>
      </w:r>
    </w:p>
    <w:p w14:paraId="5231A454" w14:textId="77777777" w:rsidR="00854477" w:rsidRDefault="00854477" w:rsidP="00854477">
      <w:pPr>
        <w:spacing w:after="0" w:line="259" w:lineRule="auto"/>
        <w:contextualSpacing/>
        <w:rPr>
          <w:rFonts w:ascii="Calibri" w:hAnsi="Calibri" w:cs="Calibri"/>
          <w:color w:val="auto"/>
        </w:rPr>
      </w:pPr>
      <w:r>
        <w:rPr>
          <w:rFonts w:ascii="Calibri" w:hAnsi="Calibri" w:cs="Calibri"/>
          <w:color w:val="auto"/>
        </w:rPr>
        <w:t>However</w:t>
      </w:r>
      <w:r w:rsidRPr="00831E71">
        <w:rPr>
          <w:rFonts w:ascii="Calibri" w:hAnsi="Calibri" w:cs="Calibri"/>
          <w:color w:val="auto"/>
        </w:rPr>
        <w:t xml:space="preserve">, we suggest eliminating the following requirements, namely </w:t>
      </w:r>
      <w:proofErr w:type="gramStart"/>
      <w:r w:rsidRPr="00831E71">
        <w:rPr>
          <w:rFonts w:ascii="Calibri" w:hAnsi="Calibri" w:cs="Calibri"/>
          <w:color w:val="auto"/>
        </w:rPr>
        <w:t>in regard to</w:t>
      </w:r>
      <w:proofErr w:type="gramEnd"/>
      <w:r w:rsidRPr="00831E71">
        <w:rPr>
          <w:rFonts w:ascii="Calibri" w:hAnsi="Calibri" w:cs="Calibri"/>
          <w:color w:val="auto"/>
        </w:rPr>
        <w:t xml:space="preserve"> Template 1 of Annex I:</w:t>
      </w:r>
    </w:p>
    <w:p w14:paraId="557A1AE8" w14:textId="77777777" w:rsidR="00854477" w:rsidRPr="00831E71" w:rsidRDefault="00854477" w:rsidP="00854477">
      <w:pPr>
        <w:pStyle w:val="ListParagraph"/>
        <w:numPr>
          <w:ilvl w:val="0"/>
          <w:numId w:val="17"/>
        </w:numPr>
        <w:spacing w:after="0" w:line="259" w:lineRule="auto"/>
        <w:contextualSpacing/>
        <w:rPr>
          <w:rFonts w:ascii="Calibri" w:hAnsi="Calibri" w:cs="Calibri"/>
          <w:color w:val="auto"/>
          <w:lang w:val="en-GB"/>
        </w:rPr>
      </w:pPr>
      <w:r w:rsidRPr="00831E71">
        <w:rPr>
          <w:rFonts w:ascii="Calibri" w:hAnsi="Calibri" w:cs="Calibri"/>
          <w:b/>
          <w:bCs/>
          <w:color w:val="auto"/>
          <w:lang w:val="en-GB"/>
        </w:rPr>
        <w:t xml:space="preserve">Require professional email address(es) </w:t>
      </w:r>
      <w:r w:rsidRPr="00831E71">
        <w:rPr>
          <w:rFonts w:ascii="Calibri" w:hAnsi="Calibri" w:cs="Calibri"/>
          <w:color w:val="auto"/>
          <w:lang w:val="en-GB"/>
        </w:rPr>
        <w:t>instead of “professional telephone number(s)”. In most companies, telephones are paired with computers.</w:t>
      </w:r>
    </w:p>
    <w:p w14:paraId="486721CE" w14:textId="0AA2853F" w:rsidR="00854477" w:rsidRDefault="00854477" w:rsidP="00854477">
      <w:pPr>
        <w:pStyle w:val="ListParagraph"/>
        <w:numPr>
          <w:ilvl w:val="0"/>
          <w:numId w:val="17"/>
        </w:numPr>
        <w:spacing w:after="0" w:line="259" w:lineRule="auto"/>
        <w:contextualSpacing/>
        <w:rPr>
          <w:rFonts w:ascii="Calibri" w:hAnsi="Calibri" w:cs="Calibri"/>
          <w:color w:val="auto"/>
          <w:lang w:val="en-GB"/>
        </w:rPr>
      </w:pPr>
      <w:r w:rsidRPr="00831E71">
        <w:rPr>
          <w:rFonts w:ascii="Calibri" w:hAnsi="Calibri" w:cs="Calibri"/>
          <w:color w:val="auto"/>
          <w:lang w:val="en-GB"/>
        </w:rPr>
        <w:lastRenderedPageBreak/>
        <w:t>The time at which the insider obtained access</w:t>
      </w:r>
      <w:r>
        <w:rPr>
          <w:rFonts w:ascii="Calibri" w:hAnsi="Calibri" w:cs="Calibri"/>
          <w:color w:val="auto"/>
          <w:lang w:val="en-GB"/>
        </w:rPr>
        <w:t xml:space="preserve"> and lost access </w:t>
      </w:r>
      <w:r w:rsidRPr="00831E71">
        <w:rPr>
          <w:rFonts w:ascii="Calibri" w:hAnsi="Calibri" w:cs="Calibri"/>
          <w:color w:val="auto"/>
          <w:lang w:val="en-GB"/>
        </w:rPr>
        <w:t xml:space="preserve">to inside information should be displayed using the </w:t>
      </w:r>
      <w:r w:rsidRPr="00831E71">
        <w:rPr>
          <w:rFonts w:ascii="Calibri" w:hAnsi="Calibri" w:cs="Calibri"/>
          <w:b/>
          <w:bCs/>
          <w:color w:val="auto"/>
          <w:lang w:val="en-GB"/>
        </w:rPr>
        <w:t>local time of the country where the issuer’s head office is located</w:t>
      </w:r>
      <w:r w:rsidRPr="00831E71">
        <w:rPr>
          <w:rFonts w:ascii="Calibri" w:hAnsi="Calibri" w:cs="Calibri"/>
          <w:color w:val="auto"/>
          <w:lang w:val="en-GB"/>
        </w:rPr>
        <w:t xml:space="preserve"> </w:t>
      </w:r>
      <w:r>
        <w:rPr>
          <w:rFonts w:ascii="Calibri" w:hAnsi="Calibri" w:cs="Calibri"/>
          <w:color w:val="auto"/>
          <w:lang w:val="en-GB"/>
        </w:rPr>
        <w:t>or</w:t>
      </w:r>
      <w:r w:rsidRPr="00831E71">
        <w:rPr>
          <w:rFonts w:ascii="Calibri" w:hAnsi="Calibri" w:cs="Calibri"/>
          <w:color w:val="auto"/>
          <w:lang w:val="en-GB"/>
        </w:rPr>
        <w:t xml:space="preserve"> “UTC</w:t>
      </w:r>
      <w:r>
        <w:rPr>
          <w:rFonts w:ascii="Calibri" w:hAnsi="Calibri" w:cs="Calibri"/>
          <w:color w:val="auto"/>
          <w:lang w:val="en-GB"/>
        </w:rPr>
        <w:t>”.</w:t>
      </w:r>
    </w:p>
    <w:p w14:paraId="3788A86A" w14:textId="77777777" w:rsidR="00854477" w:rsidRPr="00831E71" w:rsidRDefault="00854477" w:rsidP="00854477">
      <w:pPr>
        <w:pStyle w:val="ListParagraph"/>
        <w:numPr>
          <w:ilvl w:val="0"/>
          <w:numId w:val="17"/>
        </w:numPr>
        <w:spacing w:after="0" w:line="259" w:lineRule="auto"/>
        <w:contextualSpacing/>
        <w:rPr>
          <w:rFonts w:ascii="Calibri" w:hAnsi="Calibri" w:cs="Calibri"/>
          <w:color w:val="auto"/>
          <w:lang w:val="en-GB"/>
        </w:rPr>
      </w:pPr>
      <w:r w:rsidRPr="00831E71">
        <w:rPr>
          <w:rFonts w:ascii="Calibri" w:hAnsi="Calibri" w:cs="Calibri"/>
          <w:b/>
          <w:bCs/>
          <w:color w:val="auto"/>
          <w:lang w:val="en-GB"/>
        </w:rPr>
        <w:t xml:space="preserve">Maintain the requirement to include the “Date of birth” </w:t>
      </w:r>
      <w:r w:rsidRPr="00831E71">
        <w:rPr>
          <w:rFonts w:ascii="Calibri" w:hAnsi="Calibri" w:cs="Calibri"/>
          <w:color w:val="auto"/>
          <w:lang w:val="en-GB"/>
        </w:rPr>
        <w:t xml:space="preserve">and delete the “National Identification Number”. </w:t>
      </w:r>
      <w:r w:rsidRPr="00F66DC1">
        <w:rPr>
          <w:rFonts w:ascii="Calibri" w:hAnsi="Calibri" w:cs="Calibri"/>
          <w:color w:val="auto"/>
          <w:lang w:val="en-GB"/>
        </w:rPr>
        <w:t>The name and date of birth will suffice to identify a person.</w:t>
      </w:r>
    </w:p>
    <w:p w14:paraId="10B1B66A" w14:textId="145B1651" w:rsidR="00854477" w:rsidRDefault="00854477" w:rsidP="00854477">
      <w:pPr>
        <w:rPr>
          <w:rFonts w:ascii="Calibri" w:hAnsi="Calibri" w:cs="Calibri"/>
          <w:color w:val="auto"/>
          <w:szCs w:val="22"/>
        </w:rPr>
      </w:pPr>
      <w:r w:rsidRPr="00831E71">
        <w:rPr>
          <w:rFonts w:ascii="Calibri" w:hAnsi="Calibri" w:cs="Calibri"/>
          <w:color w:val="auto"/>
          <w:szCs w:val="22"/>
        </w:rPr>
        <w:t>We suggest the same amendments regarding template 2 of Annex I with respect to: professional telephone numbers, the time at which the insider was included in</w:t>
      </w:r>
      <w:r>
        <w:rPr>
          <w:rFonts w:ascii="Calibri" w:hAnsi="Calibri" w:cs="Calibri"/>
          <w:color w:val="auto"/>
          <w:szCs w:val="22"/>
        </w:rPr>
        <w:t xml:space="preserve"> and removed from </w:t>
      </w:r>
      <w:r w:rsidRPr="00831E71">
        <w:rPr>
          <w:rFonts w:ascii="Calibri" w:hAnsi="Calibri" w:cs="Calibri"/>
          <w:color w:val="auto"/>
          <w:szCs w:val="22"/>
        </w:rPr>
        <w:t>the permanent insider list, the date of birth and the national identification number. In addition, we consider that the “Company name and address” item is useless and could be deleted.</w:t>
      </w:r>
    </w:p>
    <w:permEnd w:id="627510576"/>
    <w:p w14:paraId="0D7538F4" w14:textId="55124EF2" w:rsidR="009B1E21" w:rsidRDefault="009B1E21" w:rsidP="009B1E21">
      <w:r>
        <w:t>&lt;ESMA_QUESTION_</w:t>
      </w:r>
      <w:r w:rsidR="00392A82">
        <w:t>CPIL</w:t>
      </w:r>
      <w:r>
        <w:t>_1&gt;</w:t>
      </w:r>
    </w:p>
    <w:p w14:paraId="6516A674" w14:textId="77777777" w:rsidR="009B1E21" w:rsidRDefault="009B1E21" w:rsidP="009B1E21"/>
    <w:p w14:paraId="30FCAAB9" w14:textId="07A9690F" w:rsidR="009B1E21" w:rsidRPr="00392A82" w:rsidRDefault="00392A82" w:rsidP="00392A82">
      <w:pPr>
        <w:pStyle w:val="Questionstyle"/>
        <w:numPr>
          <w:ilvl w:val="0"/>
          <w:numId w:val="16"/>
        </w:numPr>
        <w:tabs>
          <w:tab w:val="clear" w:pos="567"/>
        </w:tabs>
        <w:spacing w:after="240" w:line="259" w:lineRule="auto"/>
        <w:ind w:left="851" w:hanging="851"/>
        <w:contextualSpacing w:val="0"/>
      </w:pPr>
      <w:r w:rsidRPr="00392A82">
        <w:t xml:space="preserve">Do you consider the permanent section of the insider list for all issuers (and SMEs GM issuers in those MS that have opted out of the simplified regime) contained in Annex I useful? </w:t>
      </w:r>
    </w:p>
    <w:p w14:paraId="682E5B57" w14:textId="07476275" w:rsidR="009B1E21" w:rsidRDefault="009B1E21" w:rsidP="009B1E21">
      <w:r>
        <w:t>&lt;ESMA_QUESTION_</w:t>
      </w:r>
      <w:r w:rsidR="00392A82" w:rsidRPr="00392A82">
        <w:t xml:space="preserve"> </w:t>
      </w:r>
      <w:r w:rsidR="00392A82">
        <w:t>CPIL</w:t>
      </w:r>
      <w:r>
        <w:t>_2&gt;</w:t>
      </w:r>
    </w:p>
    <w:p w14:paraId="5C49CD7F" w14:textId="36BB5A65" w:rsidR="00D8462C" w:rsidRPr="00D8462C" w:rsidRDefault="004F74C2" w:rsidP="00D8462C">
      <w:pPr>
        <w:rPr>
          <w:rFonts w:ascii="Calibri" w:hAnsi="Calibri" w:cs="Calibri"/>
          <w:color w:val="auto"/>
          <w:szCs w:val="22"/>
        </w:rPr>
      </w:pPr>
      <w:permStart w:id="55053902" w:edGrp="everyone"/>
      <w:r w:rsidRPr="004F74C2">
        <w:rPr>
          <w:rFonts w:ascii="Calibri" w:hAnsi="Calibri" w:cs="Calibri"/>
          <w:color w:val="auto"/>
          <w:szCs w:val="22"/>
        </w:rPr>
        <w:t xml:space="preserve">See our answer above. </w:t>
      </w:r>
    </w:p>
    <w:p w14:paraId="73CC8A93" w14:textId="72D4CCE7" w:rsidR="004F74C2" w:rsidRDefault="004F74C2" w:rsidP="00D8462C">
      <w:pPr>
        <w:rPr>
          <w:rFonts w:ascii="Calibri" w:hAnsi="Calibri" w:cs="Calibri"/>
          <w:color w:val="auto"/>
          <w:szCs w:val="22"/>
        </w:rPr>
      </w:pPr>
      <w:r w:rsidRPr="004F74C2">
        <w:rPr>
          <w:rFonts w:ascii="Calibri" w:hAnsi="Calibri" w:cs="Calibri"/>
          <w:color w:val="auto"/>
          <w:szCs w:val="22"/>
        </w:rPr>
        <w:t xml:space="preserve">We would also like to reiterate an issue that has not been tackled in the Listing Act concerning </w:t>
      </w:r>
      <w:r w:rsidR="00854477">
        <w:rPr>
          <w:rFonts w:ascii="Calibri" w:hAnsi="Calibri" w:cs="Calibri"/>
          <w:color w:val="auto"/>
          <w:szCs w:val="22"/>
        </w:rPr>
        <w:t xml:space="preserve">the </w:t>
      </w:r>
      <w:r w:rsidRPr="004F74C2">
        <w:rPr>
          <w:rFonts w:ascii="Calibri" w:hAnsi="Calibri" w:cs="Calibri"/>
          <w:color w:val="auto"/>
          <w:szCs w:val="22"/>
        </w:rPr>
        <w:t>insider list and external provider; we refer to ESMA’s Final Report on MAR Review dated September 2020 which proposed to amend MAR “to permit the issuer to include only the details of a natural person for each legal person acting on its behalf or on its account having access to inside information and each one of those legal persons should include in their own insiders list the natural persons or one contact of a natural person for legal persons accessing that piece of inside information working for them under a contract of employment or under any other type of arrangement in the same terms (i.e. they can include one contact person per external provider)”. (</w:t>
      </w:r>
      <w:proofErr w:type="gramStart"/>
      <w:r w:rsidRPr="004F74C2">
        <w:rPr>
          <w:rFonts w:ascii="Calibri" w:hAnsi="Calibri" w:cs="Calibri"/>
          <w:color w:val="auto"/>
          <w:szCs w:val="22"/>
        </w:rPr>
        <w:t>see</w:t>
      </w:r>
      <w:proofErr w:type="gramEnd"/>
      <w:r w:rsidRPr="004F74C2">
        <w:rPr>
          <w:rFonts w:ascii="Calibri" w:hAnsi="Calibri" w:cs="Calibri"/>
          <w:color w:val="auto"/>
          <w:szCs w:val="22"/>
        </w:rPr>
        <w:t xml:space="preserve"> ESMA MAR Review Report September 2020, par</w:t>
      </w:r>
      <w:r w:rsidR="00854477">
        <w:rPr>
          <w:rFonts w:ascii="Calibri" w:hAnsi="Calibri" w:cs="Calibri"/>
          <w:color w:val="auto"/>
          <w:szCs w:val="22"/>
        </w:rPr>
        <w:t>a</w:t>
      </w:r>
      <w:r w:rsidRPr="004F74C2">
        <w:rPr>
          <w:rFonts w:ascii="Calibri" w:hAnsi="Calibri" w:cs="Calibri"/>
          <w:color w:val="auto"/>
          <w:szCs w:val="22"/>
        </w:rPr>
        <w:t>. 369).</w:t>
      </w:r>
    </w:p>
    <w:p w14:paraId="360DEE1D" w14:textId="6CA961D1" w:rsidR="009B1E21" w:rsidRDefault="00D8462C" w:rsidP="009B1E21">
      <w:r w:rsidRPr="00D8462C">
        <w:rPr>
          <w:rFonts w:ascii="Calibri" w:hAnsi="Calibri" w:cs="Calibri"/>
          <w:color w:val="auto"/>
          <w:szCs w:val="22"/>
        </w:rPr>
        <w:t>Considering the existing different interpretations in the Member States</w:t>
      </w:r>
      <w:r>
        <w:rPr>
          <w:rStyle w:val="FootnoteReference"/>
          <w:rFonts w:cs="Calibri"/>
          <w:color w:val="auto"/>
          <w:szCs w:val="22"/>
        </w:rPr>
        <w:footnoteReference w:id="2"/>
      </w:r>
      <w:r w:rsidRPr="00D8462C">
        <w:rPr>
          <w:rFonts w:ascii="Calibri" w:hAnsi="Calibri" w:cs="Calibri"/>
          <w:color w:val="auto"/>
          <w:szCs w:val="22"/>
        </w:rPr>
        <w:t xml:space="preserve">, a clarification along the lines mentioned </w:t>
      </w:r>
      <w:r>
        <w:rPr>
          <w:rFonts w:ascii="Calibri" w:hAnsi="Calibri" w:cs="Calibri"/>
          <w:color w:val="auto"/>
          <w:szCs w:val="22"/>
        </w:rPr>
        <w:t xml:space="preserve">above </w:t>
      </w:r>
      <w:r w:rsidRPr="00D8462C">
        <w:rPr>
          <w:rFonts w:ascii="Calibri" w:hAnsi="Calibri" w:cs="Calibri"/>
          <w:color w:val="auto"/>
          <w:szCs w:val="22"/>
        </w:rPr>
        <w:t xml:space="preserve">could be included in the text of the ITS or in the final report. </w:t>
      </w:r>
      <w:permEnd w:id="55053902"/>
      <w:r w:rsidR="009B1E21">
        <w:t>&lt;ESMA_QUESTION_</w:t>
      </w:r>
      <w:r w:rsidR="00392A82" w:rsidRPr="00392A82">
        <w:t xml:space="preserve"> </w:t>
      </w:r>
      <w:r w:rsidR="00392A82">
        <w:t>CPIL</w:t>
      </w:r>
      <w:r w:rsidR="009B1E21">
        <w:t>_2&gt;</w:t>
      </w:r>
    </w:p>
    <w:p w14:paraId="4F7495DE" w14:textId="77777777" w:rsidR="009B1E21" w:rsidRDefault="009B1E21" w:rsidP="009B1E21"/>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1CD6" w14:textId="77777777" w:rsidR="000E1536" w:rsidRDefault="000E1536" w:rsidP="007E7997">
      <w:pPr>
        <w:spacing w:line="240" w:lineRule="auto"/>
      </w:pPr>
      <w:r>
        <w:separator/>
      </w:r>
    </w:p>
  </w:endnote>
  <w:endnote w:type="continuationSeparator" w:id="0">
    <w:p w14:paraId="51570CB3" w14:textId="77777777" w:rsidR="000E1536" w:rsidRDefault="000E1536" w:rsidP="007E7997">
      <w:pPr>
        <w:spacing w:line="240" w:lineRule="auto"/>
      </w:pPr>
      <w:r>
        <w:continuationSeparator/>
      </w:r>
    </w:p>
  </w:endnote>
  <w:endnote w:type="continuationNotice" w:id="1">
    <w:p w14:paraId="709C0698" w14:textId="77777777" w:rsidR="000E1536" w:rsidRDefault="000E1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2582" w14:textId="77777777" w:rsidR="000E1536" w:rsidRDefault="000E1536" w:rsidP="007E7997">
      <w:pPr>
        <w:spacing w:line="240" w:lineRule="auto"/>
      </w:pPr>
      <w:r>
        <w:separator/>
      </w:r>
    </w:p>
  </w:footnote>
  <w:footnote w:type="continuationSeparator" w:id="0">
    <w:p w14:paraId="5792A1F2" w14:textId="77777777" w:rsidR="000E1536" w:rsidRDefault="000E1536" w:rsidP="007E7997">
      <w:pPr>
        <w:spacing w:line="240" w:lineRule="auto"/>
      </w:pPr>
      <w:r>
        <w:continuationSeparator/>
      </w:r>
    </w:p>
  </w:footnote>
  <w:footnote w:type="continuationNotice" w:id="1">
    <w:p w14:paraId="6960A35E" w14:textId="77777777" w:rsidR="000E1536" w:rsidRDefault="000E1536">
      <w:pPr>
        <w:spacing w:after="0" w:line="240" w:lineRule="auto"/>
      </w:pPr>
    </w:p>
  </w:footnote>
  <w:footnote w:id="2">
    <w:p w14:paraId="1803E0B8" w14:textId="5F8DEC98" w:rsidR="00D8462C" w:rsidRPr="00D8462C" w:rsidRDefault="00D8462C">
      <w:pPr>
        <w:pStyle w:val="FootnoteText"/>
        <w:rPr>
          <w:color w:val="auto"/>
        </w:rPr>
      </w:pPr>
      <w:r>
        <w:rPr>
          <w:rStyle w:val="FootnoteReference"/>
        </w:rPr>
        <w:footnoteRef/>
      </w:r>
      <w:r>
        <w:t xml:space="preserve"> </w:t>
      </w:r>
      <w:r w:rsidRPr="00D8462C">
        <w:rPr>
          <w:color w:val="auto"/>
          <w:sz w:val="20"/>
        </w:rPr>
        <w:t>According to Consob Guidelines, if the issuer has a relationship with a legal person (third party working for the issuer), the issuer must insert the contact details of all the natural persons who, according to the issuer’s knowledge, have access to inside information of the issuer (see Consob Guidelines on the management of inside information, October 2017, par</w:t>
      </w:r>
      <w:r w:rsidR="00854477">
        <w:rPr>
          <w:color w:val="auto"/>
          <w:sz w:val="20"/>
        </w:rPr>
        <w:t>a</w:t>
      </w:r>
      <w:r w:rsidRPr="00D8462C">
        <w:rPr>
          <w:color w:val="auto"/>
          <w:sz w:val="20"/>
        </w:rPr>
        <w:t>. 5.2.6).</w:t>
      </w:r>
      <w:r w:rsidRPr="00D8462C">
        <w:rPr>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FB06AF8" w:rsidR="00D77369" w:rsidRPr="00A51B24" w:rsidRDefault="00D77369" w:rsidP="008858FE">
    <w:pPr>
      <w:pStyle w:val="Header"/>
      <w:rPr>
        <w:bCs/>
        <w:caps/>
        <w:color w:val="FF0000" w:themeColor="accent6"/>
        <w:sz w:val="22"/>
      </w:rPr>
    </w:pPr>
    <w:r w:rsidRPr="00A51B24">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25C85">
      <w:t>02</w:t>
    </w:r>
    <w:r w:rsidR="00306F0E" w:rsidRPr="00A51B24">
      <w:t xml:space="preserve"> </w:t>
    </w:r>
    <w:r w:rsidR="00A51B24" w:rsidRPr="00A51B24">
      <w:t>April</w:t>
    </w:r>
    <w:r w:rsidR="00EB238F" w:rsidRPr="00A51B24">
      <w:t xml:space="preserve"> </w:t>
    </w:r>
    <w:r w:rsidR="00A51B24" w:rsidRPr="00A51B24">
      <w:t>2025</w:t>
    </w:r>
  </w:p>
  <w:p w14:paraId="10BD5565" w14:textId="4C9F0B0B" w:rsidR="008858FE" w:rsidRDefault="00A51B24" w:rsidP="00A51B24">
    <w:pPr>
      <w:jc w:val="right"/>
    </w:pPr>
    <w:r w:rsidRPr="00A51B24">
      <w:rPr>
        <w:color w:val="001B4F" w:themeColor="text1" w:themeShade="80"/>
        <w:sz w:val="16"/>
      </w:rPr>
      <w:t>ESMA74-268544963-1487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F6C45"/>
    <w:multiLevelType w:val="hybridMultilevel"/>
    <w:tmpl w:val="DDAA3EC2"/>
    <w:lvl w:ilvl="0" w:tplc="57BA114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208996168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KDv5OyqLLC5tSHAqEb0OOzlizvQ3wv/YvGwgB5m/uhj3YUY4dRMIuO2pvYK7a5bbyCRCyRgbhE20MaBUiQHuA==" w:salt="8tTR8pm1nGAyGH1T3J44Z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68CF"/>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942"/>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2E6E"/>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A96"/>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536"/>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818"/>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33"/>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23C"/>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04B"/>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7D6"/>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B51"/>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AE7"/>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6CE1"/>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4"/>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A82"/>
    <w:rsid w:val="00392DB6"/>
    <w:rsid w:val="00393554"/>
    <w:rsid w:val="0039365A"/>
    <w:rsid w:val="00393E2D"/>
    <w:rsid w:val="0039470E"/>
    <w:rsid w:val="00394E3A"/>
    <w:rsid w:val="00394F80"/>
    <w:rsid w:val="00395047"/>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2FC0"/>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46C"/>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0F1"/>
    <w:rsid w:val="004414EF"/>
    <w:rsid w:val="00441977"/>
    <w:rsid w:val="00441B89"/>
    <w:rsid w:val="004424E6"/>
    <w:rsid w:val="00442518"/>
    <w:rsid w:val="0044299D"/>
    <w:rsid w:val="00442FCD"/>
    <w:rsid w:val="00444272"/>
    <w:rsid w:val="00444295"/>
    <w:rsid w:val="00444714"/>
    <w:rsid w:val="004448AC"/>
    <w:rsid w:val="00444A3E"/>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4C2"/>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4A3"/>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2F45"/>
    <w:rsid w:val="005E33FB"/>
    <w:rsid w:val="005E3428"/>
    <w:rsid w:val="005E3E68"/>
    <w:rsid w:val="005E3ED1"/>
    <w:rsid w:val="005E3FD9"/>
    <w:rsid w:val="005E412D"/>
    <w:rsid w:val="005E4732"/>
    <w:rsid w:val="005E4D29"/>
    <w:rsid w:val="005E5A98"/>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5C85"/>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37D"/>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091"/>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098"/>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803"/>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839"/>
    <w:rsid w:val="00734F2C"/>
    <w:rsid w:val="00734F43"/>
    <w:rsid w:val="00735382"/>
    <w:rsid w:val="00735451"/>
    <w:rsid w:val="007354B6"/>
    <w:rsid w:val="00735657"/>
    <w:rsid w:val="00735C87"/>
    <w:rsid w:val="00735E80"/>
    <w:rsid w:val="00736117"/>
    <w:rsid w:val="00740052"/>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566"/>
    <w:rsid w:val="00771909"/>
    <w:rsid w:val="00771B32"/>
    <w:rsid w:val="00772158"/>
    <w:rsid w:val="0077218E"/>
    <w:rsid w:val="00772707"/>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530"/>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3EAE"/>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70F"/>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E71"/>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477"/>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7EC"/>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0A24"/>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AD7"/>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86"/>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1C7"/>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085"/>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BAC"/>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899"/>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B24"/>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1CD"/>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963"/>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1CC8"/>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C05"/>
    <w:rsid w:val="00C02D5D"/>
    <w:rsid w:val="00C0370A"/>
    <w:rsid w:val="00C03872"/>
    <w:rsid w:val="00C038E5"/>
    <w:rsid w:val="00C054D9"/>
    <w:rsid w:val="00C05671"/>
    <w:rsid w:val="00C058DC"/>
    <w:rsid w:val="00C05ECF"/>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251B"/>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56A"/>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1842"/>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6AF"/>
    <w:rsid w:val="00D56895"/>
    <w:rsid w:val="00D56896"/>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2C"/>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5F99"/>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6EB9"/>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45"/>
    <w:rsid w:val="00E6315A"/>
    <w:rsid w:val="00E63917"/>
    <w:rsid w:val="00E63A18"/>
    <w:rsid w:val="00E63A25"/>
    <w:rsid w:val="00E64BCC"/>
    <w:rsid w:val="00E6508D"/>
    <w:rsid w:val="00E65975"/>
    <w:rsid w:val="00E65F35"/>
    <w:rsid w:val="00E65F61"/>
    <w:rsid w:val="00E6714E"/>
    <w:rsid w:val="00E67610"/>
    <w:rsid w:val="00E67CAF"/>
    <w:rsid w:val="00E67E44"/>
    <w:rsid w:val="00E7049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87497"/>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7FA"/>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DC1"/>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3DF"/>
    <w:rsid w:val="00F9665F"/>
    <w:rsid w:val="00F96973"/>
    <w:rsid w:val="00F96A6B"/>
    <w:rsid w:val="00F96ACC"/>
    <w:rsid w:val="00F96D9D"/>
    <w:rsid w:val="00F97465"/>
    <w:rsid w:val="00F974E5"/>
    <w:rsid w:val="00F97A98"/>
    <w:rsid w:val="00FA00DB"/>
    <w:rsid w:val="00FA02FB"/>
    <w:rsid w:val="00FA09D7"/>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28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PlaceholderText"/>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72E6E"/>
    <w:rsid w:val="000B5175"/>
    <w:rsid w:val="0015768C"/>
    <w:rsid w:val="001D0361"/>
    <w:rsid w:val="0034145D"/>
    <w:rsid w:val="00383CE3"/>
    <w:rsid w:val="004D67E0"/>
    <w:rsid w:val="004E4CF9"/>
    <w:rsid w:val="005D66AB"/>
    <w:rsid w:val="005E2F45"/>
    <w:rsid w:val="006D3543"/>
    <w:rsid w:val="00736117"/>
    <w:rsid w:val="00740052"/>
    <w:rsid w:val="00771566"/>
    <w:rsid w:val="00813189"/>
    <w:rsid w:val="00813EAE"/>
    <w:rsid w:val="0082070F"/>
    <w:rsid w:val="008222A0"/>
    <w:rsid w:val="00836D47"/>
    <w:rsid w:val="00982D57"/>
    <w:rsid w:val="00993537"/>
    <w:rsid w:val="009B6B9C"/>
    <w:rsid w:val="009C0B17"/>
    <w:rsid w:val="00A44918"/>
    <w:rsid w:val="00B22006"/>
    <w:rsid w:val="00B46CAE"/>
    <w:rsid w:val="00D40353"/>
    <w:rsid w:val="00DC3796"/>
    <w:rsid w:val="00DC4211"/>
    <w:rsid w:val="00E26EB9"/>
    <w:rsid w:val="00F5557F"/>
    <w:rsid w:val="00F81463"/>
    <w:rsid w:val="00F95865"/>
    <w:rsid w:val="00FA09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267</Value>
      <Value>282</Value>
      <Value>1042</Value>
      <Value>50</Value>
    </TaxCatchAll>
    <_dlc_DocId xmlns="d0fb0f98-34f9-4d57-9559-eb8efd17aa5e">ESMA74-268544963-1487</_dlc_DocId>
    <_dlc_DocIdUrl xmlns="d0fb0f98-34f9-4d57-9559-eb8efd17aa5e">
      <Url>https://securitiesandmarketsauth.sharepoint.com/sites/sherpa-trdu/_layouts/15/DocIdRedir.aspx?ID=ESMA74-268544963-1487</Url>
      <Description>ESMA74-268544963-1487</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Listing Act - Technical Advice</TermName>
          <TermId xmlns="http://schemas.microsoft.com/office/infopath/2007/PartnerControls">c84c1b51-5e45-4443-98ed-256626262106</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Markets Integrity</TermName>
          <TermId xmlns="http://schemas.microsoft.com/office/infopath/2007/PartnerControls">7754a890-9027-48dc-9ca6-8f2d192660b4</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MAR - Listing Act</TermName>
          <TermId xmlns="http://schemas.microsoft.com/office/infopath/2007/PartnerControls">89e9d275-a97d-4b10-855d-8abac2d32127</TermId>
        </TermInfo>
      </Terms>
    </caa5aeb1a6644849b60fbe2335e12657>
  </documentManagement>
</p:properties>
</file>

<file path=customXml/item4.xml><?xml version="1.0" encoding="utf-8"?>
<ct:contentTypeSchema xmlns:ct="http://schemas.microsoft.com/office/2006/metadata/contentType" xmlns:ma="http://schemas.microsoft.com/office/2006/metadata/properties/metaAttributes" ct:_="" ma:_="" ma:contentTypeName="MAR Policy Document" ma:contentTypeID="0x0101008D9E5D2C101BA04B85C7EB08C6516E400600A8528FDC84450D4D81C2352023D6E351" ma:contentTypeVersion="16" ma:contentTypeDescription="" ma:contentTypeScope="" ma:versionID="5402f68cda9d5721c920092050338e22">
  <xsd:schema xmlns:xsd="http://www.w3.org/2001/XMLSchema" xmlns:xs="http://www.w3.org/2001/XMLSchema" xmlns:p="http://schemas.microsoft.com/office/2006/metadata/properties" xmlns:ns2="d0fb0f98-34f9-4d57-9559-eb8efd17aa5e" xmlns:ns3="f8732b39-c95d-424f-a92c-f9f157629276" targetNamespace="http://schemas.microsoft.com/office/2006/metadata/properties" ma:root="true" ma:fieldsID="081f4dcb2673290e65eda033b27b8a37" ns2:_="" ns3:_="">
    <xsd:import namespace="d0fb0f98-34f9-4d57-9559-eb8efd17aa5e"/>
    <xsd:import namespace="f8732b39-c95d-424f-a92c-f9f157629276"/>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4f99a58c-742f-4a20-98c8-851f22b5d16e"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32b39-c95d-424f-a92c-f9f15762927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61A3070F-03CA-4860-A260-5385951B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f8732b39-c95d-424f-a92c-f9f15762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5959</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European Issuers</cp:lastModifiedBy>
  <cp:revision>2</cp:revision>
  <cp:lastPrinted>2023-09-09T00:53:00Z</cp:lastPrinted>
  <dcterms:created xsi:type="dcterms:W3CDTF">2025-06-03T07:51:00Z</dcterms:created>
  <dcterms:modified xsi:type="dcterms:W3CDTF">2025-06-03T07:51:00Z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0x0101008D9E5D2C101BA04B85C7EB08C6516E400600A8528FDC84450D4D81C2352023D6E351</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a29bdece-893c-486c-b1a6-ce55b1e26b17</vt:lpwstr>
  </property>
  <property fmtid="{D5CDD505-2E9C-101B-9397-08002B2CF9AE}" pid="8" name="Topic">
    <vt:lpwstr>267;#MAR - Listing Act|89e9d275-a97d-4b10-855d-8abac2d32127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50;#Markets Integrity|7754a890-9027-48dc-9ca6-8f2d192660b4</vt:lpwstr>
  </property>
  <property fmtid="{D5CDD505-2E9C-101B-9397-08002B2CF9AE}" pid="14" name="SubTopic">
    <vt:lpwstr>1042;#Listing Act - Technical Advice|c84c1b51-5e45-4443-98ed-256626262106</vt:lpwstr>
  </property>
  <property fmtid="{D5CDD505-2E9C-101B-9397-08002B2CF9AE}" pid="15" name="_ExtendedDescription">
    <vt:lpwstr/>
  </property>
  <property fmtid="{D5CDD505-2E9C-101B-9397-08002B2CF9AE}" pid="16" name="EsmaAudience">
    <vt:lpwstr/>
  </property>
  <property fmtid="{D5CDD505-2E9C-101B-9397-08002B2CF9AE}" pid="17" name="URL">
    <vt:lpwstr/>
  </property>
</Properties>
</file>