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el"/>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el"/>
          </w:pPr>
        </w:p>
        <w:p w14:paraId="01438AE1" w14:textId="052010EB" w:rsidR="00563C1F" w:rsidRDefault="00EC6066" w:rsidP="00F72D28">
          <w:pPr>
            <w:pStyle w:val="Titel"/>
          </w:pPr>
          <w:r>
            <w:t xml:space="preserve">Reply </w:t>
          </w:r>
          <w:r w:rsidR="00DD03DC">
            <w:t>F</w:t>
          </w:r>
          <w:r>
            <w:t>orm</w:t>
          </w:r>
        </w:p>
        <w:p w14:paraId="031F2108" w14:textId="40AA087F" w:rsidR="007E7997" w:rsidRPr="00C01571" w:rsidRDefault="00D77369" w:rsidP="00D77369">
          <w:pPr>
            <w:pStyle w:val="Unt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E92B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2"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4F7198" w:rsidRPr="004F7198">
            <w:rPr>
              <w:rFonts w:cs="Arial"/>
              <w:b/>
              <w:sz w:val="36"/>
              <w:szCs w:val="36"/>
            </w:rPr>
            <w:t xml:space="preserve">Draft </w:t>
          </w:r>
          <w:r w:rsidR="00392A82">
            <w:rPr>
              <w:rFonts w:cs="Arial"/>
              <w:b/>
              <w:sz w:val="36"/>
              <w:szCs w:val="36"/>
            </w:rPr>
            <w:t>implementing technical standards on the extension of the use of the alleviated format of insider lists</w:t>
          </w:r>
        </w:p>
        <w:p w14:paraId="5C42D2D2" w14:textId="77777777" w:rsidR="00D77369" w:rsidRDefault="00D77369" w:rsidP="00D77369"/>
        <w:p w14:paraId="0A9EB4DC" w14:textId="77777777" w:rsidR="00D77369" w:rsidRPr="00D77369" w:rsidRDefault="00D77369" w:rsidP="00D77369">
          <w:pPr>
            <w:sectPr w:rsidR="00D77369" w:rsidRPr="00D77369" w:rsidSect="0043139E">
              <w:footerReference w:type="even" r:id="rId13"/>
              <w:footerReference w:type="default" r:id="rId14"/>
              <w:headerReference w:type="first" r:id="rId15"/>
              <w:footerReference w:type="first" r:id="rId16"/>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10510D61" w:rsidR="002533FC" w:rsidRPr="005B6B12" w:rsidRDefault="002533FC" w:rsidP="002533FC">
          <w:r w:rsidRPr="005B6B12">
            <w:t xml:space="preserve">ESMA will consider all comments received by </w:t>
          </w:r>
          <w:r w:rsidR="009F4899">
            <w:rPr>
              <w:b/>
              <w:bCs/>
              <w:color w:val="auto"/>
            </w:rPr>
            <w:t>03</w:t>
          </w:r>
          <w:r w:rsidR="4A420E9D" w:rsidRPr="1768F097">
            <w:rPr>
              <w:b/>
              <w:bCs/>
              <w:color w:val="auto"/>
            </w:rPr>
            <w:t xml:space="preserve"> </w:t>
          </w:r>
          <w:r w:rsidR="00392A82">
            <w:rPr>
              <w:b/>
              <w:bCs/>
              <w:color w:val="auto"/>
            </w:rPr>
            <w:t>June</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18E8044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CPIL</w:t>
          </w:r>
          <w:r w:rsidRPr="00C5469A">
            <w:rPr>
              <w:bCs/>
            </w:rPr>
            <w:t xml:space="preserve">_nameofrespondent. </w:t>
          </w:r>
        </w:p>
        <w:p w14:paraId="210BE93A" w14:textId="543D9B23"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392A82">
            <w:rPr>
              <w:bCs/>
            </w:rPr>
            <w:t>CPIL</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8" w:history="1">
            <w:r w:rsidRPr="005B6B12">
              <w:rPr>
                <w:rStyle w:val="Hyperlink"/>
              </w:rPr>
              <w:t>www.esma.europa.eu</w:t>
            </w:r>
          </w:hyperlink>
          <w:r w:rsidRPr="005B6B12">
            <w:t xml:space="preserve"> under the heading </w:t>
          </w:r>
          <w:r w:rsidRPr="00025A7F">
            <w:rPr>
              <w:rStyle w:val="Hyperlink"/>
            </w:rPr>
            <w:t>‘</w:t>
          </w:r>
          <w:hyperlink r:id="rId19"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4690CAFC" w14:textId="3C48FB60" w:rsidR="00EC6066" w:rsidRDefault="00D72513" w:rsidP="00EC6066">
      <w:r w:rsidRPr="00D72513">
        <w:t>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w:t>
      </w:r>
      <w:r w:rsidR="002C06A9">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51B22639" w:rsidR="00635BCA" w:rsidRPr="00557BD2" w:rsidRDefault="00C13FFD" w:rsidP="00D21C35">
                <w:r>
                  <w:t>Deutsche Börse Group</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1ABE1C1E" w:rsidR="00B17279" w:rsidRDefault="00C13FFD" w:rsidP="00B17279">
                <w:r>
                  <w:t>Trading Venue</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7D400A39" w:rsidR="00B17279" w:rsidRPr="00557BD2" w:rsidRDefault="00C13FFD" w:rsidP="00B17279">
                <w:r>
                  <w:t>Germany</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berschrift1"/>
        <w:rPr>
          <w:lang w:val="fr-BE"/>
        </w:rPr>
      </w:pPr>
      <w:r w:rsidRPr="00557BD2">
        <w:rPr>
          <w:lang w:val="fr-BE"/>
        </w:rPr>
        <w:t>Questions</w:t>
      </w:r>
    </w:p>
    <w:p w14:paraId="6C4AF3A4" w14:textId="37A86A58" w:rsidR="009B1E21" w:rsidRPr="00392A82" w:rsidRDefault="00392A82" w:rsidP="00392A82">
      <w:pPr>
        <w:pStyle w:val="Questionstyle"/>
        <w:numPr>
          <w:ilvl w:val="0"/>
          <w:numId w:val="16"/>
        </w:numPr>
        <w:tabs>
          <w:tab w:val="clear" w:pos="567"/>
        </w:tabs>
        <w:spacing w:after="240" w:line="259" w:lineRule="auto"/>
        <w:ind w:left="851" w:hanging="851"/>
        <w:contextualSpacing w:val="0"/>
      </w:pPr>
      <w:r w:rsidRPr="00392A82">
        <w:t xml:space="preserve">Do you agree with the proposed approach? Please explain. </w:t>
      </w:r>
      <w:r w:rsidR="009B1E21" w:rsidRPr="008605FA">
        <w:t xml:space="preserve"> </w:t>
      </w:r>
    </w:p>
    <w:p w14:paraId="1271C14F" w14:textId="33769F09" w:rsidR="009B1E21" w:rsidRDefault="009B1E21" w:rsidP="009B1E21">
      <w:r>
        <w:t>&lt;ESMA_QUESTION_</w:t>
      </w:r>
      <w:r w:rsidR="00392A82">
        <w:t>CPIL</w:t>
      </w:r>
      <w:r>
        <w:t>_1&gt;</w:t>
      </w:r>
    </w:p>
    <w:p w14:paraId="3111A860" w14:textId="0C8C26D6" w:rsidR="009B1E21" w:rsidRPr="00937748" w:rsidRDefault="00937748" w:rsidP="009B1E21">
      <w:pPr>
        <w:rPr>
          <w:lang w:val="en-US"/>
        </w:rPr>
      </w:pPr>
      <w:permStart w:id="627510576" w:edGrp="everyone"/>
      <w:r w:rsidRPr="00937748">
        <w:rPr>
          <w:lang w:val="en-US"/>
        </w:rPr>
        <w:t>Deutsche Börse Group (DBG) agrees with th</w:t>
      </w:r>
      <w:r>
        <w:rPr>
          <w:lang w:val="en-US"/>
        </w:rPr>
        <w:t>e proposed approach</w:t>
      </w:r>
      <w:r w:rsidR="00003FEB">
        <w:rPr>
          <w:lang w:val="en-US"/>
        </w:rPr>
        <w:t xml:space="preserve"> </w:t>
      </w:r>
      <w:r w:rsidR="00003FEB" w:rsidRPr="00003FEB">
        <w:rPr>
          <w:lang w:val="en-US"/>
        </w:rPr>
        <w:t xml:space="preserve">to extend the alleviated format of the insider lists for issuers on SME </w:t>
      </w:r>
      <w:r w:rsidR="00003FEB">
        <w:rPr>
          <w:lang w:val="en-US"/>
        </w:rPr>
        <w:t>growth markets</w:t>
      </w:r>
      <w:r w:rsidR="00003FEB" w:rsidRPr="00003FEB">
        <w:rPr>
          <w:lang w:val="en-US"/>
        </w:rPr>
        <w:t xml:space="preserve"> to all insider lists.</w:t>
      </w:r>
      <w:r w:rsidR="00A83E53">
        <w:rPr>
          <w:lang w:val="en-US"/>
        </w:rPr>
        <w:t xml:space="preserve"> </w:t>
      </w:r>
      <w:r w:rsidR="00F57F73">
        <w:rPr>
          <w:lang w:val="en-US"/>
        </w:rPr>
        <w:t xml:space="preserve">The proposed </w:t>
      </w:r>
      <w:r w:rsidR="00A953A7">
        <w:rPr>
          <w:lang w:val="en-US"/>
        </w:rPr>
        <w:t>templates</w:t>
      </w:r>
      <w:r w:rsidR="00F57F73">
        <w:rPr>
          <w:lang w:val="en-US"/>
        </w:rPr>
        <w:t xml:space="preserve"> </w:t>
      </w:r>
      <w:r w:rsidR="00A953A7">
        <w:rPr>
          <w:lang w:val="en-US"/>
        </w:rPr>
        <w:t xml:space="preserve">reduce administrative burden </w:t>
      </w:r>
      <w:r w:rsidR="00B21DC3">
        <w:rPr>
          <w:lang w:val="en-US"/>
        </w:rPr>
        <w:t xml:space="preserve">and focus on the essential information that </w:t>
      </w:r>
      <w:proofErr w:type="gramStart"/>
      <w:r w:rsidR="00B21DC3">
        <w:rPr>
          <w:lang w:val="en-US"/>
        </w:rPr>
        <w:t>are</w:t>
      </w:r>
      <w:proofErr w:type="gramEnd"/>
      <w:r w:rsidR="00B21DC3">
        <w:rPr>
          <w:lang w:val="en-US"/>
        </w:rPr>
        <w:t xml:space="preserve"> required to </w:t>
      </w:r>
      <w:r w:rsidR="0027302B">
        <w:rPr>
          <w:lang w:val="en-US"/>
        </w:rPr>
        <w:t>ensure market integrity</w:t>
      </w:r>
      <w:r w:rsidR="00C719CF">
        <w:rPr>
          <w:lang w:val="en-US"/>
        </w:rPr>
        <w:t xml:space="preserve">. </w:t>
      </w:r>
      <w:r w:rsidR="00671F4B">
        <w:rPr>
          <w:lang w:val="en-US"/>
        </w:rPr>
        <w:t xml:space="preserve">Therefore, DBG believes that the deleted requirements on </w:t>
      </w:r>
      <w:r w:rsidR="00E97332">
        <w:rPr>
          <w:lang w:val="en-US"/>
        </w:rPr>
        <w:t>insider’s personal data are appropriate and necessary.</w:t>
      </w:r>
      <w:r w:rsidR="003D1648">
        <w:rPr>
          <w:lang w:val="en-US"/>
        </w:rPr>
        <w:t xml:space="preserve"> Finally, DBG </w:t>
      </w:r>
      <w:proofErr w:type="gramStart"/>
      <w:r w:rsidR="003D1648">
        <w:rPr>
          <w:lang w:val="en-US"/>
        </w:rPr>
        <w:t>welcomes</w:t>
      </w:r>
      <w:proofErr w:type="gramEnd"/>
      <w:r w:rsidR="003D1648">
        <w:rPr>
          <w:lang w:val="en-US"/>
        </w:rPr>
        <w:t xml:space="preserve"> </w:t>
      </w:r>
      <w:r w:rsidR="002F6EF3">
        <w:rPr>
          <w:lang w:val="en-US"/>
        </w:rPr>
        <w:t xml:space="preserve">that ESMA </w:t>
      </w:r>
      <w:r w:rsidR="00852C14">
        <w:rPr>
          <w:lang w:val="en-US"/>
        </w:rPr>
        <w:t>does not introduce any new requirements.</w:t>
      </w:r>
    </w:p>
    <w:permEnd w:id="627510576"/>
    <w:p w14:paraId="0D7538F4" w14:textId="55124EF2" w:rsidR="009B1E21" w:rsidRDefault="009B1E21" w:rsidP="009B1E21">
      <w:r>
        <w:t>&lt;ESMA_QUESTION_</w:t>
      </w:r>
      <w:r w:rsidR="00392A82">
        <w:t>CPIL</w:t>
      </w:r>
      <w:r>
        <w:t>_1&gt;</w:t>
      </w:r>
    </w:p>
    <w:p w14:paraId="6516A674" w14:textId="77777777" w:rsidR="009B1E21" w:rsidRDefault="009B1E21" w:rsidP="009B1E21"/>
    <w:p w14:paraId="30FCAAB9" w14:textId="07A9690F" w:rsidR="009B1E21" w:rsidRPr="00392A82" w:rsidRDefault="00392A82" w:rsidP="00392A82">
      <w:pPr>
        <w:pStyle w:val="Questionstyle"/>
        <w:numPr>
          <w:ilvl w:val="0"/>
          <w:numId w:val="16"/>
        </w:numPr>
        <w:tabs>
          <w:tab w:val="clear" w:pos="567"/>
        </w:tabs>
        <w:spacing w:after="240" w:line="259" w:lineRule="auto"/>
        <w:ind w:left="851" w:hanging="851"/>
        <w:contextualSpacing w:val="0"/>
      </w:pPr>
      <w:r w:rsidRPr="00392A82">
        <w:t xml:space="preserve">Do you consider the permanent section of the insider list for all issuers (and SMEs GM issuers in those MS that have opted out of the simplified regime) contained in Annex I useful? </w:t>
      </w:r>
    </w:p>
    <w:p w14:paraId="682E5B57" w14:textId="07476275" w:rsidR="009B1E21" w:rsidRDefault="009B1E21" w:rsidP="009B1E21">
      <w:r>
        <w:t>&lt;ESMA_QUESTION_</w:t>
      </w:r>
      <w:r w:rsidR="00392A82" w:rsidRPr="00392A82">
        <w:t xml:space="preserve"> </w:t>
      </w:r>
      <w:r w:rsidR="00392A82">
        <w:t>CPIL</w:t>
      </w:r>
      <w:r>
        <w:t>_2&gt;</w:t>
      </w:r>
    </w:p>
    <w:p w14:paraId="5572F42B" w14:textId="5D28B11B" w:rsidR="009B1E21" w:rsidRDefault="008367DA" w:rsidP="009B1E21">
      <w:permStart w:id="55053902" w:edGrp="everyone"/>
      <w:r>
        <w:t xml:space="preserve">Yes, DBG believes </w:t>
      </w:r>
      <w:r w:rsidR="00C94B4A">
        <w:t xml:space="preserve">that the permanent section </w:t>
      </w:r>
      <w:r w:rsidR="00A649BB">
        <w:t>is useful. Further,</w:t>
      </w:r>
      <w:r w:rsidR="00E87D5C">
        <w:t xml:space="preserve"> the </w:t>
      </w:r>
      <w:r w:rsidR="00547B8E">
        <w:t>reduced content</w:t>
      </w:r>
      <w:r w:rsidR="00E87D5C">
        <w:t xml:space="preserve"> and the extension to all issuers for</w:t>
      </w:r>
      <w:r w:rsidR="00A649BB">
        <w:t xml:space="preserve"> </w:t>
      </w:r>
      <w:r w:rsidR="00432FB3">
        <w:t xml:space="preserve">both </w:t>
      </w:r>
      <w:r>
        <w:t>the pe</w:t>
      </w:r>
      <w:r w:rsidR="00432FB3">
        <w:t>rmanent and events-based insider lists</w:t>
      </w:r>
      <w:r w:rsidR="00D071F8">
        <w:t xml:space="preserve"> </w:t>
      </w:r>
      <w:r w:rsidR="00547B8E">
        <w:t>will simpl</w:t>
      </w:r>
      <w:r w:rsidR="00674E53">
        <w:t>ify the insider list regime.</w:t>
      </w:r>
    </w:p>
    <w:p w14:paraId="3DF19A91" w14:textId="62F6BC0F" w:rsidR="00B34109" w:rsidRDefault="000D1516" w:rsidP="009B1E21">
      <w:r>
        <w:t>However, one poin</w:t>
      </w:r>
      <w:r w:rsidR="007E331C">
        <w:t xml:space="preserve">t we would like to mention </w:t>
      </w:r>
      <w:r w:rsidR="003956E5">
        <w:t>concerns</w:t>
      </w:r>
      <w:r w:rsidR="007E331C">
        <w:t xml:space="preserve"> the </w:t>
      </w:r>
      <w:r w:rsidR="007E331C" w:rsidRPr="007E331C">
        <w:t xml:space="preserve">proposed amendment to </w:t>
      </w:r>
      <w:r w:rsidR="003956E5">
        <w:t xml:space="preserve">the </w:t>
      </w:r>
      <w:r w:rsidR="007E331C" w:rsidRPr="007E331C">
        <w:t>events-based insider lists</w:t>
      </w:r>
      <w:r w:rsidR="00DF04D9">
        <w:t>, according to</w:t>
      </w:r>
      <w:r w:rsidR="00F83635">
        <w:t xml:space="preserve"> wh</w:t>
      </w:r>
      <w:r w:rsidR="00DF04D9">
        <w:t>ich</w:t>
      </w:r>
      <w:r w:rsidR="00F83635">
        <w:t xml:space="preserve"> </w:t>
      </w:r>
      <w:r w:rsidR="00A246D4">
        <w:t xml:space="preserve">the </w:t>
      </w:r>
      <w:r w:rsidR="00A246D4" w:rsidRPr="00A246D4">
        <w:t>company name and address of the insider</w:t>
      </w:r>
      <w:r w:rsidR="00A246D4">
        <w:t xml:space="preserve"> </w:t>
      </w:r>
      <w:r w:rsidR="00DF04D9">
        <w:t>are</w:t>
      </w:r>
      <w:r w:rsidR="00A246D4">
        <w:t xml:space="preserve"> no longer required</w:t>
      </w:r>
      <w:r w:rsidR="007E331C">
        <w:t>.</w:t>
      </w:r>
      <w:r w:rsidR="007E331C" w:rsidRPr="007E331C">
        <w:t xml:space="preserve"> </w:t>
      </w:r>
      <w:r w:rsidR="00B34109" w:rsidRPr="00B34109">
        <w:t>Under Art</w:t>
      </w:r>
      <w:r w:rsidR="00FC5F1F">
        <w:t>icle</w:t>
      </w:r>
      <w:r w:rsidR="00B34109" w:rsidRPr="00B34109">
        <w:t xml:space="preserve"> 18(1) of MAR issuers </w:t>
      </w:r>
      <w:proofErr w:type="gramStart"/>
      <w:r w:rsidR="00B34109" w:rsidRPr="00B34109">
        <w:t>have to</w:t>
      </w:r>
      <w:proofErr w:type="gramEnd"/>
      <w:r w:rsidR="00B34109" w:rsidRPr="00B34109">
        <w:t xml:space="preserve"> include not only persons working </w:t>
      </w:r>
      <w:r w:rsidR="00B34109" w:rsidRPr="00B34109">
        <w:lastRenderedPageBreak/>
        <w:t>for them under a contract of employment</w:t>
      </w:r>
      <w:r w:rsidR="00A26784">
        <w:t>,</w:t>
      </w:r>
      <w:r w:rsidR="00B34109" w:rsidRPr="00B34109">
        <w:t xml:space="preserve"> but also persons who are otherwise performing tasks through which they have access to inside information, such as advisers, accountants or credit rating agencies. </w:t>
      </w:r>
      <w:r w:rsidR="002A1467">
        <w:t>Until now</w:t>
      </w:r>
      <w:r w:rsidR="00B34109" w:rsidRPr="00B34109">
        <w:t>, such external service providers have been easily identifiable in the insider list by the company name and business address of the insider. Even if such relationship may be described in the context of the reason for inclusion of the insider, we would ask if ESMA is aware of this effect.</w:t>
      </w:r>
    </w:p>
    <w:permEnd w:id="55053902"/>
    <w:p w14:paraId="360DEE1D" w14:textId="6DABE5AD" w:rsidR="009B1E21" w:rsidRDefault="009B1E21" w:rsidP="009B1E21">
      <w:r>
        <w:t>&lt;ESMA_QUESTION_</w:t>
      </w:r>
      <w:r w:rsidR="00392A82" w:rsidRPr="00392A82">
        <w:t xml:space="preserve"> </w:t>
      </w:r>
      <w:r w:rsidR="00392A82">
        <w:t>CPIL</w:t>
      </w:r>
      <w:r>
        <w:t>_2&gt;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20"/>
      <w:footerReference w:type="even" r:id="rId21"/>
      <w:footerReference w:type="default" r:id="rId22"/>
      <w:footerReference w:type="firs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1CBD" w14:textId="77777777" w:rsidR="003256D5" w:rsidRDefault="003256D5" w:rsidP="007E7997">
      <w:pPr>
        <w:spacing w:line="240" w:lineRule="auto"/>
      </w:pPr>
      <w:r>
        <w:separator/>
      </w:r>
    </w:p>
  </w:endnote>
  <w:endnote w:type="continuationSeparator" w:id="0">
    <w:p w14:paraId="48A83019" w14:textId="77777777" w:rsidR="003256D5" w:rsidRDefault="003256D5" w:rsidP="007E7997">
      <w:pPr>
        <w:spacing w:line="240" w:lineRule="auto"/>
      </w:pPr>
      <w:r>
        <w:continuationSeparator/>
      </w:r>
    </w:p>
  </w:endnote>
  <w:endnote w:type="continuationNotice" w:id="1">
    <w:p w14:paraId="6D790096" w14:textId="77777777" w:rsidR="003256D5" w:rsidRDefault="00325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AA68" w14:textId="77777777" w:rsidR="005D1E3C" w:rsidRDefault="005D1E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62F8" w14:textId="77777777" w:rsidR="005D1E3C" w:rsidRDefault="005D1E3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C860" w14:textId="77777777" w:rsidR="005D1E3C" w:rsidRDefault="005D1E3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73D1" w14:textId="77777777" w:rsidR="005D1E3C" w:rsidRDefault="005D1E3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661E" w14:textId="77777777" w:rsidR="005D1E3C" w:rsidRDefault="005D1E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7C06" w14:textId="77777777" w:rsidR="003256D5" w:rsidRDefault="003256D5" w:rsidP="007E7997">
      <w:pPr>
        <w:spacing w:line="240" w:lineRule="auto"/>
      </w:pPr>
      <w:r>
        <w:separator/>
      </w:r>
    </w:p>
  </w:footnote>
  <w:footnote w:type="continuationSeparator" w:id="0">
    <w:p w14:paraId="10C4EB92" w14:textId="77777777" w:rsidR="003256D5" w:rsidRDefault="003256D5" w:rsidP="007E7997">
      <w:pPr>
        <w:spacing w:line="240" w:lineRule="auto"/>
      </w:pPr>
      <w:r>
        <w:continuationSeparator/>
      </w:r>
    </w:p>
  </w:footnote>
  <w:footnote w:type="continuationNotice" w:id="1">
    <w:p w14:paraId="7AA136AA" w14:textId="77777777" w:rsidR="003256D5" w:rsidRDefault="003256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B06AF8" w:rsidR="00D77369" w:rsidRPr="00A51B24" w:rsidRDefault="00D77369" w:rsidP="008858FE">
    <w:pPr>
      <w:pStyle w:val="Kopfzeile"/>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25C85">
      <w:t>02</w:t>
    </w:r>
    <w:r w:rsidR="00306F0E" w:rsidRPr="00A51B24">
      <w:t xml:space="preserve"> </w:t>
    </w:r>
    <w:r w:rsidR="00A51B24" w:rsidRPr="00A51B24">
      <w:t>April</w:t>
    </w:r>
    <w:r w:rsidR="00EB238F" w:rsidRPr="00A51B24">
      <w:t xml:space="preserve"> </w:t>
    </w:r>
    <w:r w:rsidR="00A51B24" w:rsidRPr="00A51B24">
      <w:t>2025</w:t>
    </w:r>
  </w:p>
  <w:p w14:paraId="10BD5565" w14:textId="4C9F0B0B" w:rsidR="008858FE" w:rsidRDefault="00A51B24" w:rsidP="00A51B24">
    <w:pPr>
      <w:jc w:val="right"/>
    </w:pPr>
    <w:r w:rsidRPr="00A51B24">
      <w:rPr>
        <w:color w:val="001B4F" w:themeColor="text1" w:themeShade="80"/>
        <w:sz w:val="16"/>
      </w:rPr>
      <w:t>ESMA74-268544963-1487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KDv5OyqLLC5tSHAqEb0OOzlizvQ3wv/YvGwgB5m/uhj3YUY4dRMIuO2pvYK7a5bbyCRCyRgbhE20MaBUiQHuA==" w:salt="8tTR8pm1nGAyGH1T3J44Z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3FEB"/>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CF6"/>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516"/>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5AE"/>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0720"/>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02B"/>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467"/>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E8C"/>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6EF3"/>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6D5"/>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6E5"/>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648"/>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B3"/>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B8E"/>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1E3C"/>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1DA9"/>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1F4B"/>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4DF7"/>
    <w:rsid w:val="00674E53"/>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42E"/>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31C"/>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2E86"/>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7DA"/>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14"/>
    <w:rsid w:val="00852CC8"/>
    <w:rsid w:val="00852DE6"/>
    <w:rsid w:val="00852E76"/>
    <w:rsid w:val="008530DC"/>
    <w:rsid w:val="008536EB"/>
    <w:rsid w:val="00853B1A"/>
    <w:rsid w:val="00853B56"/>
    <w:rsid w:val="00854AAE"/>
    <w:rsid w:val="00854CA0"/>
    <w:rsid w:val="00855717"/>
    <w:rsid w:val="00855C9B"/>
    <w:rsid w:val="00855E72"/>
    <w:rsid w:val="00856461"/>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48"/>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2D05"/>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46D4"/>
    <w:rsid w:val="00A250B4"/>
    <w:rsid w:val="00A2537E"/>
    <w:rsid w:val="00A255CC"/>
    <w:rsid w:val="00A25625"/>
    <w:rsid w:val="00A2573D"/>
    <w:rsid w:val="00A25F3F"/>
    <w:rsid w:val="00A26784"/>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9BB"/>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3E53"/>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3A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A86"/>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1DC3"/>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109"/>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3FFD"/>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9CF"/>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B4A"/>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00D"/>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1F8"/>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5A5"/>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4D9"/>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87D5C"/>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332"/>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AF5"/>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57F73"/>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3635"/>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5F85"/>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5F1F"/>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FD6"/>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tzhalt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12CF6"/>
    <w:rsid w:val="000B5175"/>
    <w:rsid w:val="001075AE"/>
    <w:rsid w:val="0015768C"/>
    <w:rsid w:val="001D0361"/>
    <w:rsid w:val="0034145D"/>
    <w:rsid w:val="004D67E0"/>
    <w:rsid w:val="004E4CF9"/>
    <w:rsid w:val="005D66AB"/>
    <w:rsid w:val="006D3543"/>
    <w:rsid w:val="00736117"/>
    <w:rsid w:val="00740052"/>
    <w:rsid w:val="00802E86"/>
    <w:rsid w:val="00813189"/>
    <w:rsid w:val="00813EAE"/>
    <w:rsid w:val="008222A0"/>
    <w:rsid w:val="00836D47"/>
    <w:rsid w:val="00982D57"/>
    <w:rsid w:val="00993537"/>
    <w:rsid w:val="009B6B9C"/>
    <w:rsid w:val="009C0B17"/>
    <w:rsid w:val="00A44918"/>
    <w:rsid w:val="00B22006"/>
    <w:rsid w:val="00B46CAE"/>
    <w:rsid w:val="00D40353"/>
    <w:rsid w:val="00DC3796"/>
    <w:rsid w:val="00DC4211"/>
    <w:rsid w:val="00F41889"/>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af49af-62c5-4fdb-8bab-63ad10ed2f31" xsi:nil="true"/>
    <_ip_UnifiedCompliancePolicyUIAction xmlns="http://schemas.microsoft.com/sharepoint/v3" xsi:nil="true"/>
    <lcf76f155ced4ddcb4097134ff3c332f xmlns="67b7605d-d6e7-46a4-8276-8af9bd42175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F7EF58DAA8FD4FBCAC76D2681E3A26" ma:contentTypeVersion="21" ma:contentTypeDescription="Create a new document." ma:contentTypeScope="" ma:versionID="9048686f6c2211409da1e43395a2a8f9">
  <xsd:schema xmlns:xsd="http://www.w3.org/2001/XMLSchema" xmlns:xs="http://www.w3.org/2001/XMLSchema" xmlns:p="http://schemas.microsoft.com/office/2006/metadata/properties" xmlns:ns1="http://schemas.microsoft.com/sharepoint/v3" xmlns:ns2="4baf49af-62c5-4fdb-8bab-63ad10ed2f31" xmlns:ns3="67b7605d-d6e7-46a4-8276-8af9bd421758" targetNamespace="http://schemas.microsoft.com/office/2006/metadata/properties" ma:root="true" ma:fieldsID="26c8a1e0015d843d51db5c0b1f0eef75" ns1:_="" ns2:_="" ns3:_="">
    <xsd:import namespace="http://schemas.microsoft.com/sharepoint/v3"/>
    <xsd:import namespace="4baf49af-62c5-4fdb-8bab-63ad10ed2f31"/>
    <xsd:import namespace="67b7605d-d6e7-46a4-8276-8af9bd421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f49af-62c5-4fdb-8bab-63ad10ed2f3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d2121b-9521-4c7f-8e60-9070d76a3122}" ma:internalName="TaxCatchAll" ma:showField="CatchAllData" ma:web="4baf49af-62c5-4fdb-8bab-63ad10ed2f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b7605d-d6e7-46a4-8276-8af9bd421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4AE7858C-3128-45EF-AE36-4A7D702B3BF5}">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7b7605d-d6e7-46a4-8276-8af9bd421758"/>
    <ds:schemaRef ds:uri="4baf49af-62c5-4fdb-8bab-63ad10ed2f31"/>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3C22D223-6080-4A2B-B9F8-50ADCC095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af49af-62c5-4fdb-8bab-63ad10ed2f31"/>
    <ds:schemaRef ds:uri="67b7605d-d6e7-46a4-8276-8af9bd421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697</Words>
  <Characters>4398</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Deutsche Börse Group</cp:lastModifiedBy>
  <cp:revision>3</cp:revision>
  <cp:lastPrinted>2023-09-09T00:53:00Z</cp:lastPrinted>
  <dcterms:created xsi:type="dcterms:W3CDTF">2025-05-20T11:58:00Z</dcterms:created>
  <dcterms:modified xsi:type="dcterms:W3CDTF">2025-05-20T11:58:00Z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0x01010082F7EF58DAA8FD4FBCAC76D2681E3A26</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a29bdece-893c-486c-b1a6-ce55b1e26b17</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1042;#Listing Act - Technical Advice|c84c1b51-5e45-4443-98ed-256626262106</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ediaServiceImageTags">
    <vt:lpwstr/>
  </property>
  <property fmtid="{D5CDD505-2E9C-101B-9397-08002B2CF9AE}" pid="19" name="MSIP_Label_4dc17b74-b5f6-430d-82e3-3dabdd474fec_Enabled">
    <vt:lpwstr>true</vt:lpwstr>
  </property>
  <property fmtid="{D5CDD505-2E9C-101B-9397-08002B2CF9AE}" pid="20" name="MSIP_Label_4dc17b74-b5f6-430d-82e3-3dabdd474fec_SetDate">
    <vt:lpwstr>2025-05-20T11:58:23Z</vt:lpwstr>
  </property>
  <property fmtid="{D5CDD505-2E9C-101B-9397-08002B2CF9AE}" pid="21" name="MSIP_Label_4dc17b74-b5f6-430d-82e3-3dabdd474fec_Method">
    <vt:lpwstr>Privileged</vt:lpwstr>
  </property>
  <property fmtid="{D5CDD505-2E9C-101B-9397-08002B2CF9AE}" pid="22" name="MSIP_Label_4dc17b74-b5f6-430d-82e3-3dabdd474fec_Name">
    <vt:lpwstr>Public – FAX – No Marking</vt:lpwstr>
  </property>
  <property fmtid="{D5CDD505-2E9C-101B-9397-08002B2CF9AE}" pid="23" name="MSIP_Label_4dc17b74-b5f6-430d-82e3-3dabdd474fec_SiteId">
    <vt:lpwstr>e00ddcdf-1e0f-4be5-a37a-894a4731986a</vt:lpwstr>
  </property>
  <property fmtid="{D5CDD505-2E9C-101B-9397-08002B2CF9AE}" pid="24" name="MSIP_Label_4dc17b74-b5f6-430d-82e3-3dabdd474fec_ActionId">
    <vt:lpwstr>c5bc0889-afb5-4565-8eb0-1a2877884958</vt:lpwstr>
  </property>
  <property fmtid="{D5CDD505-2E9C-101B-9397-08002B2CF9AE}" pid="25" name="MSIP_Label_4dc17b74-b5f6-430d-82e3-3dabdd474fec_ContentBits">
    <vt:lpwstr>0</vt:lpwstr>
  </property>
  <property fmtid="{D5CDD505-2E9C-101B-9397-08002B2CF9AE}" pid="26" name="MSIP_Label_4dc17b74-b5f6-430d-82e3-3dabdd474fec_Tag">
    <vt:lpwstr>10, 0, 1, 1</vt:lpwstr>
  </property>
</Properties>
</file>