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Subtitle"/>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3"/>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12B66"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Paragraph"/>
        <w:numPr>
          <w:ilvl w:val="0"/>
          <w:numId w:val="35"/>
        </w:numPr>
        <w:contextualSpacing w:val="0"/>
      </w:pPr>
      <w:r w:rsidRPr="005B6B12">
        <w:t>respond to the question stated;</w:t>
      </w:r>
    </w:p>
    <w:p w14:paraId="73161343" w14:textId="77777777" w:rsidR="00E70E2E" w:rsidRPr="005B6B12" w:rsidRDefault="00E70E2E" w:rsidP="008F14FF">
      <w:pPr>
        <w:pStyle w:val="ListParagraph"/>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Paragraph"/>
        <w:numPr>
          <w:ilvl w:val="0"/>
          <w:numId w:val="35"/>
        </w:numPr>
        <w:contextualSpacing w:val="0"/>
      </w:pPr>
      <w:r w:rsidRPr="005B6B12">
        <w:t>contain a clear rationale; and</w:t>
      </w:r>
    </w:p>
    <w:p w14:paraId="30D73002" w14:textId="77777777" w:rsidR="00E70E2E" w:rsidRPr="005B6B12" w:rsidRDefault="00E70E2E" w:rsidP="008F14FF">
      <w:pPr>
        <w:pStyle w:val="ListParagraph"/>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Paragraph"/>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Paragraph"/>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Paragraph"/>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Paragraph"/>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Paragraph"/>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Paragraph"/>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3"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Heading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ceholderText"/>
            </w:rPr>
            <w:id w:val="651570699"/>
            <w:text/>
          </w:sdtPr>
          <w:sdtEndPr>
            <w:rPr>
              <w:rStyle w:val="PlaceholderText"/>
            </w:rPr>
          </w:sdtEndPr>
          <w:sdtContent>
            <w:tc>
              <w:tcPr>
                <w:tcW w:w="5595" w:type="dxa"/>
                <w:shd w:val="clear" w:color="auto" w:fill="auto"/>
                <w:vAlign w:val="center"/>
              </w:tcPr>
              <w:p w14:paraId="633DB1B6" w14:textId="06A34792" w:rsidR="00C2682A" w:rsidRPr="00104E00" w:rsidRDefault="002860C5" w:rsidP="00104E00">
                <w:pPr>
                  <w:jc w:val="left"/>
                  <w:rPr>
                    <w:rStyle w:val="PlaceholderText"/>
                  </w:rPr>
                </w:pPr>
                <w:r>
                  <w:rPr>
                    <w:rStyle w:val="PlaceholderText"/>
                  </w:rPr>
                  <w:t>European Venues and Intermediaries Association</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7FBA569D" w:rsidR="00C2682A" w:rsidRPr="00104E00" w:rsidRDefault="00C732AF"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2860C5">
                  <w:t>Regulated markets/Exchanges/Trading Systems</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1"/>
              <w14:checkedState w14:val="2612" w14:font="MS Gothic"/>
              <w14:uncheckedState w14:val="2610" w14:font="MS Gothic"/>
            </w14:checkbox>
          </w:sdtPr>
          <w:sdtEndPr/>
          <w:sdtContent>
            <w:tc>
              <w:tcPr>
                <w:tcW w:w="5595" w:type="dxa"/>
                <w:shd w:val="clear" w:color="auto" w:fill="auto"/>
                <w:vAlign w:val="center"/>
              </w:tcPr>
              <w:p w14:paraId="4BD68813" w14:textId="5CFBF27C" w:rsidR="00C2682A" w:rsidRPr="00104E00" w:rsidRDefault="002860C5"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vAlign w:val="center"/>
              </w:tcPr>
              <w:p w14:paraId="204E7C89" w14:textId="77447635" w:rsidR="00C2682A" w:rsidRPr="00104E00" w:rsidRDefault="002860C5" w:rsidP="00104E00">
                <w:pPr>
                  <w:jc w:val="left"/>
                </w:pPr>
                <w:r>
                  <w:t>Europe</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Heading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4ED0AC44" w14:textId="77777777" w:rsidR="006B3F46" w:rsidRPr="006B3F46" w:rsidRDefault="006B3F46" w:rsidP="006B3F46">
      <w:permStart w:id="651311428" w:edGrp="everyone"/>
      <w:r w:rsidRPr="006B3F46">
        <w:t>Summary Comments:</w:t>
      </w:r>
    </w:p>
    <w:p w14:paraId="366D9694" w14:textId="77777777" w:rsidR="006B3F46" w:rsidRPr="006B3F46" w:rsidRDefault="006B3F46" w:rsidP="006B3F46">
      <w:pPr>
        <w:numPr>
          <w:ilvl w:val="0"/>
          <w:numId w:val="40"/>
        </w:numPr>
      </w:pPr>
      <w:r w:rsidRPr="006B3F46">
        <w:t>We are concerned about the partial and conditional take-up of UPI and commend the replication of the approach set out by the FCA in the UK for primary adoption of the global identifier for all financial instruments.</w:t>
      </w:r>
    </w:p>
    <w:p w14:paraId="2536787F" w14:textId="77777777" w:rsidR="006B3F46" w:rsidRPr="006B3F46" w:rsidRDefault="006B3F46" w:rsidP="006B3F46">
      <w:pPr>
        <w:numPr>
          <w:ilvl w:val="0"/>
          <w:numId w:val="40"/>
        </w:numPr>
      </w:pPr>
      <w:r w:rsidRPr="006B3F46">
        <w:t>We query whether the proposals are overly complex</w:t>
      </w:r>
    </w:p>
    <w:p w14:paraId="74C5D3A3" w14:textId="77777777" w:rsidR="006B3F46" w:rsidRDefault="006B3F46" w:rsidP="006B3F46">
      <w:pPr>
        <w:numPr>
          <w:ilvl w:val="0"/>
          <w:numId w:val="40"/>
        </w:numPr>
      </w:pPr>
      <w:r w:rsidRPr="006B3F46">
        <w:t>We support treating all ETDs under a common approach across all MiFIR Trading Venues on the risk basis of the instrument and the trade size.</w:t>
      </w:r>
    </w:p>
    <w:p w14:paraId="35B9539D" w14:textId="0DB1B051" w:rsidR="006B3F46" w:rsidRPr="006B3F46" w:rsidRDefault="006B3F46" w:rsidP="006B3F46">
      <w:pPr>
        <w:numPr>
          <w:ilvl w:val="0"/>
          <w:numId w:val="40"/>
        </w:numPr>
      </w:pPr>
      <w:r w:rsidRPr="006B3F46">
        <w:t xml:space="preserve">We are concerned that ESMA may be requiring more immediate transparency from the recommendations in the October 2024 Expert stakeholder group on derivatives market data quality and transmission protocols “DEG report”, especially where divergent proposals are not made explicit and why more immediate transparency is needed for entirely institutional markets. </w:t>
      </w:r>
    </w:p>
    <w:p w14:paraId="21C97FB6" w14:textId="77777777" w:rsidR="006B3F46" w:rsidRPr="006B3F46" w:rsidRDefault="006B3F46" w:rsidP="006B3F46">
      <w:pPr>
        <w:numPr>
          <w:ilvl w:val="0"/>
          <w:numId w:val="40"/>
        </w:numPr>
      </w:pPr>
      <w:r w:rsidRPr="006B3F46">
        <w:t>We are concerned about the introduction of Field 3a; on publishing upfront payment for CDS where any reader could reverse engineer notional from the quoted spread, upfront payment and trade date - which obviates volume masking</w:t>
      </w:r>
    </w:p>
    <w:p w14:paraId="4A351C25" w14:textId="77777777" w:rsidR="006B3F46" w:rsidRPr="006B3F46" w:rsidRDefault="006B3F46" w:rsidP="006B3F46">
      <w:pPr>
        <w:numPr>
          <w:ilvl w:val="0"/>
          <w:numId w:val="40"/>
        </w:numPr>
      </w:pPr>
      <w:r w:rsidRPr="006B3F46">
        <w:t>We are concerned about the adequacy of deferrals for certain categories of trades in single name CDS</w:t>
      </w:r>
    </w:p>
    <w:p w14:paraId="728585AA" w14:textId="77777777" w:rsidR="006B3F46" w:rsidRPr="006B3F46" w:rsidRDefault="006B3F46" w:rsidP="006B3F46">
      <w:pPr>
        <w:numPr>
          <w:ilvl w:val="0"/>
          <w:numId w:val="40"/>
        </w:numPr>
      </w:pPr>
      <w:r w:rsidRPr="006B3F46">
        <w:t>We support for uniform 15 minute price deferral for liquid index CDS</w:t>
      </w:r>
    </w:p>
    <w:p w14:paraId="0765BCE1" w14:textId="77777777" w:rsidR="006B3F46" w:rsidRPr="006B3F46" w:rsidRDefault="006B3F46" w:rsidP="006B3F46">
      <w:pPr>
        <w:numPr>
          <w:ilvl w:val="0"/>
          <w:numId w:val="40"/>
        </w:numPr>
      </w:pPr>
      <w:r w:rsidRPr="006B3F46">
        <w:t>We support treating all forward starting instrument as a simple package of long=leg minus short-leg</w:t>
      </w:r>
    </w:p>
    <w:p w14:paraId="3DC878D7" w14:textId="6FCC5A50" w:rsidR="006B3F46" w:rsidRDefault="006B3F46" w:rsidP="002860C5">
      <w:r>
        <w:t>Answer to Question 1:</w:t>
      </w:r>
    </w:p>
    <w:p w14:paraId="1DB5D1DA" w14:textId="2FC1EDB1" w:rsidR="002860C5" w:rsidRPr="002860C5" w:rsidRDefault="002860C5" w:rsidP="002860C5">
      <w:r w:rsidRPr="002860C5">
        <w:t xml:space="preserve">Yes, the approach outlined in section 3.2 is much preferred in general to that which has hitherto applied, and has been the subject of much discussion. </w:t>
      </w:r>
    </w:p>
    <w:p w14:paraId="63405A21" w14:textId="77777777" w:rsidR="002860C5" w:rsidRPr="002860C5" w:rsidRDefault="002860C5" w:rsidP="002860C5">
      <w:r w:rsidRPr="002860C5">
        <w:t xml:space="preserve">We note that despite the changes in the MiFIR Review, the pre-trade transparency thresholds for the Large in Scale waiver still matter to “Arranging firms” (Investment Firms acting under Reception and Transmission permissions) because of the prevalence of “Exchange Blocks” across wholesale derivatives markets, especially for packages such as Basis Trades, Invoice Spreads </w:t>
      </w:r>
      <w:r w:rsidRPr="002860C5">
        <w:lastRenderedPageBreak/>
        <w:t xml:space="preserve">and Option strategies. In this manner the setting of the Exchange Block Size Threshold as not less than the LIS waiver threshold becomes pivot in the capability for European markets to offer effective hedging markets. For this reason it is correct that  pre-trade disclosure thresholds should be no larger than 50% of post-trade thresholds. </w:t>
      </w:r>
    </w:p>
    <w:p w14:paraId="36CE9E32" w14:textId="77777777" w:rsidR="002860C5" w:rsidRPr="002860C5" w:rsidRDefault="002860C5" w:rsidP="002860C5">
      <w:r w:rsidRPr="002860C5">
        <w:t xml:space="preserve">As a general topic, and one which should have been addressed in the legislative review, we remain deeply concerned at the ongoing and widespread use of the term “OTC derivatives” under its EMIR definition alongside the use of the term OTC trading under its MiFID II  definition. Clearly one includes MTF and OTF trading and the other excludes it. This results in a different approach for ETD trading from that which covers the vast majority of standardised and on-venue OIS, IRS, IRD and CDS trading which leads to complex, fragmented and perverse outcomes which are far from the CME and SIU objectives. </w:t>
      </w:r>
    </w:p>
    <w:p w14:paraId="2F97C7D2" w14:textId="77777777" w:rsidR="002860C5" w:rsidRPr="002860C5" w:rsidRDefault="002860C5" w:rsidP="002860C5">
      <w:r w:rsidRPr="002860C5">
        <w:t xml:space="preserve">Concisely, it should not be important to fundamentally segregate between what we currently identify as “ETD” and “OTC” because it the instruments and cleared outcomes are usually identical. This contravenes the basic principle of “Same activity, same rules.” </w:t>
      </w:r>
    </w:p>
    <w:p w14:paraId="6CD98D17" w14:textId="452FCEA0" w:rsidR="002860C5" w:rsidRPr="002860C5" w:rsidRDefault="002860C5" w:rsidP="002860C5">
      <w:r w:rsidRPr="002860C5">
        <w:t xml:space="preserve">In respect of Interest Rate Swaps [IRS], </w:t>
      </w:r>
      <w:r w:rsidRPr="002860C5">
        <w:t>it’s</w:t>
      </w:r>
      <w:r w:rsidRPr="002860C5">
        <w:t xml:space="preserve"> evident from the 2024 discussions concerning the relevant delegated act for a Boolean approach based upon “UPI+”, that both the effective date and expiry date would be equally necessary where the UPI is adopted as the identifier for derivatives. Therefore the addition of these fields follows naturally, but so should the concomitant removal of the ISIN (and any notion of a DTI where relevant). Arguments pointing to further granularity should be properly referred to the Common Data Elements [“CDEs”].</w:t>
      </w:r>
    </w:p>
    <w:p w14:paraId="7106A855" w14:textId="77777777" w:rsidR="002860C5" w:rsidRPr="002860C5" w:rsidRDefault="002860C5" w:rsidP="002860C5">
      <w:r w:rsidRPr="002860C5">
        <w:t>EVIA members, which comprise the majority of trading venues operating CDS Single Name markets and the vast majority of firms arranging cleared CDS indices in the EU, uniformly already have the capability to obtain and allocated UPIs to trade affirmations and confirmations as well as meeting their global reporting obligations</w:t>
      </w:r>
    </w:p>
    <w:p w14:paraId="2774C42F" w14:textId="77777777" w:rsidR="002860C5" w:rsidRPr="002860C5" w:rsidRDefault="002860C5" w:rsidP="002860C5">
      <w:r w:rsidRPr="002860C5">
        <w:t xml:space="preserve">It follows that it is wrong where ESMA has chosen to utilise a modified ISIN rather than the UPI. Indeed such a proposal may likely require changes to RTS 23 not set out in this consultation. Similarly any view to </w:t>
      </w:r>
      <w:r w:rsidRPr="002860C5">
        <w:rPr>
          <w:lang w:val="en-US"/>
        </w:rPr>
        <w:t xml:space="preserve">enhance the interoperability of RTS 2 and the component Reference Data under RTS 23 with other areas of MiFIR with transaction reporting under MiFIR Article 26/ RTS 22 is outside the scope of this consultation, forms no reason to retain the ISIN and should need to be addressed holistically. We also note that the FCA has dropped the ISIN in UK MiFIR as of 02 December this year. </w:t>
      </w:r>
    </w:p>
    <w:p w14:paraId="459709ED" w14:textId="77777777" w:rsidR="002860C5" w:rsidRPr="002860C5" w:rsidRDefault="002860C5" w:rsidP="002860C5">
      <w:r w:rsidRPr="002860C5">
        <w:t xml:space="preserve">In respect of the definitions as applied to specific trading segments within MTFs and OTFs [Seg MICs], it is common practice for these to operate several different trading models throughout the day, both alongside each other and sequentially depending on the trading phase. This results in a “Hybrid” or “Voice” categorisation. However in prescribing a system as such it lacks sufficient </w:t>
      </w:r>
      <w:r w:rsidRPr="002860C5">
        <w:lastRenderedPageBreak/>
        <w:t>informational value where market participants may seek to  differentiate between trading models and trading phases.</w:t>
      </w:r>
    </w:p>
    <w:p w14:paraId="749A37E5" w14:textId="77777777" w:rsidR="00131ECC" w:rsidRDefault="00131ECC" w:rsidP="00131ECC">
      <w:r>
        <w:t>TYPE YOUR TEXT HERE</w:t>
      </w:r>
    </w:p>
    <w:permEnd w:id="651311428"/>
    <w:p w14:paraId="5B5F517D" w14:textId="77777777"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41512ED4" w14:textId="77777777" w:rsidR="002860C5" w:rsidRPr="002860C5" w:rsidRDefault="002860C5" w:rsidP="002860C5">
      <w:permStart w:id="1252945268" w:edGrp="everyone"/>
      <w:r w:rsidRPr="002860C5">
        <w:t>We disagree with the proposal for Field 3a, “</w:t>
      </w:r>
      <w:r w:rsidRPr="002860C5">
        <w:rPr>
          <w:i/>
          <w:iCs/>
        </w:rPr>
        <w:t>Up-front payment amount for credit derivatives,</w:t>
      </w:r>
      <w:r w:rsidRPr="002860C5">
        <w:t xml:space="preserve">” where publishing such payments in contracts otherwise templated across the terms results in any observer being simply capable to  reverse engineer notional from the quoted spread, upfront payment,  standardised coupon, maturity date and trade date. This obviates volume masking and acts as a firm disincentive to hedge in the EU. </w:t>
      </w:r>
    </w:p>
    <w:p w14:paraId="627E3F6C" w14:textId="77777777" w:rsidR="002860C5" w:rsidRPr="002860C5" w:rsidRDefault="002860C5" w:rsidP="002860C5">
      <w:r w:rsidRPr="002860C5">
        <w:t>Consequently neither the proposed Option A, nor Option B are appropriate given that the CDS market is overwhelmingly made up of sophisticated wholesale investors. The ambition of ESMA in An alternative approach is necessary, which should be a binary indication that indicates whether any upfront payment was made or not, but no further granularity. Another simple approach to mitigate this hazard would be to make Field 3a non-mandatory.</w:t>
      </w:r>
    </w:p>
    <w:p w14:paraId="20540C38" w14:textId="77777777" w:rsidR="002860C5" w:rsidRPr="002860C5" w:rsidRDefault="002860C5" w:rsidP="002860C5">
      <w:r w:rsidRPr="002860C5">
        <w:t xml:space="preserve">We disagree with Field 3b;  publishing IRS Spread to leg 1 such that: </w:t>
      </w:r>
    </w:p>
    <w:p w14:paraId="53658F18" w14:textId="77777777" w:rsidR="002860C5" w:rsidRPr="002860C5" w:rsidRDefault="002860C5" w:rsidP="002860C5">
      <w:pPr>
        <w:numPr>
          <w:ilvl w:val="0"/>
          <w:numId w:val="38"/>
        </w:numPr>
      </w:pPr>
      <w:r w:rsidRPr="002860C5">
        <w:t>the spread of floating leg 1 expressed in percentage.</w:t>
      </w:r>
    </w:p>
    <w:p w14:paraId="7A2F61E2" w14:textId="77777777" w:rsidR="002860C5" w:rsidRPr="002860C5" w:rsidRDefault="002860C5" w:rsidP="002860C5">
      <w:pPr>
        <w:numPr>
          <w:ilvl w:val="0"/>
          <w:numId w:val="38"/>
        </w:numPr>
      </w:pPr>
      <w:r w:rsidRPr="002860C5">
        <w:t>For float-to-float swaps: the spread of floating leg 1 expressed in percentage.</w:t>
      </w:r>
    </w:p>
    <w:p w14:paraId="06CB16F6" w14:textId="77777777" w:rsidR="002860C5" w:rsidRPr="002860C5" w:rsidRDefault="002860C5" w:rsidP="002860C5">
      <w:pPr>
        <w:numPr>
          <w:ilvl w:val="0"/>
          <w:numId w:val="38"/>
        </w:numPr>
      </w:pPr>
      <w:r w:rsidRPr="002860C5">
        <w:t>For fixed-to-fixed swaps: not applicable.</w:t>
      </w:r>
    </w:p>
    <w:p w14:paraId="383C9896" w14:textId="77777777" w:rsidR="002860C5" w:rsidRPr="002860C5" w:rsidRDefault="002860C5" w:rsidP="002860C5">
      <w:r w:rsidRPr="002860C5">
        <w:t xml:space="preserve">Where any spread is negotiated in the context of a swap it clearly becomes a “non-standard trade”. This means that transparency provisions are transposed into transaction reporting. Whilst the reporting of spread is important for transaction reporting under Article26/ RTS 22 it holds no value or reason in terms of public transparency which the MiFIR review expressly stated to consider standardised trades. It may be feasible to indicate whether any spread was negotiated as a binary notification. </w:t>
      </w:r>
    </w:p>
    <w:p w14:paraId="07B67555" w14:textId="77777777" w:rsidR="002860C5" w:rsidRPr="002860C5" w:rsidRDefault="002860C5" w:rsidP="002860C5">
      <w:r w:rsidRPr="002860C5">
        <w:t>We agree with the post-trade deferral flags for derivatives (and all instruments) such that flags now have their discrete new Field 19.</w:t>
      </w:r>
    </w:p>
    <w:p w14:paraId="7DBFF240" w14:textId="77777777" w:rsidR="002860C5" w:rsidRPr="002860C5" w:rsidRDefault="002860C5" w:rsidP="002860C5">
      <w:r w:rsidRPr="002860C5">
        <w:lastRenderedPageBreak/>
        <w:t>As per answer to question 1, we disagree with ISIN for any derivatives, but in particular with respect to IRS following the 2024 DG FISMA discussions concerning the relevant delegated act for a Boolean approach based upon “UPI+”, that both the effective date and expiry date would be equally necessary where the UPI is adopted as the identifier for derivatives. Therefore the addition of these fields follows naturally, but so should the concomitant removal of the ISIN (and any notion of a DTI where relevant). Arguments pointing to further granularity should be properly referred to the Common Data Elements [“CDEs”].</w:t>
      </w:r>
    </w:p>
    <w:p w14:paraId="47BD802E" w14:textId="77777777" w:rsidR="002860C5" w:rsidRPr="002860C5" w:rsidRDefault="002860C5" w:rsidP="002860C5">
      <w:r w:rsidRPr="002860C5">
        <w:t>We consider that there should be a new Field 3c for Spread to Leg 2. In respect of standardised and liquid Total Return Swaps [“TRS”], it is usual to negotiate pricing via the floating leg rather than the fixed leg which would normally refer only to a reference rate. Whilst hitherto we have discussed revising the guideline examples for TRS because they are not reflective of market practice, it was always clear that the tables should first need to reflect any spreads to leg 2.</w:t>
      </w:r>
    </w:p>
    <w:p w14:paraId="0E099532" w14:textId="2FC275BC" w:rsidR="00131ECC" w:rsidRDefault="00131ECC" w:rsidP="00131ECC">
      <w:r>
        <w:t>TYPE YOUR TEXT HERE</w:t>
      </w:r>
    </w:p>
    <w:permEnd w:id="1252945268"/>
    <w:p w14:paraId="20AD4B4D" w14:textId="7777777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6F23D7F0" w14:textId="77777777" w:rsidR="002860C5" w:rsidRPr="002860C5" w:rsidRDefault="002860C5" w:rsidP="002860C5">
      <w:permStart w:id="1795046886" w:edGrp="everyone"/>
      <w:r w:rsidRPr="002860C5">
        <w:t>We support the inclusion of a provision in the revised RTS 2 that stipulates that the concept of “</w:t>
      </w:r>
      <w:r w:rsidRPr="002860C5">
        <w:rPr>
          <w:i/>
          <w:iCs/>
        </w:rPr>
        <w:t>as close to real-time as technically possible</w:t>
      </w:r>
      <w:r w:rsidRPr="002860C5">
        <w:t xml:space="preserve">” which adequately allows for a maximum delay of 15 minutes for hybrid or for voice trades. </w:t>
      </w:r>
    </w:p>
    <w:p w14:paraId="4D200F64" w14:textId="77777777" w:rsidR="002860C5" w:rsidRPr="002860C5" w:rsidRDefault="002860C5" w:rsidP="002860C5">
      <w:r w:rsidRPr="002860C5">
        <w:t>We emphasise the very critical need for up to 15 minutes for complex and multi-leg trades where multiple executions are mutually contingent, yet commonly occur across different trading venues and geographical regions.</w:t>
      </w:r>
    </w:p>
    <w:p w14:paraId="0702506E" w14:textId="77777777" w:rsidR="00131ECC" w:rsidRDefault="00131ECC" w:rsidP="00131ECC">
      <w:r>
        <w:t>TYPE YOUR TEXT HERE</w:t>
      </w:r>
    </w:p>
    <w:permEnd w:id="1795046886"/>
    <w:p w14:paraId="7ED44A13" w14:textId="77777777"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5989871A" w14:textId="77777777" w:rsidR="002860C5" w:rsidRPr="002860C5" w:rsidRDefault="002860C5" w:rsidP="002860C5">
      <w:permStart w:id="97283499" w:edGrp="everyone"/>
      <w:r w:rsidRPr="002860C5">
        <w:t xml:space="preserve">Yes, we agree with the transition to static determination of liquidity for derivatives, in order to make the transparency regime simpler and more stable. This naturally leads to a reliance on the relevant </w:t>
      </w:r>
      <w:r w:rsidRPr="002860C5">
        <w:lastRenderedPageBreak/>
        <w:t>reference data fields in RTS 23. However this approach in isolation is predicated on the assumption the EU data is representative of activity in global derivatives. Clearly this is far from the actuality when considering the global wholesale markets for which the EU traded component form only a part as set out in the Quarterly BIS and ISDA activity publications. There is then a case for global data sets to be considered in seeking to describe non-dynamic liquidity determinations and deferral regimes for derivatives.</w:t>
      </w:r>
    </w:p>
    <w:p w14:paraId="0C10C7F7" w14:textId="77777777" w:rsidR="002860C5" w:rsidRPr="002860C5" w:rsidRDefault="002860C5" w:rsidP="002860C5">
      <w:r w:rsidRPr="002860C5">
        <w:t xml:space="preserve">While certain burdens relating to pre-trade transparency should be reduced for trading venues, it’s likely that the increased post-trade granularity would balance that out. </w:t>
      </w:r>
    </w:p>
    <w:p w14:paraId="230B800C" w14:textId="77777777" w:rsidR="002860C5" w:rsidRDefault="002860C5" w:rsidP="002860C5">
      <w:r w:rsidRPr="002860C5">
        <w:t xml:space="preserve">Further, since firms operating MiFIR trading venues also operate as arranging and transmitting Investment Firms, their reporting under MiFIR Article 21 should now need to hold additional information under both RTS 2 and RTS 23. </w:t>
      </w:r>
    </w:p>
    <w:p w14:paraId="64599F88" w14:textId="67C59C56" w:rsidR="00131ECC" w:rsidRDefault="00131ECC" w:rsidP="002860C5">
      <w:r>
        <w:t>TYPE YOUR TEXT HERE</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7527DDB8" w14:textId="77777777" w:rsidR="002860C5" w:rsidRDefault="002860C5" w:rsidP="002860C5">
      <w:permStart w:id="1086263988" w:edGrp="everyone"/>
      <w:r w:rsidRPr="002860C5">
        <w:t>EVIA tends to usually opt for the more granular options in respect of calibration and thresholds in order to promote proportionality; and in this instance we therefore support the ESMA assessment of option C.</w:t>
      </w:r>
    </w:p>
    <w:p w14:paraId="7F8F8AE3" w14:textId="0FDB4A8D" w:rsidR="002860C5" w:rsidRPr="002860C5" w:rsidRDefault="002860C5" w:rsidP="002860C5">
      <w:r>
        <w:t>(We note that in subsequent answers we demur from this default approach for overriding simplicity reasons.)</w:t>
      </w:r>
    </w:p>
    <w:p w14:paraId="49CAF130" w14:textId="77777777" w:rsidR="00131ECC" w:rsidRDefault="00131ECC" w:rsidP="00131ECC">
      <w:r>
        <w:t>TYPE YOUR TEXT HERE</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1EB0283B" w14:textId="77777777" w:rsidR="002860C5" w:rsidRDefault="002860C5" w:rsidP="00131ECC">
      <w:permStart w:id="1304631682" w:edGrp="everyone"/>
      <w:r w:rsidRPr="002860C5">
        <w:lastRenderedPageBreak/>
        <w:t>EVIA tends to usually opt for the more granular options in respect of calibration and thresholds in order to promote proportionality; and in this instance we therefore support the ESMA assessment of option B.</w:t>
      </w:r>
    </w:p>
    <w:p w14:paraId="346A5E11" w14:textId="497B6A77" w:rsidR="00131ECC" w:rsidRDefault="00131ECC" w:rsidP="00131ECC">
      <w:r>
        <w:t>TYPE YOUR TEXT HERE</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5158C138" w14:textId="77777777" w:rsidR="002860C5" w:rsidRDefault="002860C5" w:rsidP="00131ECC">
      <w:permStart w:id="93025034" w:edGrp="everyone"/>
      <w:r w:rsidRPr="002860C5">
        <w:t>Yes, EVIA agrees with the liquidity assessment for commodity and emission allowances as set out.</w:t>
      </w:r>
    </w:p>
    <w:p w14:paraId="4CDB0982" w14:textId="5A4983F9" w:rsidR="00131ECC" w:rsidRDefault="00131ECC" w:rsidP="00131ECC">
      <w:r>
        <w:t>TYPE YOUR TEXT HERE</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672DF90B" w14:textId="77777777" w:rsidR="002860C5" w:rsidRPr="002860C5" w:rsidRDefault="002860C5" w:rsidP="002860C5">
      <w:permStart w:id="705578859" w:edGrp="everyone"/>
      <w:r w:rsidRPr="002860C5">
        <w:t>Yes, EVIA agrees with the liquidity assessment for ETD asset classes: FX, Credit, securitised derivatives and other derivatives.</w:t>
      </w:r>
    </w:p>
    <w:p w14:paraId="69B80D09" w14:textId="3E8F267B" w:rsidR="002860C5" w:rsidRPr="002860C5" w:rsidRDefault="002860C5" w:rsidP="002860C5">
      <w:r>
        <w:t>Furthermore</w:t>
      </w:r>
      <w:r w:rsidRPr="002860C5">
        <w:t xml:space="preserve">, EVIA </w:t>
      </w:r>
      <w:r>
        <w:t xml:space="preserve">also </w:t>
      </w:r>
      <w:r w:rsidRPr="002860C5">
        <w:t>agrees that there should there be a specific framework for derivatives based on crypto assets</w:t>
      </w:r>
      <w:r>
        <w:t xml:space="preserve"> (although to reiterate that we do not consider that the DTI is required under this approach)</w:t>
      </w:r>
      <w:r w:rsidRPr="002860C5">
        <w:t>.</w:t>
      </w:r>
    </w:p>
    <w:p w14:paraId="5887BF3A" w14:textId="77777777" w:rsidR="002860C5" w:rsidRDefault="002860C5" w:rsidP="00131ECC"/>
    <w:p w14:paraId="0C351F14" w14:textId="0A116621" w:rsidR="00131ECC" w:rsidRDefault="00131ECC" w:rsidP="00131ECC">
      <w:r>
        <w:t>TYPE YOUR TEXT HERE</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lastRenderedPageBreak/>
        <w:t>Regarding the size thresholds for the deferral regime of Equity exchange traded derivatives, which option do you prefer?</w:t>
      </w:r>
    </w:p>
    <w:p w14:paraId="755D6578" w14:textId="77777777" w:rsidR="00131ECC" w:rsidRDefault="00131ECC" w:rsidP="00131ECC">
      <w:r>
        <w:t>&lt;ESMA_QUESTION_DERI_9&gt;</w:t>
      </w:r>
    </w:p>
    <w:p w14:paraId="63CEAE51" w14:textId="77777777" w:rsidR="002860C5" w:rsidRPr="002860C5" w:rsidRDefault="002860C5" w:rsidP="002860C5">
      <w:permStart w:id="1464080814" w:edGrp="everyone"/>
      <w:r w:rsidRPr="002860C5">
        <w:t>Whilst EVIA tends to usually opt for the more granular options in respect of calibration and thresholds, the approaches across options A, B and C appear to hold an unnecessarily complex matrix of outcomes for what are essentially a liquid and short time to maturity set of categories.</w:t>
      </w:r>
    </w:p>
    <w:p w14:paraId="0B023AE9" w14:textId="77777777" w:rsidR="002860C5" w:rsidRPr="002860C5" w:rsidRDefault="002860C5" w:rsidP="002860C5">
      <w:r w:rsidRPr="002860C5">
        <w:t xml:space="preserve">We remain concerned that the outcome does set the exchange “Block Size” for a segment of markets overwhelmingly arranged in this manner and therefore for urge ESMA to simply and standardise such that only the “Large” category remains as per Option B. at the common value of 2,500,000 EUR across all instruments to replicate a singular LIS. </w:t>
      </w:r>
    </w:p>
    <w:p w14:paraId="6F9ABC2E" w14:textId="77777777" w:rsidR="002860C5" w:rsidRPr="002860C5" w:rsidRDefault="002860C5" w:rsidP="002860C5">
      <w:r w:rsidRPr="002860C5">
        <w:t>We do not understand where the metrics: 3x LIS of the previous year and 15x LIS of the previous year respectively are set out in the level 1 legislation. If they are novel in this technical standard then it’s not clear how they were derived and whether they provide for any benefits beyond solely adding complexity.</w:t>
      </w:r>
    </w:p>
    <w:p w14:paraId="1E32321D" w14:textId="77777777" w:rsidR="002860C5" w:rsidRPr="002860C5" w:rsidRDefault="002860C5" w:rsidP="002860C5">
      <w:r w:rsidRPr="002860C5">
        <w:t>Whilst the analysis in itself may be worthy, we  remain unclear what the benefit of such a complex outcome matrix could offer European markets. Rather, the role for the regulatory perimeter here is simply to set a common minimum and leave further rules and granularity to the trading venue rulebooks. Even if multiple levels of segmentation are provided for in the legislation, there is no reason why these could not be homogenised where there is no underlying benefit in deploying them as is the case for this market segment.</w:t>
      </w:r>
    </w:p>
    <w:p w14:paraId="1B0AA741" w14:textId="6A78FE1B" w:rsidR="00131ECC" w:rsidRDefault="00131ECC" w:rsidP="00131ECC">
      <w:r>
        <w:t>TYPE YOUR TEXT HERE</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20FDD29C" w14:textId="528D98A9" w:rsidR="002860C5" w:rsidRPr="002860C5" w:rsidRDefault="002860C5" w:rsidP="002860C5">
      <w:permStart w:id="1449010517" w:edGrp="everyone"/>
      <w:r w:rsidRPr="002860C5">
        <w:t xml:space="preserve">We do not consider that ETDs, ie contracts traded on an RM should be treated differently to those </w:t>
      </w:r>
      <w:r w:rsidR="00AE328F">
        <w:t xml:space="preserve">same ones </w:t>
      </w:r>
      <w:r w:rsidRPr="002860C5">
        <w:t>traded on MTFs or OTFs. MIFIR does not commend a different approach according to the classification of trading venue, especially where the instruments traded may be the same. This approach serves to add an unnecessary level of complexity with no benefit.</w:t>
      </w:r>
    </w:p>
    <w:p w14:paraId="44857659" w14:textId="3A284AC1" w:rsidR="002860C5" w:rsidRPr="002860C5" w:rsidRDefault="002860C5" w:rsidP="002860C5">
      <w:r w:rsidRPr="002860C5">
        <w:lastRenderedPageBreak/>
        <w:t>We do not understand where the metrics: 5xATS and 10x ATS for liquid classes and 1.5xADV and 2xADV for illiquid classes respectively are derived from because they are novel in this technical standard and provide an unnecessary level of complexity with no benefit.</w:t>
      </w:r>
    </w:p>
    <w:p w14:paraId="4F1A1FB4" w14:textId="77777777" w:rsidR="002860C5" w:rsidRPr="002860C5" w:rsidRDefault="002860C5" w:rsidP="002860C5">
      <w:r w:rsidRPr="002860C5">
        <w:t xml:space="preserve">To better align with the objectives of SIU and of CMU prior, we suggest that ESMA single and de minimus threshold for liquid instrument classes at EUR 5MM and another single and de minimus threshold for the remaining illiquid instrument classes at EUR 1mm. Trading Venues themselves can then tailor their rules across the granularity of instruments admitted as they see fit and with the necessary and appropriate agility and flexibility. </w:t>
      </w:r>
    </w:p>
    <w:p w14:paraId="184FB675" w14:textId="6B808B38" w:rsidR="00131ECC" w:rsidRDefault="00131ECC" w:rsidP="00131ECC">
      <w:r>
        <w:t>TYPE YOUR TEXT HERE</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4951405B" w14:textId="77777777" w:rsidR="00AE328F" w:rsidRPr="00AE328F" w:rsidRDefault="00AE328F" w:rsidP="00AE328F">
      <w:permStart w:id="1274550268" w:edGrp="everyone"/>
      <w:r w:rsidRPr="00AE328F">
        <w:t>We do not consider that ETDs, ie contracts traded on an RM should be treated differently to those traded on MTFs or OTFs. MIFIR does not commend a different approach according to the classification of trading venue, especially where the instruments traded may be the same. This approach serves to add an unnecessary level of complexity with no benefit.</w:t>
      </w:r>
    </w:p>
    <w:p w14:paraId="4D1EB135" w14:textId="77777777" w:rsidR="00AE328F" w:rsidRPr="00AE328F" w:rsidRDefault="00AE328F" w:rsidP="00AE328F">
      <w:r w:rsidRPr="00AE328F">
        <w:t>We do not understand how the triplicate metrics for commodity derivatives adds at all to the simplicity and effectiveness of European markets. We also do not understand the logic and rational for the  “large” and “very large” sizes being built by adding EUR 500,000EUR and EUR 1,000,000 respectively to the “medium” size threshold. This appears novel and without any basis in logic or empirical data and provides an unnecessary level of complexity with no benefit, especially where the users of commodity derivatives are entirely wholesale. .</w:t>
      </w:r>
    </w:p>
    <w:p w14:paraId="765007AB" w14:textId="77777777" w:rsidR="00AE328F" w:rsidRDefault="00AE328F" w:rsidP="00AE328F">
      <w:r w:rsidRPr="00AE328F">
        <w:t>To better align with the objectives of SIU and of CMU prior, we suggest that ESMA single and de minimus threshold for commodity classes at either EUR 1MM or 100,000 TCO2. Trading Venues themselves can then tailor their rules across the granularity of instruments admitted as they see fit and with the necessary and appropriate agility and flexibility.</w:t>
      </w:r>
    </w:p>
    <w:p w14:paraId="6C104FF2" w14:textId="20519F11" w:rsidR="00131ECC" w:rsidRDefault="00131ECC" w:rsidP="00AE328F">
      <w:r>
        <w:t>TYPE YOUR TEXT HERE</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lastRenderedPageBreak/>
        <w:t>Do you agree with the size thresholds for the deferral regime of the following ETD asset classes: FX, Credit, securitised derivatives and other derivatives?</w:t>
      </w:r>
    </w:p>
    <w:p w14:paraId="499F1966" w14:textId="77777777" w:rsidR="00131ECC" w:rsidRDefault="00131ECC" w:rsidP="00131ECC">
      <w:r>
        <w:t>&lt;ESMA_QUESTION_DERI_12&gt;</w:t>
      </w:r>
    </w:p>
    <w:p w14:paraId="393C2425" w14:textId="77777777" w:rsidR="00AE328F" w:rsidRPr="00AE328F" w:rsidRDefault="00AE328F" w:rsidP="00AE328F">
      <w:permStart w:id="1248143207" w:edGrp="everyone"/>
      <w:r w:rsidRPr="00AE328F">
        <w:t>We do not consider that ETDs, ie contracts traded on an RM should be treated differently to those traded on MTFs or OTFs. MIFIR does not commend a different approach according to the classification of trading venue, especially where the instruments traded may be the same. This approach serves to add an unnecessary level of complexity with no benefit.</w:t>
      </w:r>
    </w:p>
    <w:p w14:paraId="5343803F" w14:textId="64AF6DF3" w:rsidR="00AE328F" w:rsidRPr="00AE328F" w:rsidRDefault="00AE328F" w:rsidP="00AE328F">
      <w:r w:rsidRPr="00AE328F">
        <w:t>I</w:t>
      </w:r>
      <w:r w:rsidR="00C732AF">
        <w:t>t</w:t>
      </w:r>
      <w:r w:rsidRPr="00AE328F">
        <w:t xml:space="preserve"> follows from the above that credit exchange-traded derivatives are to be treated according to the instrument and not the venue, given that all CDS index derivatives are cleared by vertically integrated exchanges. </w:t>
      </w:r>
    </w:p>
    <w:p w14:paraId="5F9BE4CD" w14:textId="77777777" w:rsidR="00AE328F" w:rsidRPr="00AE328F" w:rsidRDefault="00AE328F" w:rsidP="00AE328F">
      <w:r w:rsidRPr="00AE328F">
        <w:t xml:space="preserve">We consider that the single threshold for FX derivatives is too high and would be better fixed at Eur 5mm, a fifth of the proposed size but the common wholesale trade size for spot FX. </w:t>
      </w:r>
    </w:p>
    <w:p w14:paraId="7AA5663C" w14:textId="77777777" w:rsidR="00AE328F" w:rsidRPr="00AE328F" w:rsidRDefault="00AE328F" w:rsidP="00AE328F">
      <w:r w:rsidRPr="00AE328F">
        <w:t xml:space="preserve">We do not understand from the consultation paper where the basis for the proposed three levels for securitised derivatives, other than the current LIS at 60,000 Eur, comes from. We cannot see that a triplicate complexity adds any benefit and would commend restitution of that single prior threshold. </w:t>
      </w:r>
    </w:p>
    <w:p w14:paraId="779E49F3" w14:textId="77777777" w:rsidR="00131ECC" w:rsidRDefault="00131ECC" w:rsidP="00131ECC">
      <w:r>
        <w:t>TYPE YOUR TEXT HERE</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615EE3BE" w14:textId="6E05AA9B" w:rsidR="00874DFD" w:rsidRDefault="00AE328F" w:rsidP="00874DFD">
      <w:permStart w:id="24068063" w:edGrp="everyone"/>
      <w:r>
        <w:t xml:space="preserve">Our comments to this set of </w:t>
      </w:r>
      <w:r w:rsidR="00874DFD">
        <w:t xml:space="preserve">“OTC” </w:t>
      </w:r>
      <w:r>
        <w:t xml:space="preserve">questions essentially </w:t>
      </w:r>
      <w:r w:rsidR="00874DFD">
        <w:t xml:space="preserve">query whether the proposals set out faithfully codify the recommendations presented by the </w:t>
      </w:r>
      <w:r w:rsidR="00874DFD">
        <w:t>Expert stakeholder group on equity and non-equity market data quality and transmission protocols</w:t>
      </w:r>
      <w:r w:rsidR="00874DFD">
        <w:t xml:space="preserve"> in </w:t>
      </w:r>
      <w:r w:rsidR="00874DFD">
        <w:t>October 2024</w:t>
      </w:r>
      <w:r w:rsidR="00874DFD">
        <w:t xml:space="preserve"> [“DEG Report on Derivatives”]. Given the adaptations in transposition, it may be the case that gaps and deviations observed in the text may not be actual or intentional, but the comments relate to our current understanding.</w:t>
      </w:r>
    </w:p>
    <w:p w14:paraId="45ED415F" w14:textId="77777777" w:rsidR="00AE328F" w:rsidRPr="00AE328F" w:rsidRDefault="00AE328F" w:rsidP="00AE328F">
      <w:pPr>
        <w:numPr>
          <w:ilvl w:val="0"/>
          <w:numId w:val="39"/>
        </w:numPr>
        <w:rPr>
          <w:i/>
          <w:iCs/>
        </w:rPr>
      </w:pPr>
      <w:hyperlink r:id="rId27" w:history="1">
        <w:r w:rsidRPr="00AE328F">
          <w:rPr>
            <w:rStyle w:val="Hyperlink"/>
            <w:i/>
            <w:iCs/>
          </w:rPr>
          <w:t>https://finance.ec.europa.eu/document/download/2c80fd40-188d-4837-806d-b34b23fb99bc_en?filename=241017-deg-report-derivatives_en.pdf</w:t>
        </w:r>
      </w:hyperlink>
    </w:p>
    <w:p w14:paraId="61019FD8" w14:textId="77777777" w:rsidR="00874DFD" w:rsidRPr="00AE328F" w:rsidRDefault="00874DFD" w:rsidP="00874DFD">
      <w:r w:rsidRPr="00AE328F">
        <w:lastRenderedPageBreak/>
        <w:t xml:space="preserve">We do not understand whether ESMA’s proposals in respect of forward starting swaps, FRAs and basis swaps are different to those in the DEG report, which recommended to be excluded from the scope of transparency. </w:t>
      </w:r>
    </w:p>
    <w:p w14:paraId="39F1BB72" w14:textId="77777777" w:rsidR="00AE328F" w:rsidRPr="00AE328F" w:rsidRDefault="00AE328F" w:rsidP="00AE328F">
      <w:r w:rsidRPr="00AE328F">
        <w:t>The DEG report concurs that these three categories  do not represent addressable liquidity, and therefore should be excluded from transparency. The proposals as we understand them does include these three categories but classifies as illiquid. This appears different to the DEG report which we understand as the starting point for these ESMA proposals and therefore confusing, not least because that baseline is cited repeated through the consultation. Overall the inclusion of these instruments, even as illiquid,  adds complexity to the regime without providing any benefits given that they are not ‘price forming’ and subject to exemptions where part of post-trade risk reduction transactions. We note the overarching objective to  simplify and standardise the reporting burden would not be met for these sub-asset classes</w:t>
      </w:r>
    </w:p>
    <w:p w14:paraId="09B0C767" w14:textId="77777777" w:rsidR="00AE328F" w:rsidRDefault="00AE328F" w:rsidP="00AE328F">
      <w:r w:rsidRPr="00AE328F">
        <w:t>Given that forward starting interest rate derivatives are effectively the same as simple two-leg packages they should be treated as such, with the categorisation referencing the decomposed longer date from spot rather than the intermediate difference. Clearly this satisfies the “no arbitrage” condition.</w:t>
      </w:r>
    </w:p>
    <w:p w14:paraId="35DA2806" w14:textId="4DCEDBDB" w:rsidR="00527560" w:rsidRPr="00AE328F" w:rsidRDefault="00527560" w:rsidP="00AE328F">
      <w:r w:rsidRPr="00527560">
        <w:t xml:space="preserve">We also note that we disagree with the scope of the Derivatives Trading Obligation covering </w:t>
      </w:r>
      <w:r>
        <w:t>interest rate</w:t>
      </w:r>
      <w:r w:rsidRPr="00527560">
        <w:t xml:space="preserve"> derivatives when these are already and sufficiently captured by the Derivatives Clearing Obligation such the rule is duplicative and purely serves to add complexity, process hurdles and costs.</w:t>
      </w:r>
    </w:p>
    <w:p w14:paraId="1A192CAB" w14:textId="77777777" w:rsidR="00131ECC" w:rsidRDefault="00131ECC" w:rsidP="00131ECC">
      <w:r>
        <w:t>TYPE YOUR TEXT HERE</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71092465" w14:textId="77777777" w:rsidR="00874DFD" w:rsidRPr="00874DFD" w:rsidRDefault="00874DFD" w:rsidP="00874DFD">
      <w:permStart w:id="517684992" w:edGrp="everyone"/>
      <w:r w:rsidRPr="00874DFD">
        <w:t xml:space="preserve">Whilst ESMA holds a mandate to consider single name CDS referencing GSIBs, we emphasise that this is not at all representative of single name CDS trading and solely a political reaction to a Deutsche Bank credit event in 2023 rather than evolved and thought out regulation. It is therefore appropriate to flag the ClarusFT series on the most traded names in the CDS market which was updated two months ago: </w:t>
      </w:r>
      <w:hyperlink r:id="rId28" w:history="1">
        <w:r w:rsidRPr="00874DFD">
          <w:rPr>
            <w:rStyle w:val="Hyperlink"/>
          </w:rPr>
          <w:t>https://www.clarusft.com/most-active-names-in-credit-derivatives-april-2025/</w:t>
        </w:r>
      </w:hyperlink>
    </w:p>
    <w:p w14:paraId="06C6188D" w14:textId="77777777" w:rsidR="00874DFD" w:rsidRPr="00874DFD" w:rsidRDefault="00874DFD" w:rsidP="00874DFD">
      <w:r w:rsidRPr="00874DFD">
        <w:lastRenderedPageBreak/>
        <w:t>As set out by the FSB,  the November 2024 list of G-SIBs (</w:t>
      </w:r>
      <w:hyperlink r:id="rId29" w:history="1">
        <w:r w:rsidRPr="00874DFD">
          <w:rPr>
            <w:rStyle w:val="Hyperlink"/>
          </w:rPr>
          <w:t>https://www.fsb.org/2024/11/2024-list-of-global-systemically-important-banks-g-sibs/</w:t>
        </w:r>
      </w:hyperlink>
      <w:r w:rsidRPr="00874DFD">
        <w:t xml:space="preserve">) remains at 29, with one bank moving into a higher bucket and another moving into a lower bucket. </w:t>
      </w:r>
    </w:p>
    <w:p w14:paraId="78A89563" w14:textId="77777777" w:rsidR="00874DFD" w:rsidRPr="00874DFD" w:rsidRDefault="00874DFD" w:rsidP="00874DFD">
      <w:r w:rsidRPr="00874DFD">
        <w:t xml:space="preserve">It is fundamental to set out that SN-CDS on GSIB was not relevant in the context of global SN-CDS trading in April 2025 as it has not been in any period hitherto. In Europe, there were 6 GSIBs within the top 25 SN-CDS which is in line with the EuroStoxx index but provides the context why trading in single name CDS for that set of GSIBs is always inherently highly episodic. </w:t>
      </w:r>
    </w:p>
    <w:p w14:paraId="7677F1B2" w14:textId="77777777" w:rsidR="00874DFD" w:rsidRPr="00874DFD" w:rsidRDefault="00874DFD" w:rsidP="00874DFD">
      <w:r w:rsidRPr="00874DFD">
        <w:t>For 5Y single name CDS referencing GSIBs to be classified as liquid, the claim in the consultation that these SN-CDS at the 5-year vintage have an ADNT of 73 is incorrect. Rather, that metric relates to the entire set of reference entities and is therefore an aggregated figure.  If the ADNT were to be determined at the individual reference entity level, than at c. 3 trades each the actual episodic nature of the liquidity pool would become clearer and the quantitative outcome entirely opposite.</w:t>
      </w:r>
    </w:p>
    <w:p w14:paraId="728027E1" w14:textId="77777777" w:rsidR="00874DFD" w:rsidRPr="00874DFD" w:rsidRDefault="00874DFD" w:rsidP="00874DFD">
      <w:r w:rsidRPr="00874DFD">
        <w:t>Considering the GSIB names in the FSB list, CDS liquidity is ephemeral and not at all latent, whilst their relevance towards the operation of the wider CDS landscape even less so. There may be certain CDSs with a 5Y tenor that may correctly deemed to be liquid, but this segment does not overlap with ESMAs suggestions. ,We again underscore that in a phase of seeking to reflect on the relevance and effectiveness of regulatory burdens, this measure fails across the metrics, but is not called-out by the ESA’s.</w:t>
      </w:r>
    </w:p>
    <w:p w14:paraId="7E424709" w14:textId="77777777" w:rsidR="00131ECC" w:rsidRDefault="00131ECC" w:rsidP="00131ECC">
      <w:r>
        <w:t>TYPE YOUR TEXT HERE</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2B81388B" w14:textId="77777777" w:rsidR="00874DFD" w:rsidRPr="00874DFD" w:rsidRDefault="00874DFD" w:rsidP="00874DFD">
      <w:permStart w:id="121073060" w:edGrp="everyone"/>
      <w:r w:rsidRPr="00874DFD">
        <w:t xml:space="preserve">No we disagree. </w:t>
      </w:r>
    </w:p>
    <w:p w14:paraId="1762F9AD" w14:textId="77777777" w:rsidR="00874DFD" w:rsidRDefault="00874DFD" w:rsidP="00874DFD">
      <w:r w:rsidRPr="00874DFD">
        <w:t>It is clear from the tables set out in the consultation that only iTraxx Europe Main and iTraxx Europe Crossover are Liquid instruments. Considering their low ADV, iTraxx Europe Senior Financials and iTraxx Europe Subordinate Financials should in fact be assessed as illiquid.</w:t>
      </w:r>
    </w:p>
    <w:p w14:paraId="6D893037" w14:textId="4F15C9CA" w:rsidR="00874DFD" w:rsidRPr="00874DFD" w:rsidRDefault="00874DFD" w:rsidP="00874DFD">
      <w:r>
        <w:t xml:space="preserve">We also note that we disagree with the scope of the Derivatives Trading Obligation covering </w:t>
      </w:r>
      <w:r w:rsidRPr="00874DFD">
        <w:t>index credit derivatives</w:t>
      </w:r>
      <w:r>
        <w:t xml:space="preserve"> when these are already and sufficiently captured by the </w:t>
      </w:r>
      <w:r>
        <w:t xml:space="preserve">Derivatives </w:t>
      </w:r>
      <w:r>
        <w:t>Clearing</w:t>
      </w:r>
      <w:r>
        <w:t xml:space="preserve"> Obligation</w:t>
      </w:r>
      <w:r w:rsidR="00527560">
        <w:t xml:space="preserve"> such the rule is duplicative and </w:t>
      </w:r>
      <w:r w:rsidR="00527560">
        <w:t xml:space="preserve">purely serves to </w:t>
      </w:r>
      <w:r w:rsidR="00527560">
        <w:t>add complexity, process hurdles and costs.</w:t>
      </w:r>
    </w:p>
    <w:p w14:paraId="36A9288F" w14:textId="77777777" w:rsidR="00131ECC" w:rsidRDefault="00131ECC" w:rsidP="00131ECC">
      <w:r>
        <w:lastRenderedPageBreak/>
        <w:t>TYPE YOUR TEXT HERE</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t>Do you agree with the proposed deferral framework for OTC interest rate derivatives?</w:t>
      </w:r>
    </w:p>
    <w:p w14:paraId="54F6E039" w14:textId="77777777" w:rsidR="00131ECC" w:rsidRDefault="00131ECC" w:rsidP="00131ECC">
      <w:r>
        <w:t>&lt;ESMA_QUESTION_DERI_16&gt;</w:t>
      </w:r>
    </w:p>
    <w:p w14:paraId="4B00603A" w14:textId="4EEA9910" w:rsidR="00527560" w:rsidRPr="00527560" w:rsidRDefault="00527560" w:rsidP="00527560">
      <w:permStart w:id="857082364" w:edGrp="everyone"/>
      <w:r w:rsidRPr="00527560">
        <w:t xml:space="preserve">We agree with the approach to a unique EOD price deferral for liquid instruments so long as M/L/VL categories align with the 67% percentile as recommended in the DEG report. This is not made clear in the </w:t>
      </w:r>
      <w:r w:rsidRPr="00527560">
        <w:t>proposals,</w:t>
      </w:r>
      <w:r w:rsidRPr="00527560">
        <w:t xml:space="preserve"> and we urge ESMA to clearly state any cases where there may be divergence from the DEG report.</w:t>
      </w:r>
    </w:p>
    <w:p w14:paraId="6878679C" w14:textId="77777777" w:rsidR="00527560" w:rsidRPr="00527560" w:rsidRDefault="00527560" w:rsidP="00527560">
      <w:r w:rsidRPr="00527560">
        <w:t>In line with prior comments, we concur with ESMA that setting a medium, large, and very large threshold for each combination would result in a very complex regime. However in respect of the metrics, we would aggregate all three categories rather than only two; and instead of the 80th percentile by trade size, we advocate the use of the 67th percentile, as proposed in the DEG report.</w:t>
      </w:r>
    </w:p>
    <w:p w14:paraId="6E2BC401" w14:textId="77777777" w:rsidR="00527560" w:rsidRPr="00527560" w:rsidRDefault="00527560" w:rsidP="00527560">
      <w:r w:rsidRPr="00527560">
        <w:t>We disagree with the inclusion of basis swaps and FRAs on simplicity, relevance and burden reduction grounds.</w:t>
      </w:r>
    </w:p>
    <w:p w14:paraId="1E04C6F2" w14:textId="77777777" w:rsidR="00131ECC" w:rsidRDefault="00131ECC" w:rsidP="00131ECC">
      <w:r>
        <w:t>TYPE YOUR TEXT HERE</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7351948E" w14:textId="77777777" w:rsidR="00527560" w:rsidRPr="00527560" w:rsidRDefault="00527560" w:rsidP="00527560">
      <w:permStart w:id="147460196" w:edGrp="everyone"/>
      <w:r w:rsidRPr="00527560">
        <w:t>As set out previously we support the DEG report as set out in table 59, but certain aspects of the ESMA proposals here again appear to diverge from that in so far as the volume masking at T+1 are somehow raised from Eur 3mm+ to Eur 10mm+.</w:t>
      </w:r>
    </w:p>
    <w:p w14:paraId="1BBD0AD1" w14:textId="77777777" w:rsidR="00527560" w:rsidRPr="00527560" w:rsidRDefault="00527560" w:rsidP="00527560">
      <w:r w:rsidRPr="00527560">
        <w:t xml:space="preserve">It is not clear that the ESMA proposals are predicated on the DEG report, and if any gap analysis is presented where divergent, and if such, why that would be the case. </w:t>
      </w:r>
    </w:p>
    <w:p w14:paraId="3E54B7E3" w14:textId="77777777" w:rsidR="00527560" w:rsidRPr="00527560" w:rsidRDefault="00527560" w:rsidP="00527560">
      <w:r w:rsidRPr="00527560">
        <w:t xml:space="preserve">Mindful that this is entirely a wholesale market and noting that there is a set of industry concerns that the 5Y SN-CDS may be overly transparent in the DEG report itself; we consider that ESMA </w:t>
      </w:r>
      <w:r w:rsidRPr="00527560">
        <w:lastRenderedPageBreak/>
        <w:t>should replace the volume masking in the first column where proposed at 10 MM+ with a lower 3MM+ threshold.</w:t>
      </w:r>
    </w:p>
    <w:p w14:paraId="580D179E" w14:textId="77777777" w:rsidR="00131ECC" w:rsidRDefault="00131ECC" w:rsidP="00131ECC">
      <w:r>
        <w:t>TYPE YOUR TEXT HERE</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58D4C7E3" w14:textId="77777777" w:rsidR="00527560" w:rsidRPr="00527560" w:rsidRDefault="00527560" w:rsidP="00527560">
      <w:permStart w:id="796945462" w:edGrp="everyone"/>
      <w:r w:rsidRPr="00527560">
        <w:t>The ESMA proposals for index CDS in Table 62 appear to articulate the DEG proposals and therefore we agree.</w:t>
      </w:r>
    </w:p>
    <w:p w14:paraId="76052C73" w14:textId="77777777" w:rsidR="00527560" w:rsidRPr="00527560" w:rsidRDefault="00527560" w:rsidP="00527560">
      <w:r w:rsidRPr="00527560">
        <w:t>Mindful that CCP clearing of Index CDS has been broad-based for many years, and in line with prior comments about the utility of the term “OTC”; we urge that the terminology in respect of OTC Index CDS should be replaced by all index CDS.</w:t>
      </w:r>
    </w:p>
    <w:p w14:paraId="60B3EC74" w14:textId="77777777" w:rsidR="00131ECC" w:rsidRDefault="00131ECC" w:rsidP="00131ECC">
      <w:r>
        <w:t>TYPE YOUR TEXT HERE</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1AA4EF44" w14:textId="77777777" w:rsidR="00527560" w:rsidRPr="00527560" w:rsidRDefault="00527560" w:rsidP="00527560">
      <w:permStart w:id="1089237461" w:edGrp="everyone"/>
      <w:r w:rsidRPr="00527560">
        <w:t>Clearly volume masking for post-trade transparency has become a global standard as set out in the consultation and to that end we urge ESMA to lead the global standard setters (IOSCO) to build a template for masking syntax and chronology. Clear flagging conventions are essential to avoid misinterpretation and ensure data quality.</w:t>
      </w:r>
    </w:p>
    <w:p w14:paraId="447BC989" w14:textId="77777777" w:rsidR="00527560" w:rsidRPr="00527560" w:rsidRDefault="00527560" w:rsidP="00527560">
      <w:r w:rsidRPr="00527560">
        <w:t>As it stands, we understand that quantity should be left blank and the volume omission flag (VOLO) should be applied.</w:t>
      </w:r>
    </w:p>
    <w:p w14:paraId="5BEF71B2" w14:textId="77777777" w:rsidR="00527560" w:rsidRPr="00527560" w:rsidRDefault="00527560" w:rsidP="00527560">
      <w:r w:rsidRPr="00527560">
        <w:t>Without a syntax convention, this requires an additional field to indicate whether the volume is solely de minimus or holds a zero value.</w:t>
      </w:r>
    </w:p>
    <w:p w14:paraId="14148BF6" w14:textId="77777777" w:rsidR="00131ECC" w:rsidRDefault="00131ECC" w:rsidP="00131ECC">
      <w:r>
        <w:t>TYPE YOUR TEXT HERE</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t>&lt;ESMA_QUESTION_DERI_20&gt;</w:t>
      </w:r>
    </w:p>
    <w:p w14:paraId="44A1867A" w14:textId="77777777" w:rsidR="00527560" w:rsidRPr="00527560" w:rsidRDefault="00527560" w:rsidP="00527560">
      <w:permStart w:id="1180527698" w:edGrp="everyone"/>
      <w:r w:rsidRPr="00527560">
        <w:t>Yes, we agree with the proposed amendments to Articles 14 and 15 of RTS 2</w:t>
      </w:r>
      <w:r w:rsidRPr="00527560">
        <w:tab/>
        <w:t>.</w:t>
      </w:r>
    </w:p>
    <w:p w14:paraId="512CB597" w14:textId="77777777" w:rsidR="00131ECC" w:rsidRDefault="00131ECC" w:rsidP="00131ECC">
      <w:r>
        <w:t>TYPE YOUR TEXT HERE</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2C6EE502" w14:textId="77777777" w:rsidR="00527560" w:rsidRDefault="00527560" w:rsidP="00131ECC">
      <w:permStart w:id="1980902739" w:edGrp="everyone"/>
      <w:r w:rsidRPr="00527560">
        <w:t>Yes, we agree with the proposed amendments to CDR 2017/2194.</w:t>
      </w:r>
    </w:p>
    <w:p w14:paraId="48C5FF02" w14:textId="704F474A" w:rsidR="00131ECC" w:rsidRDefault="00131ECC" w:rsidP="00131ECC">
      <w:r>
        <w:t>TYPE YOUR TEXT HERE</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3B7CBFCD" w14:textId="77777777" w:rsidR="00527560" w:rsidRPr="00527560" w:rsidRDefault="00527560" w:rsidP="00527560">
      <w:permStart w:id="1722902870" w:edGrp="everyone"/>
      <w:r w:rsidRPr="00527560">
        <w:t>We suggest this table is either non-mandatory or adopts a Boolean approach to consider the relevance and appropriateness of the fields for different asset and sub-asset classes.</w:t>
      </w:r>
    </w:p>
    <w:p w14:paraId="3BD6F144" w14:textId="77777777" w:rsidR="00527560" w:rsidRPr="00527560" w:rsidRDefault="00527560" w:rsidP="00527560">
      <w:r w:rsidRPr="00527560">
        <w:t>One instance of this would be to facilitate the UPI instead of the ISIN wherever feasible.</w:t>
      </w:r>
    </w:p>
    <w:p w14:paraId="3FF296B8" w14:textId="77777777" w:rsidR="00527560" w:rsidRPr="00527560" w:rsidRDefault="00527560" w:rsidP="00527560">
      <w:r w:rsidRPr="00527560">
        <w:t>We also note that most MTF and OTF trading venues operating several different trading models within each segment, then the “HYBR’ - Hybrid System or VOIC’ - Voice trading system  will be the normative answer and usually interchangeable. Therefore it’s likely that this field lacks any sufficient informational value or passes the current tests for efficacy and reporting burdens.</w:t>
      </w:r>
    </w:p>
    <w:p w14:paraId="161DA439" w14:textId="77777777" w:rsidR="00131ECC" w:rsidRDefault="00131ECC" w:rsidP="00131ECC">
      <w:r>
        <w:t>TYPE YOUR TEXT HERE</w:t>
      </w:r>
    </w:p>
    <w:permEnd w:id="1722902870"/>
    <w:p w14:paraId="0A31DFF9" w14:textId="77777777" w:rsidR="00131ECC" w:rsidRDefault="00131ECC" w:rsidP="00131ECC">
      <w:r>
        <w:lastRenderedPageBreak/>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58D7EBFB" w14:textId="77777777" w:rsidR="00527560" w:rsidRPr="00527560" w:rsidRDefault="00527560" w:rsidP="00527560">
      <w:permStart w:id="467429827" w:edGrp="everyone"/>
      <w:r w:rsidRPr="00527560">
        <w:t xml:space="preserve">Per in our response to Q4, the quantity metric of any upfront payment should not be reported. </w:t>
      </w:r>
    </w:p>
    <w:p w14:paraId="6E84DCFD" w14:textId="77777777" w:rsidR="00527560" w:rsidRPr="00527560" w:rsidRDefault="00527560" w:rsidP="00527560">
      <w:r w:rsidRPr="00527560">
        <w:t>Regarding core data we suggest the introduction of a ‘quality indicator’ on the output from CTP, to allow a CTP to publish potentially erroneous trades and clearly identify them.</w:t>
      </w:r>
    </w:p>
    <w:p w14:paraId="078C9BF8" w14:textId="77777777" w:rsidR="00131ECC" w:rsidRDefault="00131ECC" w:rsidP="00131ECC">
      <w:r>
        <w:t>TYPE YOUR TEXT HERE</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5D026" w14:textId="77777777" w:rsidR="00AD305B" w:rsidRDefault="00AD305B" w:rsidP="00F716D4">
      <w:r>
        <w:separator/>
      </w:r>
    </w:p>
    <w:p w14:paraId="60DF2EF9" w14:textId="77777777" w:rsidR="00AD305B" w:rsidRDefault="00AD305B" w:rsidP="00F716D4"/>
  </w:endnote>
  <w:endnote w:type="continuationSeparator" w:id="0">
    <w:p w14:paraId="187EAA17" w14:textId="77777777" w:rsidR="00AD305B" w:rsidRDefault="00AD305B" w:rsidP="00F716D4">
      <w:r>
        <w:continuationSeparator/>
      </w:r>
    </w:p>
    <w:p w14:paraId="4E4FEC07" w14:textId="77777777" w:rsidR="00AD305B" w:rsidRDefault="00AD305B" w:rsidP="00F716D4"/>
  </w:endnote>
  <w:endnote w:type="continuationNotice" w:id="1">
    <w:p w14:paraId="110BFDFE" w14:textId="77777777" w:rsidR="00AD305B" w:rsidRDefault="00AD305B"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80"/>
    <w:family w:val="swiss"/>
    <w:pitch w:val="default"/>
  </w:font>
  <w:font w:name="EUAlbertin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67" w14:textId="77777777" w:rsidR="002B65C8" w:rsidRDefault="002B6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BF42" w14:textId="0AE44582"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A8DA" w14:textId="77777777" w:rsidR="002B65C8" w:rsidRDefault="002B65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197" w14:textId="6E4CB8C0"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9518D" w14:textId="77777777" w:rsidR="00AD305B" w:rsidRDefault="00AD305B" w:rsidP="00F716D4">
      <w:r>
        <w:separator/>
      </w:r>
    </w:p>
    <w:p w14:paraId="144A63F2" w14:textId="77777777" w:rsidR="00AD305B" w:rsidRDefault="00AD305B" w:rsidP="00F716D4"/>
  </w:footnote>
  <w:footnote w:type="continuationSeparator" w:id="0">
    <w:p w14:paraId="75E35172" w14:textId="77777777" w:rsidR="00AD305B" w:rsidRDefault="00AD305B" w:rsidP="00F716D4">
      <w:r>
        <w:continuationSeparator/>
      </w:r>
    </w:p>
    <w:p w14:paraId="2CB888C3" w14:textId="77777777" w:rsidR="00AD305B" w:rsidRDefault="00AD305B" w:rsidP="00F716D4"/>
  </w:footnote>
  <w:footnote w:type="continuationNotice" w:id="1">
    <w:p w14:paraId="07948BD6" w14:textId="77777777" w:rsidR="00AD305B" w:rsidRDefault="00AD305B"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B65" w14:textId="77777777" w:rsidR="002B65C8" w:rsidRDefault="002B6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573883"/>
    <w:multiLevelType w:val="hybridMultilevel"/>
    <w:tmpl w:val="782C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5"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7"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8"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9"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2"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5"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6" w15:restartNumberingAfterBreak="0">
    <w:nsid w:val="58B1420A"/>
    <w:multiLevelType w:val="hybridMultilevel"/>
    <w:tmpl w:val="9ABC8BA8"/>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5AA00307"/>
    <w:multiLevelType w:val="hybridMultilevel"/>
    <w:tmpl w:val="826AAC5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0"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1"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3"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5"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8"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9" w15:restartNumberingAfterBreak="0">
    <w:nsid w:val="7FEF56C0"/>
    <w:multiLevelType w:val="hybridMultilevel"/>
    <w:tmpl w:val="3CD65192"/>
    <w:lvl w:ilvl="0" w:tplc="E674947E">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5"/>
  </w:num>
  <w:num w:numId="2" w16cid:durableId="1769932826">
    <w:abstractNumId w:val="18"/>
  </w:num>
  <w:num w:numId="3" w16cid:durableId="550074866">
    <w:abstractNumId w:val="9"/>
  </w:num>
  <w:num w:numId="4" w16cid:durableId="1881627233">
    <w:abstractNumId w:val="23"/>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32"/>
  </w:num>
  <w:num w:numId="9" w16cid:durableId="1008846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7"/>
  </w:num>
  <w:num w:numId="12" w16cid:durableId="1500659627">
    <w:abstractNumId w:val="31"/>
  </w:num>
  <w:num w:numId="13" w16cid:durableId="1879658227">
    <w:abstractNumId w:val="22"/>
  </w:num>
  <w:num w:numId="14" w16cid:durableId="1495758855">
    <w:abstractNumId w:val="8"/>
  </w:num>
  <w:num w:numId="15" w16cid:durableId="1186556611">
    <w:abstractNumId w:val="1"/>
  </w:num>
  <w:num w:numId="16" w16cid:durableId="679087124">
    <w:abstractNumId w:val="12"/>
  </w:num>
  <w:num w:numId="17" w16cid:durableId="1695498691">
    <w:abstractNumId w:val="14"/>
  </w:num>
  <w:num w:numId="18" w16cid:durableId="1042363640">
    <w:abstractNumId w:val="16"/>
  </w:num>
  <w:num w:numId="19" w16cid:durableId="820345968">
    <w:abstractNumId w:val="25"/>
  </w:num>
  <w:num w:numId="20" w16cid:durableId="1805388212">
    <w:abstractNumId w:val="36"/>
  </w:num>
  <w:num w:numId="21" w16cid:durableId="538709007">
    <w:abstractNumId w:val="24"/>
  </w:num>
  <w:num w:numId="22" w16cid:durableId="104540172">
    <w:abstractNumId w:val="7"/>
  </w:num>
  <w:num w:numId="23" w16cid:durableId="1824349076">
    <w:abstractNumId w:val="30"/>
  </w:num>
  <w:num w:numId="24" w16cid:durableId="672032853">
    <w:abstractNumId w:val="29"/>
  </w:num>
  <w:num w:numId="25" w16cid:durableId="48917541">
    <w:abstractNumId w:val="19"/>
  </w:num>
  <w:num w:numId="26" w16cid:durableId="978925443">
    <w:abstractNumId w:val="33"/>
  </w:num>
  <w:num w:numId="27" w16cid:durableId="1036613928">
    <w:abstractNumId w:val="38"/>
  </w:num>
  <w:num w:numId="28" w16cid:durableId="872039349">
    <w:abstractNumId w:val="5"/>
  </w:num>
  <w:num w:numId="29" w16cid:durableId="924530660">
    <w:abstractNumId w:val="2"/>
  </w:num>
  <w:num w:numId="30" w16cid:durableId="419180233">
    <w:abstractNumId w:val="21"/>
  </w:num>
  <w:num w:numId="31" w16cid:durableId="276761337">
    <w:abstractNumId w:val="20"/>
  </w:num>
  <w:num w:numId="32" w16cid:durableId="1166238383">
    <w:abstractNumId w:val="35"/>
  </w:num>
  <w:num w:numId="33" w16cid:durableId="2076850202">
    <w:abstractNumId w:val="34"/>
  </w:num>
  <w:num w:numId="34" w16cid:durableId="469176496">
    <w:abstractNumId w:val="10"/>
  </w:num>
  <w:num w:numId="35" w16cid:durableId="674843309">
    <w:abstractNumId w:val="17"/>
  </w:num>
  <w:num w:numId="36" w16cid:durableId="1954971501">
    <w:abstractNumId w:val="39"/>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17145344">
    <w:abstractNumId w:val="26"/>
  </w:num>
  <w:num w:numId="39" w16cid:durableId="751003162">
    <w:abstractNumId w:val="13"/>
  </w:num>
  <w:num w:numId="40" w16cid:durableId="1412040686">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5F2B"/>
    <w:rsid w:val="001372DD"/>
    <w:rsid w:val="00137973"/>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6B9A"/>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0C5"/>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76FC"/>
    <w:rsid w:val="002E7F4B"/>
    <w:rsid w:val="002F0C91"/>
    <w:rsid w:val="002F0E3E"/>
    <w:rsid w:val="002F1683"/>
    <w:rsid w:val="002F1B19"/>
    <w:rsid w:val="002F1FBF"/>
    <w:rsid w:val="002F4139"/>
    <w:rsid w:val="00300624"/>
    <w:rsid w:val="00300F56"/>
    <w:rsid w:val="00301006"/>
    <w:rsid w:val="00301C2B"/>
    <w:rsid w:val="00304A71"/>
    <w:rsid w:val="003066C8"/>
    <w:rsid w:val="0030739D"/>
    <w:rsid w:val="00307AFB"/>
    <w:rsid w:val="00311184"/>
    <w:rsid w:val="00311E05"/>
    <w:rsid w:val="00312675"/>
    <w:rsid w:val="00314013"/>
    <w:rsid w:val="00314945"/>
    <w:rsid w:val="00315389"/>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4B73"/>
    <w:rsid w:val="003D503B"/>
    <w:rsid w:val="003D56C0"/>
    <w:rsid w:val="003D605E"/>
    <w:rsid w:val="003D61D1"/>
    <w:rsid w:val="003D6780"/>
    <w:rsid w:val="003D6FCB"/>
    <w:rsid w:val="003E0F84"/>
    <w:rsid w:val="003E1FF3"/>
    <w:rsid w:val="003E3ACA"/>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40FF"/>
    <w:rsid w:val="00404284"/>
    <w:rsid w:val="004042C4"/>
    <w:rsid w:val="00406E90"/>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B0335"/>
    <w:rsid w:val="004B0F1C"/>
    <w:rsid w:val="004B1E61"/>
    <w:rsid w:val="004B21AB"/>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27560"/>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7D8"/>
    <w:rsid w:val="00694B73"/>
    <w:rsid w:val="00694DF2"/>
    <w:rsid w:val="00695F80"/>
    <w:rsid w:val="006966CD"/>
    <w:rsid w:val="00696735"/>
    <w:rsid w:val="0069780E"/>
    <w:rsid w:val="006A0AFA"/>
    <w:rsid w:val="006A2CA2"/>
    <w:rsid w:val="006B2D40"/>
    <w:rsid w:val="006B34DF"/>
    <w:rsid w:val="006B39B2"/>
    <w:rsid w:val="006B3AF9"/>
    <w:rsid w:val="006B3F46"/>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F0DDA"/>
    <w:rsid w:val="007F1939"/>
    <w:rsid w:val="007F365C"/>
    <w:rsid w:val="007F5066"/>
    <w:rsid w:val="007F621C"/>
    <w:rsid w:val="007F7155"/>
    <w:rsid w:val="00800C28"/>
    <w:rsid w:val="0080245E"/>
    <w:rsid w:val="00802E10"/>
    <w:rsid w:val="00803480"/>
    <w:rsid w:val="0080359C"/>
    <w:rsid w:val="008037AE"/>
    <w:rsid w:val="008037F6"/>
    <w:rsid w:val="008043F4"/>
    <w:rsid w:val="00804BB4"/>
    <w:rsid w:val="00805D9F"/>
    <w:rsid w:val="00807A4D"/>
    <w:rsid w:val="00807F30"/>
    <w:rsid w:val="008103DC"/>
    <w:rsid w:val="0081119F"/>
    <w:rsid w:val="0081134D"/>
    <w:rsid w:val="00811EDA"/>
    <w:rsid w:val="00812403"/>
    <w:rsid w:val="00812FD7"/>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71F04"/>
    <w:rsid w:val="008746C1"/>
    <w:rsid w:val="00874DFD"/>
    <w:rsid w:val="00880224"/>
    <w:rsid w:val="0088244C"/>
    <w:rsid w:val="00883367"/>
    <w:rsid w:val="00884C47"/>
    <w:rsid w:val="00885E6F"/>
    <w:rsid w:val="008861AC"/>
    <w:rsid w:val="008868E4"/>
    <w:rsid w:val="00886A60"/>
    <w:rsid w:val="0088759B"/>
    <w:rsid w:val="008909B4"/>
    <w:rsid w:val="008922E8"/>
    <w:rsid w:val="00892E72"/>
    <w:rsid w:val="00893916"/>
    <w:rsid w:val="0089442C"/>
    <w:rsid w:val="00895818"/>
    <w:rsid w:val="008A2585"/>
    <w:rsid w:val="008A2718"/>
    <w:rsid w:val="008A4CF6"/>
    <w:rsid w:val="008A4E42"/>
    <w:rsid w:val="008A51AA"/>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D2DB5"/>
    <w:rsid w:val="008D3F10"/>
    <w:rsid w:val="008D4656"/>
    <w:rsid w:val="008D611D"/>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711"/>
    <w:rsid w:val="00AA6DB2"/>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28F"/>
    <w:rsid w:val="00AE3BC6"/>
    <w:rsid w:val="00AE4D4F"/>
    <w:rsid w:val="00AE627C"/>
    <w:rsid w:val="00AE62B0"/>
    <w:rsid w:val="00AE68A2"/>
    <w:rsid w:val="00AF0029"/>
    <w:rsid w:val="00AF0354"/>
    <w:rsid w:val="00AF1236"/>
    <w:rsid w:val="00AF3C29"/>
    <w:rsid w:val="00AF4401"/>
    <w:rsid w:val="00AF4463"/>
    <w:rsid w:val="00AF502B"/>
    <w:rsid w:val="00AF53CB"/>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512A"/>
    <w:rsid w:val="00B75265"/>
    <w:rsid w:val="00B76548"/>
    <w:rsid w:val="00B76BED"/>
    <w:rsid w:val="00B806E6"/>
    <w:rsid w:val="00B82DC1"/>
    <w:rsid w:val="00B835D5"/>
    <w:rsid w:val="00B84028"/>
    <w:rsid w:val="00B84307"/>
    <w:rsid w:val="00B8430D"/>
    <w:rsid w:val="00B85661"/>
    <w:rsid w:val="00B85C8A"/>
    <w:rsid w:val="00B86FBD"/>
    <w:rsid w:val="00B90C16"/>
    <w:rsid w:val="00B91B86"/>
    <w:rsid w:val="00B927CA"/>
    <w:rsid w:val="00B928AE"/>
    <w:rsid w:val="00B93CDA"/>
    <w:rsid w:val="00B942E9"/>
    <w:rsid w:val="00B9433A"/>
    <w:rsid w:val="00B948EE"/>
    <w:rsid w:val="00B94BF3"/>
    <w:rsid w:val="00B94F90"/>
    <w:rsid w:val="00B95DC5"/>
    <w:rsid w:val="00B96E28"/>
    <w:rsid w:val="00B97E34"/>
    <w:rsid w:val="00B97FEF"/>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3C06"/>
    <w:rsid w:val="00BC4E8B"/>
    <w:rsid w:val="00BC5622"/>
    <w:rsid w:val="00BC6060"/>
    <w:rsid w:val="00BC6A9F"/>
    <w:rsid w:val="00BC7897"/>
    <w:rsid w:val="00BD06D7"/>
    <w:rsid w:val="00BD0F35"/>
    <w:rsid w:val="00BD45A4"/>
    <w:rsid w:val="00BD4A5F"/>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1C4"/>
    <w:rsid w:val="00C274F3"/>
    <w:rsid w:val="00C30A54"/>
    <w:rsid w:val="00C316F7"/>
    <w:rsid w:val="00C31DF0"/>
    <w:rsid w:val="00C33916"/>
    <w:rsid w:val="00C33BCF"/>
    <w:rsid w:val="00C353A0"/>
    <w:rsid w:val="00C368D7"/>
    <w:rsid w:val="00C36FD1"/>
    <w:rsid w:val="00C371A5"/>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69E"/>
    <w:rsid w:val="00C672B0"/>
    <w:rsid w:val="00C729C7"/>
    <w:rsid w:val="00C732AF"/>
    <w:rsid w:val="00C751EC"/>
    <w:rsid w:val="00C777AD"/>
    <w:rsid w:val="00C80C53"/>
    <w:rsid w:val="00C81195"/>
    <w:rsid w:val="00C81798"/>
    <w:rsid w:val="00C85387"/>
    <w:rsid w:val="00C85E52"/>
    <w:rsid w:val="00C86471"/>
    <w:rsid w:val="00C8677B"/>
    <w:rsid w:val="00C86F96"/>
    <w:rsid w:val="00C909C6"/>
    <w:rsid w:val="00C923B7"/>
    <w:rsid w:val="00C94D4C"/>
    <w:rsid w:val="00C96C1E"/>
    <w:rsid w:val="00C96CA4"/>
    <w:rsid w:val="00CA012C"/>
    <w:rsid w:val="00CA0AA6"/>
    <w:rsid w:val="00CA2897"/>
    <w:rsid w:val="00CA44F3"/>
    <w:rsid w:val="00CA582C"/>
    <w:rsid w:val="00CA6077"/>
    <w:rsid w:val="00CA715B"/>
    <w:rsid w:val="00CA7988"/>
    <w:rsid w:val="00CA7BA2"/>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917"/>
    <w:rsid w:val="00DA6926"/>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822"/>
    <w:rsid w:val="00DC7AF1"/>
    <w:rsid w:val="00DD2CDA"/>
    <w:rsid w:val="00DD2D92"/>
    <w:rsid w:val="00DD3026"/>
    <w:rsid w:val="00DD33DC"/>
    <w:rsid w:val="00DD3BB0"/>
    <w:rsid w:val="00DD54B5"/>
    <w:rsid w:val="00DD61F5"/>
    <w:rsid w:val="00DD7418"/>
    <w:rsid w:val="00DE64A6"/>
    <w:rsid w:val="00DE66EB"/>
    <w:rsid w:val="00DE7035"/>
    <w:rsid w:val="00DF12E3"/>
    <w:rsid w:val="00DF2A20"/>
    <w:rsid w:val="00DF3F1D"/>
    <w:rsid w:val="00DF595C"/>
    <w:rsid w:val="00DF7EA7"/>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44E"/>
    <w:rsid w:val="00F32462"/>
    <w:rsid w:val="00F32FF7"/>
    <w:rsid w:val="00F33EDE"/>
    <w:rsid w:val="00F3568B"/>
    <w:rsid w:val="00F377CD"/>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Heading1">
    <w:name w:val="heading 1"/>
    <w:basedOn w:val="Normal"/>
    <w:next w:val="Normal"/>
    <w:link w:val="Heading1Char"/>
    <w:qFormat/>
    <w:locked/>
    <w:rsid w:val="00BB1973"/>
    <w:pPr>
      <w:keepNext/>
      <w:numPr>
        <w:numId w:val="36"/>
      </w:numPr>
      <w:spacing w:before="240" w:after="60" w:line="360" w:lineRule="auto"/>
      <w:outlineLvl w:val="0"/>
    </w:pPr>
    <w:rPr>
      <w:b/>
      <w:bCs/>
      <w:color w:val="00379F"/>
      <w:kern w:val="32"/>
      <w:sz w:val="28"/>
      <w:szCs w:val="28"/>
    </w:rPr>
  </w:style>
  <w:style w:type="paragraph" w:styleId="Heading2">
    <w:name w:val="heading 2"/>
    <w:basedOn w:val="Normal"/>
    <w:next w:val="Normal"/>
    <w:link w:val="Heading2Char2"/>
    <w:qFormat/>
    <w:locked/>
    <w:rsid w:val="00886A60"/>
    <w:pPr>
      <w:keepNext/>
      <w:keepLines/>
      <w:spacing w:before="200" w:after="120"/>
      <w:outlineLvl w:val="1"/>
    </w:pPr>
    <w:rPr>
      <w:b/>
      <w:bCs/>
      <w:szCs w:val="26"/>
    </w:rPr>
  </w:style>
  <w:style w:type="paragraph" w:styleId="Heading3">
    <w:name w:val="heading 3"/>
    <w:basedOn w:val="Normal"/>
    <w:next w:val="Normal"/>
    <w:link w:val="Heading3Char2"/>
    <w:qFormat/>
    <w:locked/>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uiPriority w:val="9"/>
    <w:qFormat/>
    <w:locked/>
    <w:rsid w:val="00E9344E"/>
    <w:pPr>
      <w:keepNext/>
      <w:keepLines/>
      <w:numPr>
        <w:numId w:val="12"/>
      </w:numPr>
      <w:spacing w:before="200"/>
      <w:outlineLvl w:val="4"/>
    </w:pPr>
    <w:rPr>
      <w:b/>
    </w:rPr>
  </w:style>
  <w:style w:type="paragraph" w:styleId="Heading6">
    <w:name w:val="heading 6"/>
    <w:basedOn w:val="Normal"/>
    <w:next w:val="Normal"/>
    <w:link w:val="Heading6Char"/>
    <w:qFormat/>
    <w:locked/>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locked/>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locked/>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locked/>
    <w:rsid w:val="00A06867"/>
    <w:pPr>
      <w:tabs>
        <w:tab w:val="num" w:pos="1584"/>
      </w:tabs>
      <w:spacing w:before="240" w:after="60"/>
      <w:ind w:left="1584" w:hanging="1584"/>
      <w:outlineLvl w:val="8"/>
    </w:pPr>
    <w:rPr>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locked/>
    <w:rsid w:val="005B64CB"/>
    <w:pPr>
      <w:tabs>
        <w:tab w:val="center" w:pos="4536"/>
        <w:tab w:val="right" w:pos="9072"/>
      </w:tabs>
    </w:pPr>
  </w:style>
  <w:style w:type="paragraph" w:styleId="Footer">
    <w:name w:val="footer"/>
    <w:basedOn w:val="Normal"/>
    <w:link w:val="FooterChar"/>
    <w:uiPriority w:val="99"/>
    <w:locked/>
    <w:rsid w:val="005B64CB"/>
    <w:pPr>
      <w:tabs>
        <w:tab w:val="center" w:pos="4536"/>
        <w:tab w:val="right" w:pos="9072"/>
      </w:tabs>
    </w:pPr>
  </w:style>
  <w:style w:type="table" w:styleId="TableGrid">
    <w:name w:val="Table Grid"/>
    <w:basedOn w:val="TableNorma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PageNumber">
    <w:name w:val="page number"/>
    <w:basedOn w:val="DefaultParagraphFon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
    <w:basedOn w:val="Normal"/>
    <w:link w:val="FootnoteTextChar"/>
    <w:qFormat/>
    <w:locked/>
    <w:rsid w:val="001725A5"/>
    <w:pPr>
      <w:spacing w:line="200" w:lineRule="exact"/>
    </w:pPr>
    <w:rPr>
      <w:sz w:val="16"/>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TOC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CommentReference">
    <w:name w:val="annotation reference"/>
    <w:locked/>
    <w:rsid w:val="004B1E61"/>
    <w:rPr>
      <w:sz w:val="16"/>
      <w:szCs w:val="16"/>
    </w:rPr>
  </w:style>
  <w:style w:type="paragraph" w:styleId="CommentText">
    <w:name w:val="annotation text"/>
    <w:basedOn w:val="Normal"/>
    <w:link w:val="CommentTextChar"/>
    <w:locked/>
    <w:rsid w:val="004B1E61"/>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locked/>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locked/>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Paragraphe de liste,Normal Nivel 1,List Paragraph Main,List first level,List Paragraph_Sections"/>
    <w:basedOn w:val="Normal"/>
    <w:link w:val="ListParagraphChar"/>
    <w:uiPriority w:val="34"/>
    <w:qFormat/>
    <w:locked/>
    <w:rsid w:val="002A0C82"/>
    <w:pPr>
      <w:ind w:left="720"/>
      <w:contextualSpacing/>
    </w:pPr>
  </w:style>
  <w:style w:type="paragraph" w:styleId="TOCHeading">
    <w:name w:val="TOC Heading"/>
    <w:basedOn w:val="Heading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w:link w:val="Footnote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Emphasis">
    <w:name w:val="Emphasis"/>
    <w:uiPriority w:val="20"/>
    <w:qFormat/>
    <w:locked/>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TOC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TOC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TOC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TOC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TOC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TOC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Caption">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cumentMap">
    <w:name w:val="Document Map"/>
    <w:basedOn w:val="Normal"/>
    <w:link w:val="DocumentMapChar"/>
    <w:locked/>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lock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locked/>
    <w:rsid w:val="00AA016B"/>
    <w:pPr>
      <w:numPr>
        <w:numId w:val="7"/>
      </w:numPr>
      <w:spacing w:after="240"/>
    </w:pPr>
    <w:rPr>
      <w:rFonts w:ascii="Times New Roman" w:hAnsi="Times New Roman"/>
      <w:sz w:val="24"/>
      <w:lang w:eastAsia="en-GB"/>
    </w:rPr>
  </w:style>
  <w:style w:type="character" w:customStyle="1" w:styleId="BodyTextChar">
    <w:name w:val="Body Text Char"/>
    <w:link w:val="BodyText"/>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Strong">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rFonts w:eastAsiaTheme="minorEastAsia" w:cs="Arial"/>
      <w:b/>
      <w:bCs/>
      <w:color w:val="1A1A1A" w:themeColor="background1" w:themeShade="1A"/>
      <w:sz w:val="22"/>
      <w:szCs w:val="22"/>
      <w:lang w:eastAsia="en-US"/>
    </w:rPr>
  </w:style>
  <w:style w:type="character" w:customStyle="1" w:styleId="Heading8Char">
    <w:name w:val="Heading 8 Char"/>
    <w:link w:val="Heading8"/>
    <w:rsid w:val="002D6E1A"/>
    <w:rPr>
      <w:rFonts w:eastAsiaTheme="minorEastAsia" w:cs="Arial"/>
      <w:i/>
      <w:iCs/>
      <w:color w:val="1A1A1A" w:themeColor="background1" w:themeShade="1A"/>
      <w:sz w:val="22"/>
      <w:lang w:eastAsia="en-US"/>
    </w:rPr>
  </w:style>
  <w:style w:type="numbering" w:customStyle="1" w:styleId="NoList1">
    <w:name w:val="No List1"/>
    <w:next w:val="NoList"/>
    <w:uiPriority w:val="99"/>
    <w:semiHidden/>
    <w:unhideWhenUsed/>
    <w:locked/>
    <w:rsid w:val="002D6E1A"/>
  </w:style>
  <w:style w:type="character" w:styleId="FollowedHyperlink">
    <w:name w:val="FollowedHyperlink"/>
    <w:unhideWhenUsed/>
    <w:lock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locked/>
    <w:rsid w:val="002D6E1A"/>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ListParagraphChar">
    <w:name w:val="List Paragraph Char"/>
    <w:aliases w:val="Paragraphe EI Char,Paragraphe de liste1 Char,EC Char,Paragraphe de liste Char,Normal Nivel 1 Char,List Paragraph Main Char,List first level Char,List Paragraph_Sections Char"/>
    <w:link w:val="ListParagraph"/>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EndnoteReference">
    <w:name w:val="endnote reference"/>
    <w:unhideWhenUsed/>
    <w:locked/>
    <w:rsid w:val="002D6E1A"/>
    <w:rPr>
      <w:vertAlign w:val="superscript"/>
    </w:rPr>
  </w:style>
  <w:style w:type="character" w:styleId="Placehold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TableNorma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Heading5Char14">
    <w:name w:val="Heading 5 Char14"/>
    <w:aliases w:val="Questions Char7"/>
    <w:link w:val="Heading5"/>
    <w:uiPriority w:val="9"/>
    <w:rsid w:val="00E9344E"/>
    <w:rPr>
      <w:rFonts w:ascii="Arial" w:eastAsiaTheme="minorEastAsia" w:hAnsi="Arial" w:cs="Arial"/>
      <w:b/>
      <w:color w:val="1A1A1A" w:themeColor="background1" w:themeShade="1A"/>
      <w:sz w:val="22"/>
      <w:lang w:eastAsia="en-US"/>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Heading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Heading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Heading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ListNumber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ListNumber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ListNumber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ListBullet">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ListBullet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ListBullet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ListBullet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TableofFigures">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Heading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le">
    <w:name w:val="Title"/>
    <w:basedOn w:val="Normal"/>
    <w:next w:val="Normal"/>
    <w:link w:val="TitleCh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DefaultParagraphFon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eEmphasis">
    <w:name w:val="Intense Emphasis"/>
    <w:basedOn w:val="DefaultParagraphFont"/>
    <w:uiPriority w:val="21"/>
    <w:qFormat/>
    <w:locked/>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Heading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DefaultParagraphFon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Strong"/>
    <w:uiPriority w:val="1"/>
    <w:qFormat/>
    <w:rsid w:val="00F87468"/>
    <w:rPr>
      <w:b w:val="0"/>
      <w:bCs/>
      <w:caps/>
      <w:smallCaps w:val="0"/>
      <w:color w:val="F79646" w:themeColor="accent6"/>
      <w:sz w:val="22"/>
    </w:rPr>
  </w:style>
  <w:style w:type="paragraph" w:styleId="Subtitle">
    <w:name w:val="Subtitle"/>
    <w:basedOn w:val="Normal"/>
    <w:next w:val="Normal"/>
    <w:link w:val="SubtitleChar"/>
    <w:uiPriority w:val="11"/>
    <w:qFormat/>
    <w:locked/>
    <w:rsid w:val="00E70E2E"/>
    <w:pPr>
      <w:numPr>
        <w:ilvl w:val="1"/>
      </w:numPr>
    </w:pPr>
    <w:rPr>
      <w:rFonts w:eastAsiaTheme="majorEastAsia"/>
      <w:b/>
      <w:bCs/>
      <w:sz w:val="28"/>
    </w:rPr>
  </w:style>
  <w:style w:type="character" w:customStyle="1" w:styleId="SubtitleChar">
    <w:name w:val="Subtitle Char"/>
    <w:basedOn w:val="DefaultParagraphFont"/>
    <w:link w:val="Subtitle"/>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UnresolvedMention">
    <w:name w:val="Unresolved Mention"/>
    <w:basedOn w:val="DefaultParagraphFont"/>
    <w:uiPriority w:val="99"/>
    <w:semiHidden/>
    <w:unhideWhenUsed/>
    <w:rsid w:val="0034374F"/>
    <w:rPr>
      <w:color w:val="605E5C"/>
      <w:shd w:val="clear" w:color="auto" w:fill="E1DFDD"/>
    </w:rPr>
  </w:style>
  <w:style w:type="character" w:customStyle="1" w:styleId="HeaderFootChar">
    <w:name w:val="HeaderFoot Char"/>
    <w:basedOn w:val="DefaultParagraphFon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DefaultParagraphFon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www.fsb.org/2024/11/2024-list-of-global-systemically-important-banks-g-sib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hyperlink" Target="https://www.clarusft.com/most-active-names-in-credit-derivatives-april-2025/"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hyperlink" Target="https://finance.ec.europa.eu/document/download/2c80fd40-188d-4837-806d-b34b23fb99bc_en?filename=241017-deg-report-derivatives_en.pdf"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MiFID-MiFIR Policy Document" ma:contentTypeID="0x0101008D9E5D2C101BA04B85C7EB08C6516E40030200EF99A593C3F0614C8A5B6D644C171863" ma:contentTypeVersion="20" ma:contentTypeDescription="" ma:contentTypeScope="" ma:versionID="b8f6e82897e0191159aa619e7a133caf">
  <xsd:schema xmlns:xsd="http://www.w3.org/2001/XMLSchema" xmlns:xs="http://www.w3.org/2001/XMLSchema" xmlns:p="http://schemas.microsoft.com/office/2006/metadata/properties" xmlns:ns2="d0fb0f98-34f9-4d57-9559-eb8efd17aa5e" xmlns:ns3="c3d8dec5-8a41-4471-b9ad-44c181776275" targetNamespace="http://schemas.microsoft.com/office/2006/metadata/properties" ma:root="true" ma:fieldsID="a6fbef2c455e9b03649749803fe8f437" ns2:_="" ns3:_="">
    <xsd:import namespace="d0fb0f98-34f9-4d57-9559-eb8efd17aa5e"/>
    <xsd:import namespace="c3d8dec5-8a41-4471-b9ad-44c181776275"/>
    <xsd:element name="properties">
      <xsd:complexType>
        <xsd:sequence>
          <xsd:element name="documentManagement">
            <xsd:complexType>
              <xsd:all>
                <xsd:element ref="ns2:TaxCatchAll" minOccurs="0"/>
                <xsd:element ref="ns2:Year"/>
                <xsd:element ref="ns2:MeetingDate" minOccurs="0"/>
                <xsd:element ref="ns2:TaxCatchAllLabel" minOccurs="0"/>
                <xsd:element ref="ns2:caa5aeb1a6644849b60fbe2335e12657" minOccurs="0"/>
                <xsd:element ref="ns2:n644e5dfaa29486bad4a4fc019c6d2df" minOccurs="0"/>
                <xsd:element ref="ns2:bce29119141747ccb9ac7d87218ed4af" minOccurs="0"/>
                <xsd:element ref="ns2:eed0a0b2ea6941718a34434e243f3d8f" minOccurs="0"/>
                <xsd:element ref="ns2:j69a081f486747f6ac8a5aeed63facfd" minOccurs="0"/>
                <xsd:element ref="ns2:a9b3b1dad23b4ba58c3f3e36a96e1d9c"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Year" ma:index="13" ma:displayName="Year" ma:indexed="true" ma:internalName="Year" ma:readOnly="false">
      <xsd:simpleType>
        <xsd:restriction base="dms:Text">
          <xsd:maxLength value="4"/>
        </xsd:restriction>
      </xsd:simpleType>
    </xsd:element>
    <xsd:element name="MeetingDate" ma:index="15" nillable="true" ma:displayName="Meeting Date" ma:format="DateOnly" ma:internalName="MeetingDate" ma:readOnly="false">
      <xsd:simpleType>
        <xsd:restriction base="dms:DateTime"/>
      </xsd:simple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caa5aeb1a6644849b60fbe2335e12657" ma:index="18" nillable="true" ma:taxonomy="true" ma:internalName="caa5aeb1a6644849b60fbe2335e12657" ma:taxonomyFieldName="Topic" ma:displayName="Topic" ma:indexed="true" ma:readOnly="false" ma:fieldId="{caa5aeb1-a664-4849-b60f-be2335e12657}" ma:sspId="d4b01e31-ead0-4f68-a8e9-2aaca35f2e62" ma:termSetId="7b949606-90e2-4f49-8484-424f131284b3" ma:anchorId="00000000-0000-0000-0000-000000000000" ma:open="false" ma:isKeyword="false">
      <xsd:complexType>
        <xsd:sequence>
          <xsd:element ref="pc:Terms" minOccurs="0" maxOccurs="1"/>
        </xsd:sequence>
      </xsd:complexType>
    </xsd:element>
    <xsd:element name="n644e5dfaa29486bad4a4fc019c6d2df" ma:index="19" nillable="true" ma:taxonomy="true" ma:internalName="n644e5dfaa29486bad4a4fc019c6d2df" ma:taxonomyFieldName="SubTopic" ma:displayName="Sub Topic" ma:indexed="true" ma:readOnly="false" ma:fieldId="{7644e5df-aa29-486b-ad4a-4fc019c6d2df}" ma:sspId="d4b01e31-ead0-4f68-a8e9-2aaca35f2e62" ma:termSetId="c9d88329-36bd-4ba5-881c-dae898303a52" ma:anchorId="00000000-0000-0000-0000-000000000000" ma:open="false" ma:isKeyword="false">
      <xsd:complexType>
        <xsd:sequence>
          <xsd:element ref="pc:Terms" minOccurs="0" maxOccurs="1"/>
        </xsd:sequence>
      </xsd:complexType>
    </xsd:element>
    <xsd:element name="bce29119141747ccb9ac7d87218ed4af" ma:index="20" ma:taxonomy="true" ma:internalName="bce29119141747ccb9ac7d87218ed4af" ma:taxonomyFieldName="TeamName" ma:displayName="Team Name" ma:readOnly="false" ma:default="8;#Secondary Markets|0116aa60-aa30-4997-8f0f-29abf5f5f198"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eed0a0b2ea6941718a34434e243f3d8f" ma:index="21"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22"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3"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d8dec5-8a41-4471-b9ad-44c18177627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MeetingDate xmlns="d0fb0f98-34f9-4d57-9559-eb8efd17aa5e" xsi:nil="true"/>
    <Year xmlns="d0fb0f98-34f9-4d57-9559-eb8efd17aa5e">2024</Year>
    <TaxCatchAll xmlns="d0fb0f98-34f9-4d57-9559-eb8efd17aa5e">
      <Value>6</Value>
      <Value>895</Value>
      <Value>103</Value>
      <Value>934</Value>
      <Value>8</Value>
    </TaxCatchAll>
    <_dlc_DocId xmlns="d0fb0f98-34f9-4d57-9559-eb8efd17aa5e">ESMA74-276584410-10988</_dlc_DocId>
    <_dlc_DocIdUrl xmlns="d0fb0f98-34f9-4d57-9559-eb8efd17aa5e">
      <Url>https://securitiesandmarketsauth.sharepoint.com/sites/sherpa-trdu/_layouts/15/DocIdRedir.aspx?ID=ESMA74-276584410-10988</Url>
      <Description>ESMA74-276584410-10988</Description>
    </_dlc_DocIdUrl>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TAs ITSs RTSs: new and amendments</TermName>
          <TermId xmlns="http://schemas.microsoft.com/office/infopath/2007/PartnerControls">cb937b6c-0f1a-40e7-ab35-3044279ac8a7</TermId>
        </TermInfo>
      </Terms>
    </caa5aeb1a6644849b60fbe2335e12657>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Secondary Markets</TermName>
          <TermId xmlns="http://schemas.microsoft.com/office/infopath/2007/PartnerControls">0116aa60-aa30-4997-8f0f-29abf5f5f198</TermId>
        </TermInfo>
      </Terms>
    </bce29119141747ccb9ac7d87218ed4af>
    <a9b3b1dad23b4ba58c3f3e36a96e1d9c xmlns="d0fb0f98-34f9-4d57-9559-eb8efd17aa5e">
      <Terms xmlns="http://schemas.microsoft.com/office/infopath/2007/PartnerControls"/>
    </a9b3b1dad23b4ba58c3f3e36a96e1d9c>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2024 - RTS 2 amendment (MiFID II/MiFIR review)</TermName>
          <TermId xmlns="http://schemas.microsoft.com/office/infopath/2007/PartnerControls">52b098f5-52a3-4e93-b5cd-0239cfd306ea</TermId>
        </TermInfo>
      </Terms>
    </n644e5dfaa29486bad4a4fc019c6d2df>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Form / Request</TermName>
          <TermId xmlns="http://schemas.microsoft.com/office/infopath/2007/PartnerControls">efe27f23-61a2-47e7-916e-544dd02c80f4</TermId>
        </TermInfo>
      </Terms>
    </eed0a0b2ea6941718a34434e243f3d8f>
    <lcf76f155ced4ddcb4097134ff3c332f xmlns="c3d8dec5-8a41-4471-b9ad-44c1817762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customXml/itemProps2.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3.xml><?xml version="1.0" encoding="utf-8"?>
<ds:datastoreItem xmlns:ds="http://schemas.openxmlformats.org/officeDocument/2006/customXml" ds:itemID="{583B3ABB-1E22-43DF-B118-E1D48363CC1A}">
  <ds:schemaRefs>
    <ds:schemaRef ds:uri="http://schemas.microsoft.com/sharepoint/events"/>
  </ds:schemaRefs>
</ds:datastoreItem>
</file>

<file path=customXml/itemProps4.xml><?xml version="1.0" encoding="utf-8"?>
<ds:datastoreItem xmlns:ds="http://schemas.openxmlformats.org/officeDocument/2006/customXml" ds:itemID="{6CFCB2B9-F79A-4AEA-8DA4-A081BAC7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c3d8dec5-8a41-4471-b9ad-44c181776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6.xml><?xml version="1.0" encoding="utf-8"?>
<ds:datastoreItem xmlns:ds="http://schemas.openxmlformats.org/officeDocument/2006/customXml" ds:itemID="{3F37C169-B082-42D7-95A8-39DCDC7C43D3}">
  <ds:schemaRefs>
    <ds:schemaRef ds:uri="d0fb0f98-34f9-4d57-9559-eb8efd17aa5e"/>
    <ds:schemaRef ds:uri="http://purl.org/dc/terms/"/>
    <ds:schemaRef ds:uri="http://www.w3.org/XML/1998/namespace"/>
    <ds:schemaRef ds:uri="http://purl.org/dc/elements/1.1/"/>
    <ds:schemaRef ds:uri="http://schemas.microsoft.com/office/2006/metadata/properties"/>
    <ds:schemaRef ds:uri="http://schemas.microsoft.com/office/2006/documentManagement/types"/>
    <ds:schemaRef ds:uri="c3d8dec5-8a41-4471-b9ad-44c181776275"/>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19</Pages>
  <Words>4809</Words>
  <Characters>26350</Characters>
  <Application>Microsoft Office Word</Application>
  <DocSecurity>8</DocSecurity>
  <Lines>219</Lines>
  <Paragraphs>62</Paragraphs>
  <ScaleCrop>false</ScaleCrop>
  <HeadingPairs>
    <vt:vector size="2" baseType="variant">
      <vt:variant>
        <vt:lpstr>Title</vt:lpstr>
      </vt:variant>
      <vt:variant>
        <vt:i4>1</vt:i4>
      </vt:variant>
    </vt:vector>
  </HeadingPairs>
  <TitlesOfParts>
    <vt:vector size="1" baseType="lpstr">
      <vt:lpstr>Reply form for the MiFID II/MiFIR Consultation Paper</vt:lpstr>
    </vt:vector>
  </TitlesOfParts>
  <Company>ESMA</Company>
  <LinksUpToDate>false</LinksUpToDate>
  <CharactersWithSpaces>31097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keywords>EVIA</cp:keywords>
  <cp:lastModifiedBy>Alexander McDonald</cp:lastModifiedBy>
  <cp:revision>5</cp:revision>
  <cp:lastPrinted>2025-07-03T20:16:00Z</cp:lastPrinted>
  <dcterms:created xsi:type="dcterms:W3CDTF">2025-07-03T19:16:00Z</dcterms:created>
  <dcterms:modified xsi:type="dcterms:W3CDTF">2025-07-03T20:19:00Z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0x0101008D9E5D2C101BA04B85C7EB08C6516E40030200EF99A593C3F0614C8A5B6D644C171863</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ies>
</file>