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Content>
            <w:tc>
              <w:tcPr>
                <w:tcW w:w="5595" w:type="dxa"/>
                <w:shd w:val="clear" w:color="auto" w:fill="auto"/>
                <w:vAlign w:val="center"/>
              </w:tcPr>
              <w:p w14:paraId="633DB1B6" w14:textId="26E75B1B" w:rsidR="00C2682A" w:rsidRPr="00104E00" w:rsidRDefault="00922DFE" w:rsidP="00104E00">
                <w:pPr>
                  <w:jc w:val="left"/>
                  <w:rPr>
                    <w:rStyle w:val="PlaceholderText"/>
                  </w:rPr>
                </w:pPr>
                <w:r>
                  <w:rPr>
                    <w:rStyle w:val="PlaceholderText"/>
                  </w:rPr>
                  <w:t>OSTTRA</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3C52E6C3" w:rsidR="00C2682A" w:rsidRPr="00104E00" w:rsidRDefault="00000000"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922DFE">
                  <w:t>Other Financial service providers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0"/>
              <w14:checkedState w14:val="2612" w14:font="MS Gothic"/>
              <w14:uncheckedState w14:val="2610" w14:font="MS Gothic"/>
            </w14:checkbox>
          </w:sdtPr>
          <w:sdtContent>
            <w:tc>
              <w:tcPr>
                <w:tcW w:w="5595" w:type="dxa"/>
                <w:shd w:val="clear" w:color="auto" w:fill="auto"/>
                <w:vAlign w:val="center"/>
              </w:tcPr>
              <w:p w14:paraId="4BD68813" w14:textId="0621D776" w:rsidR="00C2682A" w:rsidRPr="00104E00" w:rsidRDefault="00922DFE"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vAlign w:val="center"/>
              </w:tcPr>
              <w:p w14:paraId="204E7C89" w14:textId="14ECC297" w:rsidR="00C2682A" w:rsidRPr="00104E00" w:rsidRDefault="00922DFE" w:rsidP="00104E00">
                <w:pPr>
                  <w:jc w:val="left"/>
                </w:pPr>
                <w:r>
                  <w:t>Sweden</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49A37E5" w14:textId="77777777" w:rsidR="00131ECC" w:rsidRDefault="00131ECC" w:rsidP="00131ECC">
      <w:permStart w:id="651311428" w:edGrp="everyone"/>
      <w:r>
        <w:t>TYPE YOUR TEXT HERE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47FFFF42" w14:textId="79F58958" w:rsidR="00F402DC" w:rsidRDefault="00F277E0" w:rsidP="00F277E0">
      <w:permStart w:id="1252945268" w:edGrp="everyone"/>
      <w:r>
        <w:t>I</w:t>
      </w:r>
      <w:r w:rsidR="00F402DC">
        <w:t xml:space="preserve">n this consultation and the accompanying draft RTS 2, ESMA has chosen to interpret the Delegated Act on identifying reference data for OTC derivatives in such a way as to utilise a modified ISIN rather than the </w:t>
      </w:r>
      <w:r>
        <w:t>globally recognised standard, Unique Product Identifier (</w:t>
      </w:r>
      <w:r w:rsidR="00F402DC">
        <w:t>UPI</w:t>
      </w:r>
      <w:r>
        <w:t xml:space="preserve">) </w:t>
      </w:r>
      <w:hyperlink r:id="rId27" w:history="1">
        <w:r w:rsidRPr="00F277E0">
          <w:t>ISO 4914:2021</w:t>
        </w:r>
      </w:hyperlink>
      <w:r w:rsidR="00F402DC">
        <w:t>.</w:t>
      </w:r>
    </w:p>
    <w:p w14:paraId="42F0526E" w14:textId="4966609C" w:rsidR="00F402DC" w:rsidRDefault="00F402DC" w:rsidP="00F402DC">
      <w:r>
        <w:t xml:space="preserve">However, given the launch of ESMA’s </w:t>
      </w:r>
      <w:hyperlink r:id="rId28" w:history="1">
        <w:r w:rsidRPr="00430D44">
          <w:rPr>
            <w:rStyle w:val="Hyperlink"/>
          </w:rPr>
          <w:t>Call for Evidence on a comprehensive approach for the simplification of financial transaction reporting</w:t>
        </w:r>
      </w:hyperlink>
      <w:r>
        <w:t xml:space="preserve"> and the associated pause in changes to MiFIR RTS 22 and RTS 23, </w:t>
      </w:r>
      <w:r w:rsidR="00F277E0">
        <w:t>it appears t</w:t>
      </w:r>
      <w:r>
        <w:t xml:space="preserve">hat this approach is no longer </w:t>
      </w:r>
      <w:r w:rsidR="004E5B8B">
        <w:t>tenable</w:t>
      </w:r>
      <w:r>
        <w:t>.</w:t>
      </w:r>
    </w:p>
    <w:p w14:paraId="18971C6E" w14:textId="15183C49" w:rsidR="00F402DC" w:rsidRDefault="00F402DC" w:rsidP="00F402DC">
      <w:r>
        <w:t xml:space="preserve">In the absence of changes to RTS 23 to report a modified ISIN to FIRDS, and to RTS 22 to require the use of a modified ISIN in MiFIR Article 26 reporting, </w:t>
      </w:r>
      <w:r w:rsidR="004E5B8B">
        <w:t>it appears im</w:t>
      </w:r>
      <w:r>
        <w:t>possible to implement a modified ISIN for the purposes of derivatives transparency in isolation.</w:t>
      </w:r>
    </w:p>
    <w:p w14:paraId="782A72F6" w14:textId="2FB0082B" w:rsidR="00F402DC" w:rsidRDefault="004E5B8B" w:rsidP="00F402DC">
      <w:r>
        <w:t xml:space="preserve">Therefore, the only </w:t>
      </w:r>
      <w:r w:rsidR="00F402DC">
        <w:t xml:space="preserve">outcome </w:t>
      </w:r>
      <w:r>
        <w:t>is to</w:t>
      </w:r>
      <w:r w:rsidR="00F402DC">
        <w:t xml:space="preserve"> report the UPI and other fields specified in the Delegated Act on identifying reference data for OTC derivatives directly in the RTS 2 report.  This would require </w:t>
      </w:r>
      <w:r>
        <w:t xml:space="preserve">the corresponding </w:t>
      </w:r>
      <w:r w:rsidR="00F402DC">
        <w:t>changes to Tables 1 and 2 of Annex II of the draft RTS 2.</w:t>
      </w:r>
    </w:p>
    <w:p w14:paraId="007F88A8" w14:textId="692F72A3" w:rsidR="004E5B8B" w:rsidRPr="004E5B8B" w:rsidRDefault="004E5B8B" w:rsidP="004E5B8B">
      <w:r w:rsidRPr="004E5B8B">
        <w:t xml:space="preserve">We believe </w:t>
      </w:r>
      <w:r>
        <w:t xml:space="preserve">that this would be a good outcome as it would ensure </w:t>
      </w:r>
      <w:r w:rsidRPr="004E5B8B">
        <w:t>international alignment of OTC derivative identifiers, which are increasingly based on the Unique Product Identifier (UPI) rather than an OTC ISIN.</w:t>
      </w:r>
    </w:p>
    <w:p w14:paraId="38A4509D" w14:textId="5C4DCCA0" w:rsidR="004E5B8B" w:rsidRDefault="004E5B8B" w:rsidP="00F402DC">
      <w:r w:rsidRPr="004E5B8B">
        <w:t>We would support maximum alignment of reference data, including product identifiers, across all EU reporting mandates. Wherever possible, this should be coupled with international harmonisation.</w:t>
      </w:r>
    </w:p>
    <w:p w14:paraId="239977F0" w14:textId="2543E491" w:rsidR="004E5B8B" w:rsidRDefault="004E5B8B" w:rsidP="00F402DC">
      <w:pPr>
        <w:rPr>
          <w:lang w:val="en-US"/>
        </w:rPr>
      </w:pPr>
      <w:proofErr w:type="gramStart"/>
      <w:r>
        <w:t>I</w:t>
      </w:r>
      <w:r w:rsidR="00F402DC">
        <w:t>n light of</w:t>
      </w:r>
      <w:proofErr w:type="gramEnd"/>
      <w:r w:rsidR="00F402DC">
        <w:t xml:space="preserve"> ESMA’s aim of simplifying and reducing the reporting burden in the financial sector, the changes (and therefore costs) that would be required to modify ISIN </w:t>
      </w:r>
      <w:r w:rsidR="00F402DC" w:rsidRPr="009B031B">
        <w:rPr>
          <w:lang w:val="en-US"/>
        </w:rPr>
        <w:t>creation, retrieval and consumption would be considerably more significant</w:t>
      </w:r>
      <w:r w:rsidR="00F402DC">
        <w:rPr>
          <w:lang w:val="en-US"/>
        </w:rPr>
        <w:t xml:space="preserve"> than switching to use of the UPI for transparency.</w:t>
      </w:r>
    </w:p>
    <w:p w14:paraId="0E099532" w14:textId="16AEEE5C" w:rsidR="00131ECC" w:rsidRDefault="004E5B8B" w:rsidP="00F402DC">
      <w:r>
        <w:lastRenderedPageBreak/>
        <w:t>We</w:t>
      </w:r>
      <w:r w:rsidR="00F402DC">
        <w:t xml:space="preserve"> support the post-trade deferral flags proposed by ESMA.</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1CC95130" w14:textId="6FDBA42E" w:rsidR="003E326A" w:rsidRDefault="00922DFE" w:rsidP="003E326A">
      <w:permStart w:id="1795046886" w:edGrp="everyone"/>
      <w:r>
        <w:t>F</w:t>
      </w:r>
      <w:r w:rsidR="003E326A">
        <w:t xml:space="preserve">or trades executed </w:t>
      </w:r>
      <w:r>
        <w:t>that are not executed electronically on a</w:t>
      </w:r>
      <w:r w:rsidR="003E326A">
        <w:t xml:space="preserve"> trading venue (for convenience, collectively referred to from here on in as “voice trades”), which continue to be widespread in OTC derivatives trading, </w:t>
      </w:r>
      <w:r>
        <w:t>30</w:t>
      </w:r>
      <w:r w:rsidR="003E326A">
        <w:t xml:space="preserve"> minutes is a realistic value for the concept of “as close to real-time as technically possible”.  We note that with the addition of single name CDS referencing GSIBs to the scope of transparency for OTC derivatives under revised MiFIR, the number of voice trades that will be executed will undoubtedly increase, as many single name CDS are executed directly between two counterparties outside of any trading venue.  We </w:t>
      </w:r>
      <w:r>
        <w:t>therefore</w:t>
      </w:r>
      <w:r w:rsidR="003E326A">
        <w:t xml:space="preserve"> support the inclusion of a provision in the revised RTS 2 that stipulates that the concept of “as close to real-time as technically possible” allows for a delay of </w:t>
      </w:r>
      <w:r>
        <w:t>30</w:t>
      </w:r>
      <w:r w:rsidR="003E326A">
        <w:t xml:space="preserve"> minutes</w:t>
      </w:r>
      <w:r w:rsidR="003E326A" w:rsidRPr="00A277D0">
        <w:t xml:space="preserve"> </w:t>
      </w:r>
      <w:r w:rsidR="003E326A">
        <w:t>for voice trades</w:t>
      </w:r>
      <w:r>
        <w:t xml:space="preserve"> in their various forms</w:t>
      </w:r>
      <w:r w:rsidR="003E326A">
        <w:t>.</w:t>
      </w:r>
    </w:p>
    <w:p w14:paraId="0702506E" w14:textId="3CD8DC54" w:rsidR="00131ECC" w:rsidRDefault="00922DFE" w:rsidP="003E326A">
      <w:r>
        <w:t>T</w:t>
      </w:r>
      <w:r w:rsidR="003E326A">
        <w:t xml:space="preserve">his would not be a deferral, </w:t>
      </w:r>
      <w:r>
        <w:t xml:space="preserve">firms would still </w:t>
      </w:r>
      <w:r w:rsidR="00F277E0">
        <w:t>report “as</w:t>
      </w:r>
      <w:r>
        <w:t xml:space="preserve"> close to real-time as technically possible”</w:t>
      </w:r>
      <w:r>
        <w:t xml:space="preserve"> </w:t>
      </w:r>
      <w:r w:rsidR="003E326A">
        <w:t xml:space="preserve">but </w:t>
      </w:r>
      <w:r>
        <w:t xml:space="preserve">it would give </w:t>
      </w:r>
      <w:r w:rsidR="003E326A">
        <w:t>recognition that manual trade entry for voice traded OTC derivatives is time consuming.</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64599F88" w14:textId="16AA3418" w:rsidR="00131ECC" w:rsidRDefault="004E5B8B" w:rsidP="005A75FE">
      <w:permStart w:id="97283499" w:edGrp="everyone"/>
      <w:r>
        <w:t xml:space="preserve">UPI should be adopted instead of OTC </w:t>
      </w:r>
      <w:r w:rsidR="005A75FE">
        <w:t>ISIN for transparency for OTC derivatives.</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49CAF130" w14:textId="77777777" w:rsidR="00131ECC" w:rsidRDefault="00131ECC" w:rsidP="00131ECC">
      <w:permStart w:id="1086263988" w:edGrp="everyone"/>
      <w:r>
        <w:t>TYPE YOUR TEXT HERE</w:t>
      </w:r>
    </w:p>
    <w:permEnd w:id="1086263988"/>
    <w:p w14:paraId="09938B64" w14:textId="77777777" w:rsidR="00131ECC" w:rsidRDefault="00131ECC" w:rsidP="00131ECC">
      <w:r>
        <w:lastRenderedPageBreak/>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77777777" w:rsidR="00131ECC" w:rsidRDefault="00131ECC" w:rsidP="00131ECC">
      <w:permStart w:id="1304631682" w:edGrp="everyone"/>
      <w:r>
        <w:t>TYPE YOUR TEXT HERE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77777777" w:rsidR="00131ECC" w:rsidRDefault="00131ECC" w:rsidP="00131ECC">
      <w:permStart w:id="93025034" w:edGrp="everyone"/>
      <w:r>
        <w:t>TYPE YOUR TEXT HERE</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Default="00131ECC" w:rsidP="00131ECC">
      <w:permStart w:id="705578859" w:edGrp="everyone"/>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1B0AA741" w14:textId="77777777" w:rsidR="00131ECC" w:rsidRDefault="00131ECC" w:rsidP="00131ECC">
      <w:permStart w:id="1464080814" w:edGrp="everyone"/>
      <w:r>
        <w:t>TYPE YOUR TEXT HERE</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Default="00131ECC" w:rsidP="00131ECC">
      <w:permStart w:id="1449010517" w:edGrp="everyone"/>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779E49F3" w14:textId="77777777" w:rsidR="00131ECC" w:rsidRDefault="00131ECC" w:rsidP="00131ECC">
      <w:permStart w:id="1248143207" w:edGrp="everyone"/>
      <w:r>
        <w:t>TYPE YOUR TEXT HERE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27FBA21E" w14:textId="15295137" w:rsidR="002E466B" w:rsidRDefault="00922DFE" w:rsidP="002E466B">
      <w:permStart w:id="24068063" w:edGrp="everyone"/>
      <w:r>
        <w:t>A</w:t>
      </w:r>
      <w:r w:rsidR="002E466B">
        <w:t xml:space="preserve">s recommended in the DEG report, forward starting swaps, FRAs and basis swaps should be excluded from the scope of transparency, as they do not represent </w:t>
      </w:r>
      <w:r>
        <w:t xml:space="preserve">material </w:t>
      </w:r>
      <w:r w:rsidR="002E466B">
        <w:t>addressable liquidity</w:t>
      </w:r>
      <w:r>
        <w:t xml:space="preserve"> in the tenor points in scope of revised MiFIR transparency</w:t>
      </w:r>
      <w:r w:rsidR="002E466B">
        <w:t xml:space="preserve">.  Inclusion of these instruments adds </w:t>
      </w:r>
      <w:r w:rsidR="002E466B">
        <w:lastRenderedPageBreak/>
        <w:t>complexity to the regime and market participants’ implementation of revised MiFIR, while providing no meaningful contribution to price formation.</w:t>
      </w:r>
    </w:p>
    <w:p w14:paraId="7B872D31" w14:textId="774C52F1" w:rsidR="002E466B" w:rsidRDefault="00922DFE" w:rsidP="002E466B">
      <w:r>
        <w:t>T</w:t>
      </w:r>
      <w:r w:rsidR="002E466B">
        <w:t xml:space="preserve">he combination of the scope being restricted to </w:t>
      </w:r>
      <w:r>
        <w:t xml:space="preserve">the specified </w:t>
      </w:r>
      <w:r w:rsidR="002E466B">
        <w:t>whole year tenors and the exemption from post-trade transparency of transactions executed as part of post-trade risk reduction exercises means that the number of FRAs that will be made transparent will be extremely low.</w:t>
      </w:r>
      <w:r w:rsidR="00ED3A79">
        <w:t xml:space="preserve"> Basis swaps and forward starting have low volume in the prescribed tenors too.</w:t>
      </w:r>
      <w:r w:rsidR="002E466B">
        <w:t xml:space="preserve">  This means that significant effort will be expended to include them, to virtually no practical effect. </w:t>
      </w:r>
      <w:r w:rsidR="00ED3A79">
        <w:t>Th</w:t>
      </w:r>
      <w:r w:rsidR="002E466B">
        <w:t xml:space="preserve">erefore, including forward starting swaps, basis swaps and FRAs in the scope of transparency would be inconsistent with ESMA’s aim of simplifying and reducing the reporting burden in the financial sector. </w:t>
      </w:r>
    </w:p>
    <w:p w14:paraId="0BDD97E8" w14:textId="3ED971BF" w:rsidR="002E466B" w:rsidRDefault="002E466B" w:rsidP="002E466B">
      <w:r>
        <w:t xml:space="preserve">If, notwithstanding the minimal value that their inclusion would provide, forward starting interest rate derivatives are included in the scope of transparency, </w:t>
      </w:r>
      <w:r w:rsidR="00ED3A79">
        <w:t>these sh</w:t>
      </w:r>
      <w:r>
        <w:t xml:space="preserve">ould </w:t>
      </w:r>
      <w:r w:rsidR="00ED3A79">
        <w:t xml:space="preserve">not </w:t>
      </w:r>
      <w:r>
        <w:t>be treated a</w:t>
      </w:r>
      <w:r w:rsidR="00ED3A79">
        <w:t xml:space="preserve">s equivalent </w:t>
      </w:r>
      <w:r>
        <w:t xml:space="preserve">to spot starting swaps. </w:t>
      </w:r>
      <w:r w:rsidR="00ED3A79">
        <w:t>A f</w:t>
      </w:r>
      <w:r>
        <w:t xml:space="preserve">orward starting swap is comparable to a package of two interest rate </w:t>
      </w:r>
      <w:r w:rsidR="00F277E0">
        <w:t>derivatives;</w:t>
      </w:r>
      <w:r>
        <w:t xml:space="preserve"> a practical and effective approach would be to apply the threshold and deferral that would apply to the less liquid component of the “package”.  </w:t>
      </w:r>
      <w:r w:rsidR="00ED3A79">
        <w:t>T</w:t>
      </w:r>
      <w:r>
        <w:t>his would typically (but not always) be the component with the longer maturity.</w:t>
      </w:r>
    </w:p>
    <w:p w14:paraId="4F19505C" w14:textId="77777777" w:rsidR="002E466B" w:rsidRDefault="002E466B" w:rsidP="002E466B">
      <w:r>
        <w:t>For example, a 5Y OIS swap referencing SOFR and starting in 2 years is effectively a package of a 2Y OIS swap referencing SOFR in one direction, and a 7Y OIS swap referencing SOFR in the other direction.  Based on Table 3.2 in the draft RTS, this should have the threshold and deferrals that apply to a spot starting 7Y OIS swap referencing SOFR.</w:t>
      </w:r>
    </w:p>
    <w:p w14:paraId="1A192CAB" w14:textId="464E78F0" w:rsidR="00131ECC" w:rsidRDefault="002E466B" w:rsidP="002E466B">
      <w:r>
        <w:t>Should FRAs and basis swaps be included in the scope of transparency despite the minimal value this would add, it is essential that their illiquid status under the proposed RTS 2 is supported by appropriate thresholds and deferral periods.</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647544EC" w14:textId="77777777" w:rsidR="00ED3A79" w:rsidRDefault="00ED3A79" w:rsidP="00ED3A79">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lastRenderedPageBreak/>
        <w:t>&lt;ESMA_QUESTION_DERI_15&gt;</w:t>
      </w:r>
    </w:p>
    <w:p w14:paraId="20CC1018" w14:textId="77777777" w:rsidR="00ED3A79" w:rsidRDefault="00ED3A79" w:rsidP="00ED3A79">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6088FFF4" w14:textId="63C89DD6" w:rsidR="00E61C82" w:rsidRDefault="00ED3A79" w:rsidP="00E61C82">
      <w:permStart w:id="857082364" w:edGrp="everyone"/>
      <w:r>
        <w:rPr>
          <w:lang w:val="en-US"/>
        </w:rPr>
        <w:t>T</w:t>
      </w:r>
      <w:r w:rsidR="00E61C82" w:rsidRPr="008E2238">
        <w:rPr>
          <w:lang w:val="en-US"/>
        </w:rPr>
        <w:t xml:space="preserve">he proposed threshold sizes for those OTC interest rate derivatives assessed as liquid </w:t>
      </w:r>
      <w:r>
        <w:rPr>
          <w:lang w:val="en-US"/>
        </w:rPr>
        <w:t>appear</w:t>
      </w:r>
      <w:r w:rsidR="00E61C82" w:rsidRPr="008E2238">
        <w:rPr>
          <w:lang w:val="en-US"/>
        </w:rPr>
        <w:t xml:space="preserve"> acceptable.  However, it is essential that they should not be set any higher.  In stressed periods, when liquidity is much lower and volatility higher, any increase in the proposed thresholds would </w:t>
      </w:r>
      <w:r w:rsidR="00E61C82" w:rsidRPr="008E2238">
        <w:t xml:space="preserve">compromise the ability of dealers to provide liquidity and facilitate risk transfers for </w:t>
      </w:r>
      <w:r w:rsidR="00F277E0" w:rsidRPr="008E2238">
        <w:t>clients.</w:t>
      </w:r>
    </w:p>
    <w:p w14:paraId="02D02DB4" w14:textId="04BC4EA2" w:rsidR="00E61C82" w:rsidRDefault="00E61C82" w:rsidP="00E61C82">
      <w:r>
        <w:t xml:space="preserve">In respect of basis swaps and FRAs, as explained in our response to Q13, </w:t>
      </w:r>
      <w:r w:rsidR="00ED3A79">
        <w:t>the</w:t>
      </w:r>
      <w:r>
        <w:t xml:space="preserve"> cost vs the benefit of including these is disproportionate </w:t>
      </w:r>
      <w:proofErr w:type="gramStart"/>
      <w:r>
        <w:t>in light of</w:t>
      </w:r>
      <w:proofErr w:type="gramEnd"/>
      <w:r>
        <w:t xml:space="preserve"> ESMA’s aim of simplifying and reducing the reporting burden in the financial sector.</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07963AC5" w:rsidR="00131ECC" w:rsidRDefault="00ED3A79" w:rsidP="00131ECC">
      <w:permStart w:id="147460196" w:edGrp="everyone"/>
      <w:r>
        <w:t>In the 3</w:t>
      </w:r>
      <w:r w:rsidRPr="00ED3A79">
        <w:rPr>
          <w:vertAlign w:val="superscript"/>
        </w:rPr>
        <w:t>rd</w:t>
      </w:r>
      <w:r>
        <w:t xml:space="preserve"> DEG meeting it was discussed that </w:t>
      </w:r>
      <w:r w:rsidR="006E52D7">
        <w:t xml:space="preserve">the </w:t>
      </w:r>
      <w:r w:rsidR="00F277E0">
        <w:t>medium</w:t>
      </w:r>
      <w:r w:rsidR="006E52D7">
        <w:t xml:space="preserve"> size post-trade threshold for illiquid instruments should be set at or close to zero</w:t>
      </w:r>
      <w:r>
        <w:t xml:space="preserve"> (in the context of </w:t>
      </w:r>
      <w:r w:rsidR="006E52D7">
        <w:t>single name CDS</w:t>
      </w:r>
      <w:r>
        <w:t xml:space="preserve">) but </w:t>
      </w:r>
      <w:r w:rsidR="00F277E0">
        <w:t xml:space="preserve">that </w:t>
      </w:r>
      <w:r>
        <w:t>should apply to all</w:t>
      </w:r>
      <w:r w:rsidR="00F277E0">
        <w:t xml:space="preserve"> illiquid instruments</w:t>
      </w:r>
      <w:r w:rsidR="006E52D7">
        <w:t>.</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0671929A" w14:textId="77777777" w:rsidR="00F277E0" w:rsidRDefault="00F277E0" w:rsidP="00F277E0">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4E11CD60" w14:textId="77777777" w:rsidR="00F277E0" w:rsidRDefault="00F277E0" w:rsidP="00F277E0">
      <w:permStart w:id="1089237461" w:edGrp="everyone"/>
      <w:r>
        <w:t>TYPE YOUR TEXT HERE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308B7DA" w14:textId="77777777" w:rsidR="00F277E0" w:rsidRDefault="00F277E0" w:rsidP="00F277E0">
      <w:permStart w:id="1180527698" w:edGrp="everyone"/>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10820B20" w14:textId="77777777" w:rsidR="00F277E0" w:rsidRDefault="00F277E0" w:rsidP="00F277E0">
      <w:permStart w:id="1980902739" w:edGrp="everyone"/>
      <w:r>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732D3E21" w14:textId="51417930" w:rsidR="00772E43" w:rsidRDefault="00F277E0" w:rsidP="00772E43">
      <w:permStart w:id="1722902870" w:edGrp="everyone"/>
      <w:r>
        <w:t>S</w:t>
      </w:r>
      <w:r w:rsidR="00772E43">
        <w:t>everal of the fields proposed are relevant only to securities, not OTC derivatives, and are therefore unnecessary.</w:t>
      </w:r>
    </w:p>
    <w:p w14:paraId="29B55BCB" w14:textId="77777777" w:rsidR="00772E43" w:rsidRDefault="00772E43" w:rsidP="00772E43">
      <w:r>
        <w:lastRenderedPageBreak/>
        <w:t>For example, “Instrument status” is irrelevant for the OTC derivatives in scope of transparency and the consolidated tape.  OTC interest rate and credit derivatives are not securities to which a suspension or removal from would ever be applied.</w:t>
      </w:r>
    </w:p>
    <w:p w14:paraId="161DA439" w14:textId="2D8F527D" w:rsidR="00131ECC" w:rsidRDefault="00772E43" w:rsidP="00772E43">
      <w:r>
        <w:t xml:space="preserve"> By extension, “Instrument status </w:t>
      </w:r>
      <w:proofErr w:type="gramStart"/>
      <w:r>
        <w:t>start</w:t>
      </w:r>
      <w:proofErr w:type="gramEnd"/>
      <w:r>
        <w:t xml:space="preserve"> date and time” and “Dissemination start date and time” are irrelevant and unnecessary for OTC derivatives.</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78C9BF8" w14:textId="04F22009" w:rsidR="00131ECC" w:rsidRDefault="00F277E0" w:rsidP="00131ECC">
      <w:permStart w:id="467429827" w:edGrp="everyone"/>
      <w:r>
        <w:t>U</w:t>
      </w:r>
      <w:r w:rsidR="00134B29">
        <w:t>pfront payment should not be reported</w:t>
      </w:r>
      <w:r>
        <w:t xml:space="preserve"> for credit default swaps</w:t>
      </w:r>
      <w:r w:rsidR="00134B29">
        <w:t>, as it is not meaningful for price formation, and it is possible to reverse-engineer the notional if it is included along with data relevant to price formation.</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71409" w14:textId="77777777" w:rsidR="001F6C8D" w:rsidRDefault="001F6C8D" w:rsidP="00F716D4">
      <w:r>
        <w:separator/>
      </w:r>
    </w:p>
    <w:p w14:paraId="077880DA" w14:textId="77777777" w:rsidR="001F6C8D" w:rsidRDefault="001F6C8D" w:rsidP="00F716D4"/>
  </w:endnote>
  <w:endnote w:type="continuationSeparator" w:id="0">
    <w:p w14:paraId="0CFF83A6" w14:textId="77777777" w:rsidR="001F6C8D" w:rsidRDefault="001F6C8D" w:rsidP="00F716D4">
      <w:r>
        <w:continuationSeparator/>
      </w:r>
    </w:p>
    <w:p w14:paraId="416A2982" w14:textId="77777777" w:rsidR="001F6C8D" w:rsidRDefault="001F6C8D" w:rsidP="00F716D4"/>
  </w:endnote>
  <w:endnote w:type="continuationNotice" w:id="1">
    <w:p w14:paraId="1450C3C4" w14:textId="77777777" w:rsidR="001F6C8D" w:rsidRDefault="001F6C8D"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0AF74" w14:textId="77777777" w:rsidR="001F6C8D" w:rsidRDefault="001F6C8D" w:rsidP="00F716D4">
      <w:r>
        <w:separator/>
      </w:r>
    </w:p>
    <w:p w14:paraId="7907C5FC" w14:textId="77777777" w:rsidR="001F6C8D" w:rsidRDefault="001F6C8D" w:rsidP="00F716D4"/>
  </w:footnote>
  <w:footnote w:type="continuationSeparator" w:id="0">
    <w:p w14:paraId="4408BC38" w14:textId="77777777" w:rsidR="001F6C8D" w:rsidRDefault="001F6C8D" w:rsidP="00F716D4">
      <w:r>
        <w:continuationSeparator/>
      </w:r>
    </w:p>
    <w:p w14:paraId="1E2985EA" w14:textId="77777777" w:rsidR="001F6C8D" w:rsidRDefault="001F6C8D" w:rsidP="00F716D4"/>
  </w:footnote>
  <w:footnote w:type="continuationNotice" w:id="1">
    <w:p w14:paraId="25DA2B03" w14:textId="77777777" w:rsidR="001F6C8D" w:rsidRDefault="001F6C8D"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4121C07"/>
    <w:multiLevelType w:val="hybridMultilevel"/>
    <w:tmpl w:val="9E34A6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48F47C7"/>
    <w:multiLevelType w:val="hybridMultilevel"/>
    <w:tmpl w:val="E82EA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25B554E4"/>
    <w:multiLevelType w:val="hybridMultilevel"/>
    <w:tmpl w:val="9E34A6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1"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3F538D"/>
    <w:multiLevelType w:val="hybridMultilevel"/>
    <w:tmpl w:val="442A6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8"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9"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1"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2"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4"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6"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9" w15:restartNumberingAfterBreak="0">
    <w:nsid w:val="7ADE7C26"/>
    <w:multiLevelType w:val="hybridMultilevel"/>
    <w:tmpl w:val="44024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41"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8"/>
  </w:num>
  <w:num w:numId="2" w16cid:durableId="1769932826">
    <w:abstractNumId w:val="21"/>
  </w:num>
  <w:num w:numId="3" w16cid:durableId="550074866">
    <w:abstractNumId w:val="12"/>
  </w:num>
  <w:num w:numId="4" w16cid:durableId="1881627233">
    <w:abstractNumId w:val="26"/>
  </w:num>
  <w:num w:numId="5" w16cid:durableId="208225584">
    <w:abstractNumId w:val="0"/>
  </w:num>
  <w:num w:numId="6" w16cid:durableId="1787233265">
    <w:abstractNumId w:val="4"/>
  </w:num>
  <w:num w:numId="7" w16cid:durableId="18463575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33"/>
  </w:num>
  <w:num w:numId="9" w16cid:durableId="1008846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9"/>
  </w:num>
  <w:num w:numId="12" w16cid:durableId="1500659627">
    <w:abstractNumId w:val="32"/>
  </w:num>
  <w:num w:numId="13" w16cid:durableId="1879658227">
    <w:abstractNumId w:val="25"/>
  </w:num>
  <w:num w:numId="14" w16cid:durableId="1495758855">
    <w:abstractNumId w:val="11"/>
  </w:num>
  <w:num w:numId="15" w16cid:durableId="1186556611">
    <w:abstractNumId w:val="1"/>
  </w:num>
  <w:num w:numId="16" w16cid:durableId="679087124">
    <w:abstractNumId w:val="16"/>
  </w:num>
  <w:num w:numId="17" w16cid:durableId="1695498691">
    <w:abstractNumId w:val="17"/>
  </w:num>
  <w:num w:numId="18" w16cid:durableId="1042363640">
    <w:abstractNumId w:val="19"/>
  </w:num>
  <w:num w:numId="19" w16cid:durableId="820345968">
    <w:abstractNumId w:val="28"/>
  </w:num>
  <w:num w:numId="20" w16cid:durableId="1805388212">
    <w:abstractNumId w:val="37"/>
  </w:num>
  <w:num w:numId="21" w16cid:durableId="538709007">
    <w:abstractNumId w:val="27"/>
  </w:num>
  <w:num w:numId="22" w16cid:durableId="104540172">
    <w:abstractNumId w:val="10"/>
  </w:num>
  <w:num w:numId="23" w16cid:durableId="1824349076">
    <w:abstractNumId w:val="31"/>
  </w:num>
  <w:num w:numId="24" w16cid:durableId="672032853">
    <w:abstractNumId w:val="30"/>
  </w:num>
  <w:num w:numId="25" w16cid:durableId="48917541">
    <w:abstractNumId w:val="22"/>
  </w:num>
  <w:num w:numId="26" w16cid:durableId="978925443">
    <w:abstractNumId w:val="34"/>
  </w:num>
  <w:num w:numId="27" w16cid:durableId="1036613928">
    <w:abstractNumId w:val="40"/>
  </w:num>
  <w:num w:numId="28" w16cid:durableId="872039349">
    <w:abstractNumId w:val="7"/>
  </w:num>
  <w:num w:numId="29" w16cid:durableId="924530660">
    <w:abstractNumId w:val="3"/>
  </w:num>
  <w:num w:numId="30" w16cid:durableId="419180233">
    <w:abstractNumId w:val="24"/>
  </w:num>
  <w:num w:numId="31" w16cid:durableId="276761337">
    <w:abstractNumId w:val="23"/>
  </w:num>
  <w:num w:numId="32" w16cid:durableId="1166238383">
    <w:abstractNumId w:val="36"/>
  </w:num>
  <w:num w:numId="33" w16cid:durableId="2076850202">
    <w:abstractNumId w:val="35"/>
  </w:num>
  <w:num w:numId="34" w16cid:durableId="469176496">
    <w:abstractNumId w:val="14"/>
  </w:num>
  <w:num w:numId="35" w16cid:durableId="674843309">
    <w:abstractNumId w:val="20"/>
  </w:num>
  <w:num w:numId="36" w16cid:durableId="1954971501">
    <w:abstractNumId w:val="41"/>
  </w:num>
  <w:num w:numId="37" w16cid:durableId="14753728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75809968">
    <w:abstractNumId w:val="6"/>
  </w:num>
  <w:num w:numId="39" w16cid:durableId="2102872260">
    <w:abstractNumId w:val="13"/>
  </w:num>
  <w:num w:numId="40" w16cid:durableId="1030572316">
    <w:abstractNumId w:val="39"/>
  </w:num>
  <w:num w:numId="41" w16cid:durableId="110127262">
    <w:abstractNumId w:val="2"/>
  </w:num>
  <w:num w:numId="42" w16cid:durableId="1895005122">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4B29"/>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1F6C8D"/>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466B"/>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26A"/>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69A"/>
    <w:rsid w:val="00432A91"/>
    <w:rsid w:val="004332A4"/>
    <w:rsid w:val="0043453F"/>
    <w:rsid w:val="00434A74"/>
    <w:rsid w:val="00434AF3"/>
    <w:rsid w:val="00437929"/>
    <w:rsid w:val="00437A4A"/>
    <w:rsid w:val="00440541"/>
    <w:rsid w:val="0044162D"/>
    <w:rsid w:val="0044277A"/>
    <w:rsid w:val="004434EF"/>
    <w:rsid w:val="0044471F"/>
    <w:rsid w:val="00444BE7"/>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5B8B"/>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5FE"/>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1E38"/>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52D7"/>
    <w:rsid w:val="006E649A"/>
    <w:rsid w:val="006E7680"/>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6DC3"/>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2E43"/>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95B04"/>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C7B45"/>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24CA"/>
    <w:rsid w:val="00922DFE"/>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A8E"/>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7FF"/>
    <w:rsid w:val="00A62B86"/>
    <w:rsid w:val="00A63C96"/>
    <w:rsid w:val="00A63F00"/>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53BD"/>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1C82"/>
    <w:rsid w:val="00E6344A"/>
    <w:rsid w:val="00E64E69"/>
    <w:rsid w:val="00E64FB7"/>
    <w:rsid w:val="00E669A1"/>
    <w:rsid w:val="00E679BA"/>
    <w:rsid w:val="00E70243"/>
    <w:rsid w:val="00E70801"/>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3A79"/>
    <w:rsid w:val="00ED3D0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417"/>
    <w:rsid w:val="00F24E6F"/>
    <w:rsid w:val="00F26069"/>
    <w:rsid w:val="00F26B7E"/>
    <w:rsid w:val="00F277E0"/>
    <w:rsid w:val="00F27D7D"/>
    <w:rsid w:val="00F3002B"/>
    <w:rsid w:val="00F30BC9"/>
    <w:rsid w:val="00F3144E"/>
    <w:rsid w:val="00F32462"/>
    <w:rsid w:val="00F32FF7"/>
    <w:rsid w:val="00F33EDE"/>
    <w:rsid w:val="00F3568B"/>
    <w:rsid w:val="00F377CD"/>
    <w:rsid w:val="00F402DC"/>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09781840">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296567381">
      <w:bodyDiv w:val="1"/>
      <w:marLeft w:val="0"/>
      <w:marRight w:val="0"/>
      <w:marTop w:val="0"/>
      <w:marBottom w:val="0"/>
      <w:divBdr>
        <w:top w:val="none" w:sz="0" w:space="0" w:color="auto"/>
        <w:left w:val="none" w:sz="0" w:space="0" w:color="auto"/>
        <w:bottom w:val="none" w:sz="0" w:space="0" w:color="auto"/>
        <w:right w:val="none" w:sz="0" w:space="0" w:color="auto"/>
      </w:divBdr>
      <w:divsChild>
        <w:div w:id="983317634">
          <w:marLeft w:val="0"/>
          <w:marRight w:val="0"/>
          <w:marTop w:val="100"/>
          <w:marBottom w:val="100"/>
          <w:divBdr>
            <w:top w:val="none" w:sz="0" w:space="0" w:color="auto"/>
            <w:left w:val="none" w:sz="0" w:space="0" w:color="auto"/>
            <w:bottom w:val="none" w:sz="0" w:space="0" w:color="auto"/>
            <w:right w:val="none" w:sz="0" w:space="0" w:color="auto"/>
          </w:divBdr>
        </w:div>
        <w:div w:id="1914779257">
          <w:marLeft w:val="0"/>
          <w:marRight w:val="0"/>
          <w:marTop w:val="100"/>
          <w:marBottom w:val="100"/>
          <w:divBdr>
            <w:top w:val="none" w:sz="0" w:space="0" w:color="auto"/>
            <w:left w:val="none" w:sz="0" w:space="0" w:color="auto"/>
            <w:bottom w:val="none" w:sz="0" w:space="0" w:color="auto"/>
            <w:right w:val="none" w:sz="0" w:space="0" w:color="auto"/>
          </w:divBdr>
        </w:div>
        <w:div w:id="1716585167">
          <w:marLeft w:val="0"/>
          <w:marRight w:val="0"/>
          <w:marTop w:val="100"/>
          <w:marBottom w:val="100"/>
          <w:divBdr>
            <w:top w:val="none" w:sz="0" w:space="0" w:color="auto"/>
            <w:left w:val="none" w:sz="0" w:space="0" w:color="auto"/>
            <w:bottom w:val="none" w:sz="0" w:space="0" w:color="auto"/>
            <w:right w:val="none" w:sz="0" w:space="0" w:color="auto"/>
          </w:divBdr>
        </w:div>
      </w:divsChild>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5859087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88224671">
      <w:bodyDiv w:val="1"/>
      <w:marLeft w:val="0"/>
      <w:marRight w:val="0"/>
      <w:marTop w:val="0"/>
      <w:marBottom w:val="0"/>
      <w:divBdr>
        <w:top w:val="none" w:sz="0" w:space="0" w:color="auto"/>
        <w:left w:val="none" w:sz="0" w:space="0" w:color="auto"/>
        <w:bottom w:val="none" w:sz="0" w:space="0" w:color="auto"/>
        <w:right w:val="none" w:sz="0" w:space="0" w:color="auto"/>
      </w:divBdr>
      <w:divsChild>
        <w:div w:id="1620797061">
          <w:marLeft w:val="0"/>
          <w:marRight w:val="0"/>
          <w:marTop w:val="100"/>
          <w:marBottom w:val="100"/>
          <w:divBdr>
            <w:top w:val="none" w:sz="0" w:space="0" w:color="auto"/>
            <w:left w:val="none" w:sz="0" w:space="0" w:color="auto"/>
            <w:bottom w:val="none" w:sz="0" w:space="0" w:color="auto"/>
            <w:right w:val="none" w:sz="0" w:space="0" w:color="auto"/>
          </w:divBdr>
        </w:div>
        <w:div w:id="421997064">
          <w:marLeft w:val="0"/>
          <w:marRight w:val="0"/>
          <w:marTop w:val="100"/>
          <w:marBottom w:val="100"/>
          <w:divBdr>
            <w:top w:val="none" w:sz="0" w:space="0" w:color="auto"/>
            <w:left w:val="none" w:sz="0" w:space="0" w:color="auto"/>
            <w:bottom w:val="none" w:sz="0" w:space="0" w:color="auto"/>
            <w:right w:val="none" w:sz="0" w:space="0" w:color="auto"/>
          </w:divBdr>
        </w:div>
        <w:div w:id="227032908">
          <w:marLeft w:val="0"/>
          <w:marRight w:val="0"/>
          <w:marTop w:val="100"/>
          <w:marBottom w:val="100"/>
          <w:divBdr>
            <w:top w:val="none" w:sz="0" w:space="0" w:color="auto"/>
            <w:left w:val="none" w:sz="0" w:space="0" w:color="auto"/>
            <w:bottom w:val="none" w:sz="0" w:space="0" w:color="auto"/>
            <w:right w:val="none" w:sz="0" w:space="0" w:color="auto"/>
          </w:divBdr>
        </w:div>
      </w:divsChild>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hyperlink" Target="https://www.esma.europa.eu/sites/default/files/2025-06/ESMA12-437499640-3021_Call_for_evidence_on_a_comprehensive_approach_for_the_simplification_of_financial_transaction_reporting.pdf" TargetMode="Externa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hyperlink" Target="https://www.iso.org/standard/80506.html"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3.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d0fb0f98-34f9-4d57-9559-eb8efd17aa5e"/>
    <ds:schemaRef ds:uri="c3d8dec5-8a41-4471-b9ad-44c181776275"/>
  </ds:schemaRefs>
</ds:datastoreItem>
</file>

<file path=customXml/itemProps4.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5.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6.xml><?xml version="1.0" encoding="utf-8"?>
<ds:datastoreItem xmlns:ds="http://schemas.openxmlformats.org/officeDocument/2006/customXml" ds:itemID="{583B3ABB-1E22-43DF-B118-E1D48363CC1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2081</Words>
  <Characters>11863</Characters>
  <Application>Microsoft Office Word</Application>
  <DocSecurity>8</DocSecurity>
  <Lines>98</Lines>
  <Paragraphs>27</Paragraphs>
  <ScaleCrop>false</ScaleCrop>
  <HeadingPairs>
    <vt:vector size="2" baseType="variant">
      <vt:variant>
        <vt:lpstr>Title</vt:lpstr>
      </vt:variant>
      <vt:variant>
        <vt:i4>1</vt:i4>
      </vt:variant>
    </vt:vector>
  </HeadingPairs>
  <TitlesOfParts>
    <vt:vector size="1" baseType="lpstr">
      <vt:lpstr>Reply form for the MiFID II/MiFIR Consultation Paper</vt:lpstr>
    </vt:vector>
  </TitlesOfParts>
  <Company>ESMA</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Kirston Winters</cp:lastModifiedBy>
  <cp:revision>3</cp:revision>
  <cp:lastPrinted>2015-02-18T11:01:00Z</cp:lastPrinted>
  <dcterms:created xsi:type="dcterms:W3CDTF">2025-06-30T18:16:00Z</dcterms:created>
  <dcterms:modified xsi:type="dcterms:W3CDTF">2025-06-30T18:59:00Z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