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Content>
            <w:tc>
              <w:tcPr>
                <w:tcW w:w="5595" w:type="dxa"/>
                <w:shd w:val="clear" w:color="auto" w:fill="auto"/>
                <w:vAlign w:val="center"/>
              </w:tcPr>
              <w:p w14:paraId="633DB1B6" w14:textId="4DD349CF" w:rsidR="00C2682A" w:rsidRPr="00104E00" w:rsidRDefault="0034096F" w:rsidP="00104E00">
                <w:pPr>
                  <w:jc w:val="left"/>
                  <w:rPr>
                    <w:rStyle w:val="PlaceholderText"/>
                  </w:rPr>
                </w:pPr>
                <w:r>
                  <w:rPr>
                    <w:rStyle w:val="PlaceholderText"/>
                  </w:rPr>
                  <w:t>APARMA</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4ABC8213" w:rsidR="00C2682A" w:rsidRPr="00104E00" w:rsidRDefault="00000000"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34096F">
                  <w:t>Other Financial service providers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Content>
            <w:tc>
              <w:tcPr>
                <w:tcW w:w="5595" w:type="dxa"/>
                <w:shd w:val="clear" w:color="auto" w:fill="auto"/>
                <w:vAlign w:val="center"/>
              </w:tcPr>
              <w:p w14:paraId="4BD68813" w14:textId="76EAEEA8" w:rsidR="00C2682A" w:rsidRPr="00104E00" w:rsidRDefault="0034096F"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vAlign w:val="center"/>
              </w:tcPr>
              <w:p w14:paraId="204E7C89" w14:textId="39E018EC" w:rsidR="00C2682A" w:rsidRPr="00104E00" w:rsidRDefault="0034096F" w:rsidP="00104E00">
                <w:pPr>
                  <w:jc w:val="left"/>
                </w:pPr>
                <w:r>
                  <w:t>Europe</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749A37E5" w14:textId="77777777" w:rsidR="00131ECC" w:rsidRDefault="00131ECC" w:rsidP="00131ECC">
      <w:permStart w:id="651311428" w:edGrp="everyone"/>
      <w:r>
        <w:t>TYPE YOUR TEXT HERE</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78A748B2" w14:textId="77777777" w:rsidR="002F78EA" w:rsidRDefault="002F78EA" w:rsidP="002F78EA">
      <w:pPr>
        <w:spacing w:after="286" w:line="265" w:lineRule="auto"/>
        <w:ind w:right="49"/>
        <w:rPr>
          <w:szCs w:val="22"/>
        </w:rPr>
      </w:pPr>
      <w:permStart w:id="1252945268" w:edGrp="everyone"/>
      <w:r>
        <w:rPr>
          <w:szCs w:val="22"/>
        </w:rPr>
        <w:t>APARMA notes that Commission Delegated Regulation (EU) 2025/1003</w:t>
      </w:r>
      <w:r w:rsidRPr="00EC6237">
        <w:rPr>
          <w:szCs w:val="22"/>
        </w:rPr>
        <w:t xml:space="preserve"> </w:t>
      </w:r>
      <w:r>
        <w:rPr>
          <w:szCs w:val="22"/>
        </w:rPr>
        <w:t>is</w:t>
      </w:r>
      <w:r w:rsidRPr="00EC6237">
        <w:rPr>
          <w:szCs w:val="22"/>
        </w:rPr>
        <w:t xml:space="preserve"> clear that</w:t>
      </w:r>
      <w:r>
        <w:rPr>
          <w:szCs w:val="22"/>
        </w:rPr>
        <w:t>,</w:t>
      </w:r>
      <w:r w:rsidRPr="00EC6237">
        <w:rPr>
          <w:szCs w:val="22"/>
        </w:rPr>
        <w:t xml:space="preserve"> for the purpose of transparency</w:t>
      </w:r>
      <w:r>
        <w:rPr>
          <w:szCs w:val="22"/>
        </w:rPr>
        <w:t xml:space="preserve"> reporting</w:t>
      </w:r>
      <w:r w:rsidRPr="00EC6237">
        <w:rPr>
          <w:szCs w:val="22"/>
        </w:rPr>
        <w:t xml:space="preserve">, UPI, supplemented with effective and expiry dates, </w:t>
      </w:r>
      <w:r>
        <w:rPr>
          <w:szCs w:val="22"/>
        </w:rPr>
        <w:t>is to be used to identify interest rate and credit derivatives</w:t>
      </w:r>
      <w:r w:rsidRPr="00EC6237">
        <w:rPr>
          <w:szCs w:val="22"/>
        </w:rPr>
        <w:t xml:space="preserve"> (point 38). In contrast we consider that the reference </w:t>
      </w:r>
      <w:r>
        <w:rPr>
          <w:szCs w:val="22"/>
        </w:rPr>
        <w:t xml:space="preserve">in this consultation </w:t>
      </w:r>
      <w:r w:rsidRPr="00EC6237">
        <w:rPr>
          <w:szCs w:val="22"/>
        </w:rPr>
        <w:t xml:space="preserve">to a “revised ISIN” creates confusion and removes the clarity provided in the </w:t>
      </w:r>
      <w:r>
        <w:rPr>
          <w:szCs w:val="22"/>
        </w:rPr>
        <w:t>Delegated Act</w:t>
      </w:r>
      <w:r w:rsidRPr="00EC6237">
        <w:rPr>
          <w:szCs w:val="22"/>
        </w:rPr>
        <w:t>. APARMA remain supportive of the move to UPI.</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702506E" w14:textId="77777777" w:rsidR="00131ECC" w:rsidRDefault="00131ECC" w:rsidP="00131ECC">
      <w:permStart w:id="1795046886" w:edGrp="everyone"/>
      <w:r>
        <w:t>TYPE YOUR TEXT HERE</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369521C6" w14:textId="77777777" w:rsidR="002F78EA" w:rsidRPr="00FF475F" w:rsidRDefault="002F78EA" w:rsidP="002F78EA">
      <w:pPr>
        <w:spacing w:after="254" w:line="265" w:lineRule="auto"/>
        <w:ind w:left="-5" w:right="49" w:hanging="10"/>
        <w:rPr>
          <w:color w:val="000000"/>
          <w:szCs w:val="22"/>
        </w:rPr>
      </w:pPr>
      <w:permStart w:id="97283499" w:edGrp="everyone"/>
      <w:r w:rsidRPr="00FF475F">
        <w:rPr>
          <w:color w:val="000000"/>
          <w:szCs w:val="22"/>
        </w:rPr>
        <w:t xml:space="preserve">We agree with ESMA’s chosen approach to FITRS in point 70.  </w:t>
      </w:r>
    </w:p>
    <w:p w14:paraId="123D8A90" w14:textId="77777777" w:rsidR="002F78EA" w:rsidRDefault="002F78EA" w:rsidP="002F78EA">
      <w:pPr>
        <w:rPr>
          <w:szCs w:val="22"/>
        </w:rPr>
      </w:pPr>
      <w:r>
        <w:rPr>
          <w:szCs w:val="22"/>
        </w:rPr>
        <w:t>Regarding implementation timescales APARMA notes that a</w:t>
      </w:r>
      <w:r w:rsidRPr="00FF475F">
        <w:rPr>
          <w:szCs w:val="22"/>
        </w:rPr>
        <w:t>n implementation time allowance</w:t>
      </w:r>
      <w:r>
        <w:rPr>
          <w:szCs w:val="22"/>
        </w:rPr>
        <w:t xml:space="preserve"> </w:t>
      </w:r>
      <w:r w:rsidRPr="00FF475F">
        <w:rPr>
          <w:szCs w:val="22"/>
        </w:rPr>
        <w:t>of 6 months is not sufficient.</w:t>
      </w:r>
    </w:p>
    <w:p w14:paraId="5DF983C9" w14:textId="6D2364B4" w:rsidR="002F78EA" w:rsidRPr="00FF475F" w:rsidRDefault="002F78EA" w:rsidP="002F78EA">
      <w:pPr>
        <w:rPr>
          <w:szCs w:val="22"/>
        </w:rPr>
      </w:pPr>
      <w:r>
        <w:rPr>
          <w:szCs w:val="22"/>
        </w:rPr>
        <w:lastRenderedPageBreak/>
        <w:t>APARMA further notes that g</w:t>
      </w:r>
      <w:r w:rsidRPr="00FF475F">
        <w:rPr>
          <w:szCs w:val="22"/>
        </w:rPr>
        <w:t xml:space="preserve">iven the implementation of OTC transparency and deferrals should be aligned with the implementation of </w:t>
      </w:r>
      <w:r>
        <w:rPr>
          <w:szCs w:val="22"/>
        </w:rPr>
        <w:t xml:space="preserve">the </w:t>
      </w:r>
      <w:r w:rsidRPr="00FF475F">
        <w:rPr>
          <w:szCs w:val="22"/>
        </w:rPr>
        <w:t>OTC Derivatives CTP</w:t>
      </w:r>
      <w:r>
        <w:rPr>
          <w:szCs w:val="22"/>
        </w:rPr>
        <w:t>,</w:t>
      </w:r>
      <w:r w:rsidRPr="00FF475F">
        <w:rPr>
          <w:szCs w:val="22"/>
        </w:rPr>
        <w:t xml:space="preserve"> it follows that a 6-month implementation period is unnecessarily short given other dependencies.  </w:t>
      </w:r>
      <w:r>
        <w:rPr>
          <w:szCs w:val="22"/>
        </w:rPr>
        <w:t>T</w:t>
      </w:r>
      <w:r w:rsidRPr="00FF475F">
        <w:rPr>
          <w:szCs w:val="22"/>
        </w:rPr>
        <w:t xml:space="preserve">he Commission themselves suggest an OTC Derivative CTP launch date is dependent on the deployment of UPI as a means of identification.  Specifically, as per </w:t>
      </w:r>
      <w:hyperlink r:id="rId27" w:history="1">
        <w:r w:rsidRPr="00FF475F">
          <w:rPr>
            <w:rStyle w:val="Hyperlink"/>
            <w:szCs w:val="22"/>
          </w:rPr>
          <w:t>Commission Delegated Regulation (EU) 2025/1003</w:t>
        </w:r>
      </w:hyperlink>
      <w:r w:rsidRPr="00FF475F">
        <w:rPr>
          <w:szCs w:val="22"/>
        </w:rPr>
        <w:t>, UPI is only available from 1 September 2026 and</w:t>
      </w:r>
      <w:r>
        <w:rPr>
          <w:szCs w:val="22"/>
        </w:rPr>
        <w:t>,</w:t>
      </w:r>
      <w:r w:rsidRPr="00FF475F">
        <w:rPr>
          <w:szCs w:val="22"/>
        </w:rPr>
        <w:t xml:space="preserve"> according to Article 27da of MiFIR, ESMA will then initiate the derivative selection procedure within 3 months</w:t>
      </w:r>
      <w:r>
        <w:rPr>
          <w:szCs w:val="22"/>
        </w:rPr>
        <w:t>.</w:t>
      </w:r>
      <w:r w:rsidRPr="00FF475F">
        <w:rPr>
          <w:szCs w:val="22"/>
        </w:rPr>
        <w:t xml:space="preserve">  This takes the plan to </w:t>
      </w:r>
      <w:r>
        <w:rPr>
          <w:szCs w:val="22"/>
        </w:rPr>
        <w:t xml:space="preserve">at least </w:t>
      </w:r>
      <w:r w:rsidRPr="00FF475F">
        <w:rPr>
          <w:szCs w:val="22"/>
        </w:rPr>
        <w:t>1 December 2026 followed by a 6 month selection procedure. Therefore, 1 June 2027 is probably the earliest implementation deadline or later given the considerable operational transitional period of the selected OTC derivative CTP.</w:t>
      </w:r>
      <w:r>
        <w:rPr>
          <w:szCs w:val="22"/>
        </w:rPr>
        <w:t xml:space="preserve"> As a result of the dependency on the change of derivative identifier it is unnecessary to call for a 6-month implementation time period.</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49CAF130" w14:textId="77777777" w:rsidR="00131ECC" w:rsidRDefault="00131ECC" w:rsidP="00131ECC">
      <w:permStart w:id="1086263988" w:edGrp="everyone"/>
      <w:r>
        <w:t>TYPE YOUR TEXT HERE</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77777777" w:rsidR="00131ECC" w:rsidRDefault="00131ECC" w:rsidP="00131ECC">
      <w:permStart w:id="1304631682" w:edGrp="everyone"/>
      <w:r>
        <w:t>TYPE YOUR TEXT HERE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CDB0982" w14:textId="77777777" w:rsidR="00131ECC" w:rsidRDefault="00131ECC" w:rsidP="00131ECC">
      <w:permStart w:id="93025034" w:edGrp="everyone"/>
      <w:r>
        <w:t>TYPE YOUR TEXT HERE</w:t>
      </w:r>
    </w:p>
    <w:permEnd w:id="93025034"/>
    <w:p w14:paraId="0A08A54F" w14:textId="77777777" w:rsidR="00131ECC" w:rsidRDefault="00131ECC" w:rsidP="00131ECC">
      <w:r>
        <w:lastRenderedPageBreak/>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77777777" w:rsidR="00131ECC" w:rsidRDefault="00131ECC" w:rsidP="00131ECC">
      <w:permStart w:id="705578859" w:edGrp="everyone"/>
      <w: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1B0AA741" w14:textId="77777777" w:rsidR="00131ECC" w:rsidRDefault="00131ECC" w:rsidP="00131ECC">
      <w:permStart w:id="1464080814" w:edGrp="everyone"/>
      <w:r>
        <w:t>TYPE YOUR TEXT HERE</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77777777" w:rsidR="00131ECC" w:rsidRDefault="00131ECC" w:rsidP="00131ECC">
      <w:permStart w:id="1449010517" w:edGrp="everyone"/>
      <w: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779E49F3" w14:textId="77777777" w:rsidR="00131ECC" w:rsidRDefault="00131ECC" w:rsidP="00131ECC">
      <w:permStart w:id="1248143207" w:edGrp="everyone"/>
      <w:r>
        <w:t>TYPE YOUR TEXT HERE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580D179E" w14:textId="77777777" w:rsidR="00131ECC" w:rsidRDefault="00131ECC" w:rsidP="00131ECC">
      <w:permStart w:id="147460196" w:edGrp="everyone"/>
      <w: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4288B32" w14:textId="77777777" w:rsidR="002F78EA" w:rsidRPr="00FF475F" w:rsidRDefault="002F78EA" w:rsidP="002F78EA">
      <w:pPr>
        <w:spacing w:after="254" w:line="265" w:lineRule="auto"/>
        <w:ind w:left="-5" w:right="49" w:hanging="10"/>
        <w:rPr>
          <w:color w:val="000000"/>
          <w:szCs w:val="22"/>
        </w:rPr>
      </w:pPr>
      <w:permStart w:id="1089237461" w:edGrp="everyone"/>
      <w:r w:rsidRPr="00FF475F">
        <w:rPr>
          <w:color w:val="000000"/>
          <w:szCs w:val="22"/>
        </w:rPr>
        <w:t xml:space="preserve">APARMA members believe that the absence of volume on a publication is equally as clear to a data consumer as publishing a masked volume, or publication with an identifying flag such as “VOLO”. APARMA members’ </w:t>
      </w:r>
      <w:r>
        <w:rPr>
          <w:color w:val="000000"/>
          <w:szCs w:val="22"/>
        </w:rPr>
        <w:t>recommendation</w:t>
      </w:r>
      <w:r w:rsidRPr="00FF475F">
        <w:rPr>
          <w:color w:val="000000"/>
          <w:szCs w:val="22"/>
        </w:rPr>
        <w:t xml:space="preserve"> would be a blank / omitted field only, or the blank / omitted field combined with a “VOLO” flag. </w:t>
      </w:r>
    </w:p>
    <w:p w14:paraId="7270ADDD" w14:textId="77777777" w:rsidR="002F78EA" w:rsidRPr="00FF475F" w:rsidRDefault="002F78EA" w:rsidP="002F78EA">
      <w:pPr>
        <w:spacing w:after="254" w:line="265" w:lineRule="auto"/>
        <w:ind w:left="-5" w:right="49" w:hanging="10"/>
        <w:rPr>
          <w:color w:val="000000"/>
          <w:szCs w:val="22"/>
        </w:rPr>
      </w:pPr>
      <w:r w:rsidRPr="00FF475F">
        <w:rPr>
          <w:color w:val="000000"/>
          <w:szCs w:val="22"/>
        </w:rPr>
        <w:t xml:space="preserve">We note that the proposed changes to RTS 2 for bonds, which include a similar volume omission and full publication structure for Category 3 and 4 bond deferrals, do not indicate the expected use of “VOLO” and “FULV” flags. As such, the expected precedent for the bond’s regime is that </w:t>
      </w:r>
      <w:r w:rsidRPr="00FF475F">
        <w:rPr>
          <w:color w:val="000000"/>
          <w:szCs w:val="22"/>
        </w:rPr>
        <w:lastRenderedPageBreak/>
        <w:t>both the interim and final publications will be made with a “LLF3” and “LIF4” flag (as appropriate to the instrument) and the only difference between the two publications is the presence or otherwise of volume information.</w:t>
      </w:r>
    </w:p>
    <w:p w14:paraId="67CAFA08" w14:textId="77777777" w:rsidR="002F78EA" w:rsidRDefault="002F78EA" w:rsidP="002F78EA">
      <w:pPr>
        <w:spacing w:after="254" w:line="265" w:lineRule="auto"/>
        <w:ind w:left="-5" w:right="49" w:hanging="10"/>
        <w:rPr>
          <w:color w:val="000000"/>
          <w:szCs w:val="22"/>
        </w:rPr>
      </w:pPr>
      <w:r w:rsidRPr="00FF475F">
        <w:rPr>
          <w:color w:val="000000"/>
          <w:szCs w:val="22"/>
        </w:rPr>
        <w:t xml:space="preserve">Separately, APARMA members note that Tables 60 and 62 </w:t>
      </w:r>
      <w:r>
        <w:rPr>
          <w:color w:val="000000"/>
          <w:szCs w:val="22"/>
        </w:rPr>
        <w:t xml:space="preserve">in some cases appear inconsistent with the draft Regulatory Technical Standards. </w:t>
      </w:r>
    </w:p>
    <w:p w14:paraId="70E703C2" w14:textId="77777777" w:rsidR="002F78EA" w:rsidRPr="00FF475F" w:rsidRDefault="002F78EA" w:rsidP="002F78EA">
      <w:pPr>
        <w:spacing w:after="254" w:line="265" w:lineRule="auto"/>
        <w:ind w:left="-5" w:right="49" w:hanging="10"/>
        <w:rPr>
          <w:color w:val="000000"/>
          <w:szCs w:val="22"/>
        </w:rPr>
      </w:pPr>
      <w:r>
        <w:rPr>
          <w:color w:val="000000"/>
          <w:szCs w:val="22"/>
        </w:rPr>
        <w:t>According to the draft Article 9(2) and associated tables in Annex III, no more than two publications are made for a given transaction: a full publication in all cases and, in many cases, a publication with omitted volume. By contrast, Tables 60 and 62 appear to suggest that three publications would be made in some scenarios</w:t>
      </w:r>
      <w:r w:rsidRPr="00FF475F">
        <w:rPr>
          <w:color w:val="000000"/>
          <w:szCs w:val="22"/>
        </w:rPr>
        <w:t xml:space="preserve">, in a manner which does not appear to demonstrate </w:t>
      </w:r>
      <w:r>
        <w:rPr>
          <w:color w:val="000000"/>
          <w:szCs w:val="22"/>
        </w:rPr>
        <w:t xml:space="preserve">sufficient added </w:t>
      </w:r>
      <w:r w:rsidRPr="00FF475F">
        <w:rPr>
          <w:color w:val="000000"/>
          <w:szCs w:val="22"/>
        </w:rPr>
        <w:t xml:space="preserve">value to a data consumer </w:t>
      </w:r>
      <w:r>
        <w:rPr>
          <w:color w:val="000000"/>
          <w:szCs w:val="22"/>
        </w:rPr>
        <w:t xml:space="preserve">to justify the added </w:t>
      </w:r>
      <w:r w:rsidRPr="00FF475F">
        <w:rPr>
          <w:color w:val="000000"/>
          <w:szCs w:val="22"/>
        </w:rPr>
        <w:t xml:space="preserve">complexity for a data contributor. </w:t>
      </w:r>
    </w:p>
    <w:p w14:paraId="6988172B" w14:textId="77777777" w:rsidR="002F78EA" w:rsidRPr="00FF475F" w:rsidRDefault="002F78EA" w:rsidP="002F78EA">
      <w:pPr>
        <w:spacing w:after="254" w:line="265" w:lineRule="auto"/>
        <w:ind w:left="-5" w:right="49" w:hanging="10"/>
        <w:rPr>
          <w:color w:val="000000"/>
          <w:szCs w:val="22"/>
        </w:rPr>
      </w:pPr>
      <w:r w:rsidRPr="00FF475F">
        <w:rPr>
          <w:color w:val="000000"/>
          <w:szCs w:val="22"/>
        </w:rPr>
        <w:t>For example:</w:t>
      </w:r>
    </w:p>
    <w:p w14:paraId="24EDC9D4" w14:textId="77777777" w:rsidR="002F78EA" w:rsidRPr="00FF475F" w:rsidRDefault="002F78EA" w:rsidP="002F78EA">
      <w:pPr>
        <w:spacing w:after="254" w:line="265" w:lineRule="auto"/>
        <w:ind w:left="-5" w:right="49" w:hanging="10"/>
        <w:rPr>
          <w:szCs w:val="22"/>
        </w:rPr>
      </w:pPr>
      <w:r w:rsidRPr="00FF475F">
        <w:rPr>
          <w:szCs w:val="22"/>
        </w:rPr>
        <w:t>For a 5Y on-the-run CDS on iTraxx Europe Senior Financials with trade size EUR 100,000,000, the following three publications are indicated</w:t>
      </w:r>
      <w:r>
        <w:rPr>
          <w:szCs w:val="22"/>
        </w:rPr>
        <w:t xml:space="preserve"> in Table 62</w:t>
      </w:r>
      <w:r w:rsidRPr="00FF475F">
        <w:rPr>
          <w:szCs w:val="22"/>
        </w:rPr>
        <w:t>:</w:t>
      </w:r>
    </w:p>
    <w:p w14:paraId="5164917F" w14:textId="77777777" w:rsidR="002F78EA" w:rsidRPr="00FF475F" w:rsidRDefault="002F78EA" w:rsidP="002F78EA">
      <w:pPr>
        <w:spacing w:after="254" w:line="265" w:lineRule="auto"/>
        <w:ind w:left="-5" w:right="49" w:hanging="10"/>
        <w:rPr>
          <w:szCs w:val="22"/>
        </w:rPr>
      </w:pPr>
      <w:r w:rsidRPr="00FF475F">
        <w:rPr>
          <w:szCs w:val="22"/>
        </w:rPr>
        <w:t>1.</w:t>
      </w:r>
      <w:r w:rsidRPr="00FF475F">
        <w:rPr>
          <w:szCs w:val="22"/>
        </w:rPr>
        <w:tab/>
        <w:t>After 15 minutes, all details apart from volume are published. It is therefore known that the quantity is greater than EUR 50,000,000.</w:t>
      </w:r>
    </w:p>
    <w:p w14:paraId="1A2E99EB" w14:textId="77777777" w:rsidR="002F78EA" w:rsidRPr="00FF475F" w:rsidRDefault="002F78EA" w:rsidP="002F78EA">
      <w:pPr>
        <w:spacing w:after="254" w:line="265" w:lineRule="auto"/>
        <w:ind w:left="-5" w:right="49" w:hanging="10"/>
        <w:rPr>
          <w:szCs w:val="22"/>
        </w:rPr>
      </w:pPr>
      <w:r w:rsidRPr="00FF475F">
        <w:rPr>
          <w:szCs w:val="22"/>
        </w:rPr>
        <w:t>2.</w:t>
      </w:r>
      <w:r w:rsidRPr="00FF475F">
        <w:rPr>
          <w:szCs w:val="22"/>
        </w:rPr>
        <w:tab/>
        <w:t>At T+1 week, the same report is published, with either a blank volume or masked volume. In either case no more information is made public than in the first publication.</w:t>
      </w:r>
    </w:p>
    <w:p w14:paraId="08D38B9D" w14:textId="77777777" w:rsidR="002F78EA" w:rsidRPr="00FF475F" w:rsidRDefault="002F78EA" w:rsidP="002F78EA">
      <w:pPr>
        <w:spacing w:after="254" w:line="265" w:lineRule="auto"/>
        <w:ind w:left="-5" w:right="49" w:hanging="10"/>
        <w:rPr>
          <w:szCs w:val="22"/>
        </w:rPr>
      </w:pPr>
      <w:r w:rsidRPr="00FF475F">
        <w:rPr>
          <w:szCs w:val="22"/>
        </w:rPr>
        <w:t>3.</w:t>
      </w:r>
      <w:r w:rsidRPr="00FF475F">
        <w:rPr>
          <w:szCs w:val="22"/>
        </w:rPr>
        <w:tab/>
        <w:t>At T+2 weeks, the full report is published, with actual volume.</w:t>
      </w:r>
    </w:p>
    <w:p w14:paraId="369FC533" w14:textId="77777777" w:rsidR="002F78EA" w:rsidRPr="00FF475F" w:rsidRDefault="002F78EA" w:rsidP="002F78EA">
      <w:pPr>
        <w:spacing w:after="254" w:line="265" w:lineRule="auto"/>
        <w:ind w:left="-5" w:right="49" w:hanging="10"/>
        <w:rPr>
          <w:szCs w:val="22"/>
        </w:rPr>
      </w:pPr>
      <w:r>
        <w:rPr>
          <w:szCs w:val="22"/>
        </w:rPr>
        <w:t>By contrast, Article 9(1)(c)(i) and Article 9(2)(c) indicate that only publications 1 and 3 are expected. APARMA members’ view is that the two publications indicated in the draft RTS would achieve the same level of transparency to the market but with lower complexity of implementation.</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12CB597" w14:textId="77777777" w:rsidR="00131ECC" w:rsidRDefault="00131ECC" w:rsidP="00131ECC">
      <w:permStart w:id="1180527698" w:edGrp="everyone"/>
      <w: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lastRenderedPageBreak/>
        <w:t>Do you agree with the proposed amendments to CDR 2017/2194, the RTS on package orders? Please explain.</w:t>
      </w:r>
    </w:p>
    <w:p w14:paraId="1AD71825" w14:textId="77777777" w:rsidR="00131ECC" w:rsidRDefault="00131ECC" w:rsidP="00131ECC">
      <w:r>
        <w:t>&lt;ESMA_QUESTION_DERI_21&gt;</w:t>
      </w:r>
    </w:p>
    <w:p w14:paraId="48C5FF02" w14:textId="77777777" w:rsidR="00131ECC" w:rsidRDefault="00131ECC" w:rsidP="00131ECC">
      <w:permStart w:id="1980902739" w:edGrp="everyone"/>
      <w:r>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161DA439" w14:textId="77777777" w:rsidR="00131ECC" w:rsidRDefault="00131ECC" w:rsidP="00131ECC">
      <w:permStart w:id="1722902870" w:edGrp="everyone"/>
      <w:r>
        <w:t>TYPE YOUR TEXT HERE</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1869C235" w14:textId="77777777" w:rsidR="002F78EA" w:rsidRPr="00FF475F" w:rsidRDefault="002F78EA" w:rsidP="002F78EA">
      <w:pPr>
        <w:ind w:left="-15" w:right="58"/>
        <w:rPr>
          <w:szCs w:val="22"/>
        </w:rPr>
      </w:pPr>
      <w:permStart w:id="467429827" w:edGrp="everyone"/>
      <w:r w:rsidRPr="00FF475F">
        <w:rPr>
          <w:szCs w:val="22"/>
        </w:rPr>
        <w:t xml:space="preserve">The procedures </w:t>
      </w:r>
      <w:r>
        <w:rPr>
          <w:szCs w:val="22"/>
        </w:rPr>
        <w:t>and</w:t>
      </w:r>
      <w:r w:rsidRPr="00FF475F">
        <w:rPr>
          <w:szCs w:val="22"/>
        </w:rPr>
        <w:t xml:space="preserve"> proposals for the use of Suspicious trade flags needs to be elaborated to make clear what happens when the </w:t>
      </w:r>
      <w:r>
        <w:rPr>
          <w:szCs w:val="22"/>
        </w:rPr>
        <w:t>consolidated tape provider (</w:t>
      </w:r>
      <w:r w:rsidRPr="00FF475F">
        <w:rPr>
          <w:szCs w:val="22"/>
        </w:rPr>
        <w:t>CTP</w:t>
      </w:r>
      <w:r>
        <w:rPr>
          <w:szCs w:val="22"/>
        </w:rPr>
        <w:t>)</w:t>
      </w:r>
      <w:r w:rsidRPr="00FF475F">
        <w:rPr>
          <w:szCs w:val="22"/>
        </w:rPr>
        <w:t xml:space="preserve"> declares a trade suspicious when it is in fact a valid and </w:t>
      </w:r>
      <w:r>
        <w:rPr>
          <w:szCs w:val="22"/>
        </w:rPr>
        <w:t xml:space="preserve">fully </w:t>
      </w:r>
      <w:r w:rsidRPr="00FF475F">
        <w:rPr>
          <w:szCs w:val="22"/>
        </w:rPr>
        <w:t xml:space="preserve">accurate trade report. </w:t>
      </w:r>
    </w:p>
    <w:p w14:paraId="2C4C1F08" w14:textId="77777777" w:rsidR="002F78EA" w:rsidRPr="00FF475F" w:rsidRDefault="002F78EA" w:rsidP="002F78EA">
      <w:pPr>
        <w:ind w:right="58"/>
        <w:rPr>
          <w:szCs w:val="22"/>
        </w:rPr>
      </w:pPr>
      <w:r w:rsidRPr="00FF475F">
        <w:rPr>
          <w:szCs w:val="22"/>
        </w:rPr>
        <w:t>APARMA agrees with ESMA</w:t>
      </w:r>
      <w:r>
        <w:rPr>
          <w:szCs w:val="22"/>
        </w:rPr>
        <w:t>’s</w:t>
      </w:r>
      <w:r w:rsidRPr="00FF475F">
        <w:rPr>
          <w:szCs w:val="22"/>
        </w:rPr>
        <w:t xml:space="preserve"> approach to new timestamps output fields</w:t>
      </w:r>
      <w:r>
        <w:rPr>
          <w:szCs w:val="22"/>
        </w:rPr>
        <w:t>. However, we note that i</w:t>
      </w:r>
      <w:r w:rsidRPr="00FF475F">
        <w:rPr>
          <w:szCs w:val="22"/>
        </w:rPr>
        <w:t>t is important that these timestamp fields are always aligned across all CTPs and their associated input/output data requirements.</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CC50A" w14:textId="77777777" w:rsidR="00A26359" w:rsidRDefault="00A26359" w:rsidP="00F716D4">
      <w:r>
        <w:separator/>
      </w:r>
    </w:p>
    <w:p w14:paraId="4AAFD079" w14:textId="77777777" w:rsidR="00A26359" w:rsidRDefault="00A26359" w:rsidP="00F716D4"/>
  </w:endnote>
  <w:endnote w:type="continuationSeparator" w:id="0">
    <w:p w14:paraId="2DE47E48" w14:textId="77777777" w:rsidR="00A26359" w:rsidRDefault="00A26359" w:rsidP="00F716D4">
      <w:r>
        <w:continuationSeparator/>
      </w:r>
    </w:p>
    <w:p w14:paraId="31CD6DD1" w14:textId="77777777" w:rsidR="00A26359" w:rsidRDefault="00A26359" w:rsidP="00F716D4"/>
  </w:endnote>
  <w:endnote w:type="continuationNotice" w:id="1">
    <w:p w14:paraId="1FA62184" w14:textId="77777777" w:rsidR="00A26359" w:rsidRDefault="00A26359"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EUAlbertina">
    <w:altName w:val="Calibri"/>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20B060402020202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Liberation Serif">
    <w:altName w:val="Times New Roman"/>
    <w:panose1 w:val="020B0604020202020204"/>
    <w:charset w:val="00"/>
    <w:family w:val="roman"/>
    <w:pitch w:val="variable"/>
  </w:font>
  <w:font w:name="Myriad Pro Light">
    <w:altName w:val="Corbel"/>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D9528" w14:textId="77777777" w:rsidR="00A26359" w:rsidRDefault="00A26359" w:rsidP="00F716D4">
      <w:r>
        <w:separator/>
      </w:r>
    </w:p>
    <w:p w14:paraId="666FE12B" w14:textId="77777777" w:rsidR="00A26359" w:rsidRDefault="00A26359" w:rsidP="00F716D4"/>
  </w:footnote>
  <w:footnote w:type="continuationSeparator" w:id="0">
    <w:p w14:paraId="34E3E0C8" w14:textId="77777777" w:rsidR="00A26359" w:rsidRDefault="00A26359" w:rsidP="00F716D4">
      <w:r>
        <w:continuationSeparator/>
      </w:r>
    </w:p>
    <w:p w14:paraId="253320F7" w14:textId="77777777" w:rsidR="00A26359" w:rsidRDefault="00A26359" w:rsidP="00F716D4"/>
  </w:footnote>
  <w:footnote w:type="continuationNotice" w:id="1">
    <w:p w14:paraId="32B32B2D" w14:textId="77777777" w:rsidR="00A26359" w:rsidRDefault="00A26359"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6"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29"/>
  </w:num>
  <w:num w:numId="9" w16cid:durableId="1008846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8"/>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3"/>
  </w:num>
  <w:num w:numId="21" w16cid:durableId="538709007">
    <w:abstractNumId w:val="23"/>
  </w:num>
  <w:num w:numId="22" w16cid:durableId="104540172">
    <w:abstractNumId w:val="7"/>
  </w:num>
  <w:num w:numId="23" w16cid:durableId="1824349076">
    <w:abstractNumId w:val="27"/>
  </w:num>
  <w:num w:numId="24" w16cid:durableId="672032853">
    <w:abstractNumId w:val="26"/>
  </w:num>
  <w:num w:numId="25" w16cid:durableId="48917541">
    <w:abstractNumId w:val="18"/>
  </w:num>
  <w:num w:numId="26" w16cid:durableId="978925443">
    <w:abstractNumId w:val="30"/>
  </w:num>
  <w:num w:numId="27" w16cid:durableId="1036613928">
    <w:abstractNumId w:val="35"/>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2"/>
  </w:num>
  <w:num w:numId="33" w16cid:durableId="2076850202">
    <w:abstractNumId w:val="31"/>
  </w:num>
  <w:num w:numId="34" w16cid:durableId="469176496">
    <w:abstractNumId w:val="10"/>
  </w:num>
  <w:num w:numId="35" w16cid:durableId="674843309">
    <w:abstractNumId w:val="16"/>
  </w:num>
  <w:num w:numId="36" w16cid:durableId="1954971501">
    <w:abstractNumId w:val="36"/>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hideSpellingErrors/>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24A"/>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2F6831"/>
    <w:rsid w:val="002F78EA"/>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096F"/>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476"/>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06B7D"/>
    <w:rsid w:val="00A10148"/>
    <w:rsid w:val="00A113FD"/>
    <w:rsid w:val="00A11DDE"/>
    <w:rsid w:val="00A127A7"/>
    <w:rsid w:val="00A129F4"/>
    <w:rsid w:val="00A136F4"/>
    <w:rsid w:val="00A160D3"/>
    <w:rsid w:val="00A16DC9"/>
    <w:rsid w:val="00A20225"/>
    <w:rsid w:val="00A24269"/>
    <w:rsid w:val="00A243E4"/>
    <w:rsid w:val="00A25392"/>
    <w:rsid w:val="00A25ED4"/>
    <w:rsid w:val="00A26359"/>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31F5"/>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2C60"/>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hyperlink" Target="https://eur-lex.europa.eu/legal-content/EN/TXT/?uri=CELEX:32025R100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2.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3.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d0fb0f98-34f9-4d57-9559-eb8efd17aa5e"/>
    <ds:schemaRef ds:uri="c3d8dec5-8a41-4471-b9ad-44c181776275"/>
  </ds:schemaRefs>
</ds:datastoreItem>
</file>

<file path=customXml/itemProps4.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5.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83B3ABB-1E22-43DF-B118-E1D48363CC1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1707</Words>
  <Characters>9730</Characters>
  <Application>Microsoft Office Word</Application>
  <DocSecurity>8</DocSecurity>
  <Lines>81</Lines>
  <Paragraphs>22</Paragraphs>
  <ScaleCrop>false</ScaleCrop>
  <HeadingPairs>
    <vt:vector size="2" baseType="variant">
      <vt:variant>
        <vt:lpstr>Title</vt:lpstr>
      </vt:variant>
      <vt:variant>
        <vt:i4>1</vt:i4>
      </vt:variant>
    </vt:vector>
  </HeadingPairs>
  <TitlesOfParts>
    <vt:vector size="1" baseType="lpstr">
      <vt:lpstr>Reply form for the MiFID II/MiFIR Consultation Paper</vt:lpstr>
    </vt:vector>
  </TitlesOfParts>
  <Company>ESMA</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David Bullen</cp:lastModifiedBy>
  <cp:revision>2</cp:revision>
  <cp:lastPrinted>2015-02-18T11:01:00Z</cp:lastPrinted>
  <dcterms:created xsi:type="dcterms:W3CDTF">2025-07-03T11:17:00Z</dcterms:created>
  <dcterms:modified xsi:type="dcterms:W3CDTF">2025-07-03T11:17:00Z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