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32FAA"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3"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0"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1"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2"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EndPr>
            <w:rPr>
              <w:rStyle w:val="PlaceholderText"/>
            </w:rPr>
          </w:sdtEndPr>
          <w:sdtContent>
            <w:tc>
              <w:tcPr>
                <w:tcW w:w="5595" w:type="dxa"/>
                <w:shd w:val="clear" w:color="auto" w:fill="auto"/>
                <w:vAlign w:val="center"/>
              </w:tcPr>
              <w:p w14:paraId="633DB1B6" w14:textId="5BAD08CE" w:rsidR="00C2682A" w:rsidRPr="00104E00" w:rsidRDefault="00E541AF" w:rsidP="00104E00">
                <w:pPr>
                  <w:jc w:val="left"/>
                  <w:rPr>
                    <w:rStyle w:val="PlaceholderText"/>
                  </w:rPr>
                </w:pPr>
                <w:r>
                  <w:rPr>
                    <w:rStyle w:val="PlaceholderText"/>
                  </w:rPr>
                  <w:t>FIX Trading Community</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20D19391" w:rsidR="00C2682A" w:rsidRPr="00104E00" w:rsidRDefault="00EB3FCF"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E541AF">
                  <w:t>Non-financial counterparty</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EndPr/>
          <w:sdtContent>
            <w:tc>
              <w:tcPr>
                <w:tcW w:w="5595" w:type="dxa"/>
                <w:shd w:val="clear" w:color="auto" w:fill="auto"/>
                <w:vAlign w:val="center"/>
              </w:tcPr>
              <w:p w14:paraId="4BD68813" w14:textId="1B7F8819" w:rsidR="00C2682A" w:rsidRPr="00104E00" w:rsidRDefault="00E541AF"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2874E5E1" w:rsidR="00C2682A" w:rsidRPr="00104E00" w:rsidRDefault="00E541AF" w:rsidP="00104E00">
                <w:pPr>
                  <w:jc w:val="left"/>
                </w:pPr>
                <w:r>
                  <w:t>International</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39BABE29" w14:textId="70A9EFB5" w:rsidR="00C916E8" w:rsidRPr="00C916E8" w:rsidRDefault="00C916E8" w:rsidP="00C916E8">
      <w:pPr>
        <w:jc w:val="left"/>
      </w:pPr>
      <w:permStart w:id="651311428" w:edGrp="everyone"/>
      <w:r w:rsidRPr="00C916E8">
        <w:t>While we take no position on the provision of pre-trade transparency, we would like to note the following issue:</w:t>
      </w:r>
      <w:r w:rsidRPr="00C916E8">
        <w:br/>
        <w:t>A specific trading segment may operate several different trading models throughout the day, d</w:t>
      </w:r>
      <w:r>
        <w:t>e</w:t>
      </w:r>
      <w:r w:rsidRPr="00C916E8">
        <w:t>pending on the trading phase. Describing such a system as “hybrid” lacks sufficient informational value for the industry, as market participants need to be able to differentiate between trading models and trading phases. FIX therefore recommends referencing the trading system phase rather than the trading venue type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05E05E3E" w14:textId="77777777" w:rsidR="00D2139E" w:rsidRPr="00530CD0" w:rsidRDefault="00D2139E" w:rsidP="00D2139E">
      <w:pPr>
        <w:pStyle w:val="paragraph"/>
        <w:jc w:val="both"/>
        <w:rPr>
          <w:rFonts w:ascii="Arial" w:hAnsi="Arial" w:cs="Arial"/>
          <w:sz w:val="22"/>
          <w:szCs w:val="22"/>
        </w:rPr>
      </w:pPr>
      <w:permStart w:id="1252945268" w:edGrp="everyone"/>
      <w:r w:rsidRPr="00530CD0">
        <w:rPr>
          <w:rFonts w:ascii="Arial" w:hAnsi="Arial" w:cs="Arial"/>
          <w:sz w:val="22"/>
          <w:szCs w:val="22"/>
        </w:rPr>
        <w:t>We support the proposal to include effective date and expiry date as additional fields, to be collected alongside the product identifier (but not as part of it).</w:t>
      </w:r>
    </w:p>
    <w:p w14:paraId="0B8C1577" w14:textId="77777777" w:rsidR="00D2139E" w:rsidRPr="00530CD0" w:rsidRDefault="00D2139E" w:rsidP="00D2139E">
      <w:pPr>
        <w:pStyle w:val="paragraph"/>
        <w:jc w:val="both"/>
        <w:rPr>
          <w:rFonts w:ascii="Arial" w:hAnsi="Arial" w:cs="Arial"/>
          <w:sz w:val="22"/>
          <w:szCs w:val="22"/>
        </w:rPr>
      </w:pPr>
      <w:r w:rsidRPr="00530CD0">
        <w:rPr>
          <w:rFonts w:ascii="Arial" w:hAnsi="Arial" w:cs="Arial"/>
          <w:sz w:val="22"/>
          <w:szCs w:val="22"/>
        </w:rPr>
        <w:t>We also support the proposed post-trade deferral flags.</w:t>
      </w:r>
    </w:p>
    <w:p w14:paraId="0E099532" w14:textId="7791F145" w:rsidR="00131ECC" w:rsidRPr="00D2139E" w:rsidRDefault="00D2139E" w:rsidP="00D2139E">
      <w:pPr>
        <w:pStyle w:val="paragraph"/>
        <w:jc w:val="both"/>
        <w:rPr>
          <w:rFonts w:ascii="Arial" w:hAnsi="Arial" w:cs="Arial"/>
          <w:sz w:val="22"/>
          <w:szCs w:val="22"/>
        </w:rPr>
      </w:pPr>
      <w:r w:rsidRPr="00530CD0">
        <w:rPr>
          <w:rFonts w:ascii="Arial" w:hAnsi="Arial" w:cs="Arial"/>
          <w:sz w:val="22"/>
          <w:szCs w:val="22"/>
        </w:rPr>
        <w:t>FIX supports alignment of reference data, including product identifiers, across all EU reporting mandates. Wherever possible, this should be coupled with international harmonisation. In this context we also note the recent publication of ESMA's Call for Evidence on the Simplification of Financial Transaction Reporting, which we hope will inform the future direction of transparency reporting as well.</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77777777" w:rsidR="00131ECC" w:rsidRDefault="00131ECC" w:rsidP="00131ECC">
      <w:permStart w:id="1795046886" w:edGrp="everyone"/>
      <w:r>
        <w:t>TYPE YOUR TEXT HERE</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64599F88" w14:textId="77777777" w:rsidR="00131ECC" w:rsidRDefault="00131ECC" w:rsidP="00131ECC">
      <w:permStart w:id="97283499" w:edGrp="everyone"/>
      <w:r>
        <w:t>TYPE YOUR TEXT HERE</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77777777" w:rsidR="00131ECC" w:rsidRDefault="00131ECC" w:rsidP="00131ECC">
      <w:permStart w:id="1086263988" w:edGrp="everyone"/>
      <w:r>
        <w:t>TYPE YOUR TEXT HERE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Default="00131ECC" w:rsidP="00131ECC">
      <w:permStart w:id="1304631682" w:edGrp="everyone"/>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lastRenderedPageBreak/>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77777777" w:rsidR="00131ECC" w:rsidRDefault="00131ECC" w:rsidP="00131ECC">
      <w:permStart w:id="1464080814" w:edGrp="everyone"/>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lastRenderedPageBreak/>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lastRenderedPageBreak/>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11F8F59D" w:rsidR="00131ECC" w:rsidRDefault="008B4B8F" w:rsidP="00131ECC">
      <w:permStart w:id="1089237461" w:edGrp="everyone"/>
      <w:r w:rsidRPr="00F9688C">
        <w:t xml:space="preserve">We agree with the proposal to implement volume masking in post-trade transparency. However, guidance </w:t>
      </w:r>
      <w:r>
        <w:t>should allow for distinction</w:t>
      </w:r>
      <w:r w:rsidRPr="00F9688C">
        <w:t xml:space="preserve"> between </w:t>
      </w:r>
      <w:r w:rsidRPr="00F9688C">
        <w:rPr>
          <w:i/>
          <w:iCs/>
        </w:rPr>
        <w:t>null</w:t>
      </w:r>
      <w:r w:rsidRPr="00F9688C">
        <w:t xml:space="preserve"> and </w:t>
      </w:r>
      <w:r w:rsidRPr="00F9688C">
        <w:rPr>
          <w:i/>
          <w:iCs/>
        </w:rPr>
        <w:t>zero</w:t>
      </w:r>
      <w:r w:rsidRPr="00F9688C">
        <w:t xml:space="preserve"> values in reported data. This is particularly important in cases where a zero price or quantity may be valid (e.g. basis point pricing or lifecycle events), versus cases where values are intentionally masked. Clear flagging conventions are essential to avoid misinterpretation and ensure data quality</w:t>
      </w:r>
      <w:r w:rsidR="004B547A">
        <w:t>.</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lastRenderedPageBreak/>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9D4551D" w:rsidR="00131ECC" w:rsidRPr="00BB4505" w:rsidRDefault="00BB4505" w:rsidP="00BB4505">
      <w:pPr>
        <w:spacing w:after="0" w:line="240" w:lineRule="auto"/>
        <w:ind w:left="73" w:right="284"/>
        <w:rPr>
          <w:rFonts w:eastAsia="Times New Roman"/>
          <w:szCs w:val="22"/>
          <w:lang w:eastAsia="en-GB"/>
        </w:rPr>
      </w:pPr>
      <w:permStart w:id="1722902870" w:edGrp="everyone"/>
      <w:r w:rsidRPr="003D0123">
        <w:rPr>
          <w:rFonts w:eastAsia="Times New Roman"/>
          <w:szCs w:val="22"/>
          <w:lang w:eastAsia="en-GB"/>
        </w:rPr>
        <w:t xml:space="preserve">We agree with the proposals; however, we note that not </w:t>
      </w:r>
      <w:proofErr w:type="gramStart"/>
      <w:r w:rsidRPr="003D0123">
        <w:rPr>
          <w:rFonts w:eastAsia="Times New Roman"/>
          <w:szCs w:val="22"/>
          <w:lang w:eastAsia="en-GB"/>
        </w:rPr>
        <w:t>all of</w:t>
      </w:r>
      <w:proofErr w:type="gramEnd"/>
      <w:r w:rsidRPr="003D0123">
        <w:rPr>
          <w:rFonts w:eastAsia="Times New Roman"/>
          <w:szCs w:val="22"/>
          <w:lang w:eastAsia="en-GB"/>
        </w:rPr>
        <w:t xml:space="preserve"> the proposed fields are relevant for OTC derivatives. For example, we do not view 'instrument status' - which relates to suspension or removal from listing - as being relevant here.</w:t>
      </w:r>
      <w:r w:rsidR="00EB3FCF">
        <w:rPr>
          <w:rFonts w:eastAsia="Times New Roman"/>
          <w:szCs w:val="22"/>
          <w:lang w:eastAsia="en-GB"/>
        </w:rPr>
        <w:t xml:space="preserve"> </w:t>
      </w:r>
      <w:proofErr w:type="gramStart"/>
      <w:r w:rsidRPr="003D0123">
        <w:rPr>
          <w:rFonts w:eastAsia="Times New Roman"/>
          <w:szCs w:val="22"/>
          <w:lang w:eastAsia="en-GB"/>
        </w:rPr>
        <w:t>In</w:t>
      </w:r>
      <w:proofErr w:type="gramEnd"/>
      <w:r w:rsidRPr="003D0123">
        <w:rPr>
          <w:rFonts w:eastAsia="Times New Roman"/>
          <w:szCs w:val="22"/>
          <w:lang w:eastAsia="en-GB"/>
        </w:rPr>
        <w:t xml:space="preserve"> addition, “Instrument status </w:t>
      </w:r>
      <w:proofErr w:type="gramStart"/>
      <w:r w:rsidRPr="003D0123">
        <w:rPr>
          <w:rFonts w:eastAsia="Times New Roman"/>
          <w:szCs w:val="22"/>
          <w:lang w:eastAsia="en-GB"/>
        </w:rPr>
        <w:t>start</w:t>
      </w:r>
      <w:proofErr w:type="gramEnd"/>
      <w:r w:rsidRPr="003D0123">
        <w:rPr>
          <w:rFonts w:eastAsia="Times New Roman"/>
          <w:szCs w:val="22"/>
          <w:lang w:eastAsia="en-GB"/>
        </w:rPr>
        <w:t xml:space="preserve"> date and time” and “Dissemination start date and time” are irrelevant for OTC derivatives</w:t>
      </w:r>
      <w:r>
        <w:rPr>
          <w:rFonts w:eastAsia="Times New Roman"/>
          <w:szCs w:val="22"/>
          <w:lang w:eastAsia="en-GB"/>
        </w:rPr>
        <w:t>.</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4517724C" w:rsidR="00131ECC" w:rsidRPr="0099029E" w:rsidRDefault="0099029E" w:rsidP="0099029E">
      <w:pPr>
        <w:spacing w:after="0" w:line="240" w:lineRule="auto"/>
        <w:ind w:right="284"/>
        <w:rPr>
          <w:szCs w:val="22"/>
        </w:rPr>
      </w:pPr>
      <w:permStart w:id="467429827" w:edGrp="everyone"/>
      <w:r w:rsidRPr="003D0123">
        <w:rPr>
          <w:szCs w:val="22"/>
        </w:rPr>
        <w:t>Yes FIX is supportive, and FIX has no further comments on the format.</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A4375" w14:textId="77777777" w:rsidR="0005646C" w:rsidRDefault="0005646C" w:rsidP="00F716D4">
      <w:r>
        <w:separator/>
      </w:r>
    </w:p>
    <w:p w14:paraId="700AC5B4" w14:textId="77777777" w:rsidR="0005646C" w:rsidRDefault="0005646C" w:rsidP="00F716D4"/>
  </w:endnote>
  <w:endnote w:type="continuationSeparator" w:id="0">
    <w:p w14:paraId="4D204B00" w14:textId="77777777" w:rsidR="0005646C" w:rsidRDefault="0005646C" w:rsidP="00F716D4">
      <w:r>
        <w:continuationSeparator/>
      </w:r>
    </w:p>
    <w:p w14:paraId="6AEA2BA5" w14:textId="77777777" w:rsidR="0005646C" w:rsidRDefault="0005646C" w:rsidP="00F716D4"/>
  </w:endnote>
  <w:endnote w:type="continuationNotice" w:id="1">
    <w:p w14:paraId="766B9B50" w14:textId="77777777" w:rsidR="0005646C" w:rsidRDefault="0005646C"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54ECE" w14:textId="77777777" w:rsidR="0005646C" w:rsidRDefault="0005646C" w:rsidP="00F716D4">
      <w:r>
        <w:separator/>
      </w:r>
    </w:p>
    <w:p w14:paraId="76ED0F59" w14:textId="77777777" w:rsidR="0005646C" w:rsidRDefault="0005646C" w:rsidP="00F716D4"/>
  </w:footnote>
  <w:footnote w:type="continuationSeparator" w:id="0">
    <w:p w14:paraId="6E5784CB" w14:textId="77777777" w:rsidR="0005646C" w:rsidRDefault="0005646C" w:rsidP="00F716D4">
      <w:r>
        <w:continuationSeparator/>
      </w:r>
    </w:p>
    <w:p w14:paraId="2E8E5EC0" w14:textId="77777777" w:rsidR="0005646C" w:rsidRDefault="0005646C" w:rsidP="00F716D4"/>
  </w:footnote>
  <w:footnote w:type="continuationNotice" w:id="1">
    <w:p w14:paraId="715D8B49" w14:textId="77777777" w:rsidR="0005646C" w:rsidRDefault="0005646C"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6"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3"/>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0"/>
  </w:num>
  <w:num w:numId="27" w16cid:durableId="1036613928">
    <w:abstractNumId w:val="35"/>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2"/>
  </w:num>
  <w:num w:numId="33" w16cid:durableId="2076850202">
    <w:abstractNumId w:val="31"/>
  </w:num>
  <w:num w:numId="34" w16cid:durableId="469176496">
    <w:abstractNumId w:val="10"/>
  </w:num>
  <w:num w:numId="35" w16cid:durableId="674843309">
    <w:abstractNumId w:val="16"/>
  </w:num>
  <w:num w:numId="36" w16cid:durableId="1954971501">
    <w:abstractNumId w:val="36"/>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46C"/>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2D94"/>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47A"/>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E6731"/>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B8F"/>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029E"/>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54"/>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505"/>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16E8"/>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139E"/>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1AF"/>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3FCF"/>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 w:type="paragraph" w:customStyle="1" w:styleId="paragraph">
    <w:name w:val="paragraph"/>
    <w:basedOn w:val="Normal"/>
    <w:rsid w:val="00D2139E"/>
    <w:pPr>
      <w:suppressAutoHyphens/>
      <w:autoSpaceDN w:val="0"/>
      <w:spacing w:before="100" w:after="100" w:line="240" w:lineRule="auto"/>
      <w:jc w:val="left"/>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s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esma.europa.eu/about-esma/data-protection"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0B2B05731BEA4BA060E7AE02292DC2" ma:contentTypeVersion="18" ma:contentTypeDescription="Create a new document." ma:contentTypeScope="" ma:versionID="9654347641883154fdb61c53fdfb0dae">
  <xsd:schema xmlns:xsd="http://www.w3.org/2001/XMLSchema" xmlns:xs="http://www.w3.org/2001/XMLSchema" xmlns:p="http://schemas.microsoft.com/office/2006/metadata/properties" xmlns:ns2="dcf83731-3086-4851-8d0f-20613e53e4a8" xmlns:ns3="692c5ca5-c1a5-4565-81c0-9216d07212e2" targetNamespace="http://schemas.microsoft.com/office/2006/metadata/properties" ma:root="true" ma:fieldsID="e563b2dbc718a79f5df76d0adf76d302" ns2:_="" ns3:_="">
    <xsd:import namespace="dcf83731-3086-4851-8d0f-20613e53e4a8"/>
    <xsd:import namespace="692c5ca5-c1a5-4565-81c0-9216d07212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83731-3086-4851-8d0f-20613e53e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74c218-7e7d-42eb-a9d8-ee0b985739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c5ca5-c1a5-4565-81c0-9216d07212e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7ec9f1-8905-4462-bfd3-8e5974a0de00}" ma:internalName="TaxCatchAll" ma:showField="CatchAllData" ma:web="692c5ca5-c1a5-4565-81c0-9216d07212e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692c5ca5-c1a5-4565-81c0-9216d07212e2" xsi:nil="true"/>
    <lcf76f155ced4ddcb4097134ff3c332f xmlns="dcf83731-3086-4851-8d0f-20613e53e4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2.xml><?xml version="1.0" encoding="utf-8"?>
<ds:datastoreItem xmlns:ds="http://schemas.openxmlformats.org/officeDocument/2006/customXml" ds:itemID="{46054382-A058-45B6-848B-C54217AA7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83731-3086-4851-8d0f-20613e53e4a8"/>
    <ds:schemaRef ds:uri="692c5ca5-c1a5-4565-81c0-9216d0721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4.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5.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692c5ca5-c1a5-4565-81c0-9216d07212e2"/>
    <ds:schemaRef ds:uri="dcf83731-3086-4851-8d0f-20613e53e4a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1270</Words>
  <Characters>7729</Characters>
  <Application>Microsoft Office Word</Application>
  <DocSecurity>8</DocSecurity>
  <Lines>64</Lines>
  <Paragraphs>17</Paragraphs>
  <ScaleCrop>false</ScaleCrop>
  <Company>ESMA</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Yuhang Wang</cp:lastModifiedBy>
  <cp:revision>10</cp:revision>
  <cp:lastPrinted>2015-02-18T11:01:00Z</cp:lastPrinted>
  <dcterms:created xsi:type="dcterms:W3CDTF">2025-07-01T11:21:00Z</dcterms:created>
  <dcterms:modified xsi:type="dcterms:W3CDTF">2025-07-03T08:28:00Z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0x010100260B2B05731BEA4BA060E7AE02292DC2</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