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CDD58"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3"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0"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1"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2"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3"/>
          <w:footerReference w:type="even" r:id="rId24"/>
          <w:footerReference w:type="default" r:id="rId25"/>
          <w:headerReference w:type="first" r:id="rId26"/>
          <w:footerReference w:type="first" r:id="rId27"/>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EndPr>
            <w:rPr>
              <w:rStyle w:val="PlaceholderText"/>
            </w:rPr>
          </w:sdtEndPr>
          <w:sdtContent>
            <w:tc>
              <w:tcPr>
                <w:tcW w:w="5595" w:type="dxa"/>
                <w:shd w:val="clear" w:color="auto" w:fill="auto"/>
                <w:vAlign w:val="center"/>
              </w:tcPr>
              <w:p w14:paraId="633DB1B6" w14:textId="45251C36" w:rsidR="00C2682A" w:rsidRPr="00104E00" w:rsidRDefault="00D02BB7" w:rsidP="00104E00">
                <w:pPr>
                  <w:jc w:val="left"/>
                  <w:rPr>
                    <w:rStyle w:val="PlaceholderText"/>
                  </w:rPr>
                </w:pPr>
                <w:r>
                  <w:rPr>
                    <w:rStyle w:val="PlaceholderText"/>
                  </w:rPr>
                  <w:t>Deutsche Boerse Group (DBG)</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45687C3D" w:rsidR="00C2682A" w:rsidRPr="00104E00" w:rsidRDefault="00D52B53"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D02BB7">
                  <w:t>Regulated markets/Exchanges/Trading Systems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0"/>
              <w14:checkedState w14:val="2612" w14:font="MS Gothic"/>
              <w14:uncheckedState w14:val="2610" w14:font="MS Gothic"/>
            </w14:checkbox>
          </w:sdtPr>
          <w:sdtEndPr/>
          <w:sdtContent>
            <w:tc>
              <w:tcPr>
                <w:tcW w:w="5595" w:type="dxa"/>
                <w:shd w:val="clear" w:color="auto" w:fill="auto"/>
                <w:vAlign w:val="center"/>
              </w:tcPr>
              <w:p w14:paraId="4BD68813" w14:textId="77777777" w:rsidR="00C2682A" w:rsidRPr="00104E00" w:rsidRDefault="00C2682A" w:rsidP="00104E00">
                <w:pPr>
                  <w:jc w:val="left"/>
                </w:pPr>
                <w:r w:rsidRPr="00104E00">
                  <w:rPr>
                    <w:rFonts w:ascii="Segoe UI Symbol" w:eastAsia="MS Gothic" w:hAnsi="Segoe UI Symbol" w:cs="Segoe UI Symbol"/>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6938B9CD" w:rsidR="00C2682A" w:rsidRPr="00104E00" w:rsidRDefault="00D02BB7" w:rsidP="00104E00">
                <w:pPr>
                  <w:jc w:val="left"/>
                </w:pPr>
                <w:r>
                  <w:t>Germany</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5C1C35C2" w14:textId="77777777" w:rsidR="003E06FC" w:rsidRDefault="003E06FC" w:rsidP="003E06FC">
      <w:permStart w:id="651311428" w:edGrp="everyone"/>
      <w:r>
        <w:t>Deutsche Boerse Group (DBG) in part disagrees with the proposals regarding pre-trade transparency. Identical to our position made in the consultation for RTS 2 on  transparency for bonds, structured finance products and emission allowances, we suggest that, besides CLOBs and periodic auctions, other execution channels linked to those forming a holistic hybrid system of the exchange shall continue to adhere to the well-established pre-trade transparency regime tailored to the respective execution channels, as it was in place before the revision of MiFID/</w:t>
      </w:r>
      <w:proofErr w:type="spellStart"/>
      <w:r>
        <w:t>MiFIR</w:t>
      </w:r>
      <w:proofErr w:type="spellEnd"/>
      <w:r>
        <w:t>. Derivatives exchanges operate complex hybrid systems covering different execution channels, including CLOB as well as trade registration services, where pre-arranged or negotiated off-book transactions are formalized by order information details being placed into the trading venue’s system.</w:t>
      </w:r>
    </w:p>
    <w:p w14:paraId="41473735" w14:textId="77777777" w:rsidR="003E06FC" w:rsidRDefault="003E06FC" w:rsidP="003E06FC">
      <w:r>
        <w:t>In the absence of regulation consisting of tailored pre-trad transparency requirements for execution channels that are neither CLOB nor period auctions, any trading venue would have the flexibility whether they want to apply pre-trade transparency/thresholds, creating potential regulatory arbitrage, and a race to the bottom in terms of transparency standards. Thus, less transparent venues might capture more trading flow, which otherwise would have been processed by more transparent venues or even in CLOBs, leading to less liquidity on the more transparent venues and in the CLOB.</w:t>
      </w:r>
    </w:p>
    <w:p w14:paraId="09232E7F" w14:textId="77777777" w:rsidR="003E06FC" w:rsidRDefault="003E06FC" w:rsidP="00131ECC">
      <w:r>
        <w:t xml:space="preserve">In addition to the above, we would like to voice a similar critique to the size thresholds in pre-trade transparency as </w:t>
      </w:r>
      <w:proofErr w:type="gramStart"/>
      <w:r>
        <w:t>later on</w:t>
      </w:r>
      <w:proofErr w:type="gramEnd"/>
      <w:r>
        <w:t xml:space="preserve"> in more detail for post-trade transparency. The proposed 50% of post-trade threshold as pre-trade threshold would substantially increase the size thresholds for equity derivatives with low average daily notional amount. For equity instruments with the lowest ADNA ranges, the proposed thresholds for pre-trade </w:t>
      </w:r>
      <w:proofErr w:type="spellStart"/>
      <w:r>
        <w:t>LiS</w:t>
      </w:r>
      <w:proofErr w:type="spellEnd"/>
      <w:r>
        <w:t xml:space="preserve"> waivers would be 50x the current </w:t>
      </w:r>
      <w:proofErr w:type="spellStart"/>
      <w:r>
        <w:t>LiS</w:t>
      </w:r>
      <w:proofErr w:type="spellEnd"/>
      <w:r>
        <w:t xml:space="preserve"> threshold effectively banning those products from waiving pre-trade transparency in a CLOB. Consequently, we strongly suggest reintroducing ADNA-ranges for equity products as a granularity predictor for pre-trade size thresholds as a mean to maintain the same size of pre-trade </w:t>
      </w:r>
      <w:proofErr w:type="spellStart"/>
      <w:r>
        <w:t>LiS</w:t>
      </w:r>
      <w:proofErr w:type="spellEnd"/>
      <w:r>
        <w:t xml:space="preserve"> waivers. Opposingly, we suggest orientating on the old floor thresholds for pre-trade CLOB-only interest rate derivatives waivers. Here, the proposed </w:t>
      </w:r>
      <w:proofErr w:type="spellStart"/>
      <w:r>
        <w:t>LiS</w:t>
      </w:r>
      <w:proofErr w:type="spellEnd"/>
      <w:r>
        <w:t xml:space="preserve"> thresholds are substantially lower than the previous </w:t>
      </w:r>
      <w:proofErr w:type="spellStart"/>
      <w:r>
        <w:t>LiS</w:t>
      </w:r>
      <w:proofErr w:type="spellEnd"/>
      <w:r>
        <w:t xml:space="preserve"> waivers with decreases down to a tenth of the previous threshold.</w:t>
      </w:r>
    </w:p>
    <w:permEnd w:id="651311428"/>
    <w:p w14:paraId="5B5F517D" w14:textId="13499699"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lastRenderedPageBreak/>
        <w:t>&lt;ESMA_QUESTION_DERI_2&gt;</w:t>
      </w:r>
    </w:p>
    <w:p w14:paraId="24303821" w14:textId="77777777" w:rsidR="003E06FC" w:rsidRDefault="003E06FC" w:rsidP="00131ECC">
      <w:permStart w:id="1252945268" w:edGrp="everyone"/>
      <w:r w:rsidRPr="003E06FC">
        <w:t>DBG agrees with the proposed amendment to the tables. We understand these as the necessary amendments to represent the changes in post-trade transparency. Furthermore, the changes do not put an extraordinary operational burden and thus we would agree with the proposal.</w:t>
      </w:r>
    </w:p>
    <w:permEnd w:id="1252945268"/>
    <w:p w14:paraId="20AD4B4D" w14:textId="25BB797B"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5E4D00F5" w14:textId="77777777" w:rsidR="003E06FC" w:rsidRDefault="003E06FC" w:rsidP="00131ECC">
      <w:permStart w:id="1795046886" w:edGrp="everyone"/>
      <w:r w:rsidRPr="003E06FC">
        <w:t>Yes, DBG agrees with ESMA’s proposal to not change the concept of "as close to real-time as technically possible". The 5-minute delay as proposed in the current RTS 2 should remain the strict upper limit and only being applied in case not otherwise technically possible. Non-deferred data submissions should strive for a true real-time submission as quickly as technically possible.</w:t>
      </w:r>
    </w:p>
    <w:permEnd w:id="1795046886"/>
    <w:p w14:paraId="7ED44A13" w14:textId="68E618A9"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5178F0EF" w14:textId="77777777" w:rsidR="003E06FC" w:rsidRDefault="003E06FC" w:rsidP="00131ECC">
      <w:permStart w:id="97283499" w:edGrp="everyone"/>
      <w:r w:rsidRPr="003E06FC">
        <w:t>DBG overall appreciates the general approach in making it possible to maintain a similar regime toward post-trade deferrals as is in place currently. However, we would strongly suggest amending the methodology for single stock products which face a disproportionate increase in the size thresholds for a T+1 deferral. Here, for products dated shorter than 6 months, the size threshold for single stock products with an ADNA below EUR 5m increases by 100% from EUR 1.25m to EUR 2.5m. As such, we would strongly suggest either lowering the "large" threshold for single stock products to EUR 1.25m or amend the methodology in not completely forgoing granularity for low ADNA products. This can be done by offering accordingly lower thresholds in either option for single stock options with an ADNA below EUR 5m or EUR 10m.</w:t>
      </w:r>
    </w:p>
    <w:permEnd w:id="97283499"/>
    <w:p w14:paraId="5D4A0C7B" w14:textId="074DDF3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lastRenderedPageBreak/>
        <w:t>&lt;ESMA_QUESTION_DERI_5&gt;</w:t>
      </w:r>
    </w:p>
    <w:p w14:paraId="6FD9D83D" w14:textId="77777777" w:rsidR="003E06FC" w:rsidRDefault="003E06FC" w:rsidP="00131ECC">
      <w:permStart w:id="1086263988" w:edGrp="everyone"/>
      <w:r w:rsidRPr="003E06FC">
        <w:t xml:space="preserve">DBG agrees with ESMA's preference for option C. Ultimately, opting for the more granular assessment leaves more flexibility to the trading venues which can react swiftly to changing customer demand while the regulation sets the boundaries of the flexibility. However, we find it fundamental to apply granularity in an adequate way. Market capitalization of firms and thus ADNA of single stock products vary substantially. Among the three options considered, none assesses this dimension. In the past post-trade deferral regime, LIS and SSTI thresholds had different granularity bands depending on the ADNA of a given product class. In the new regime, granularity stems entirely from the liquidity assessment. Thus, we find it essential to consider ADNA ranges in the liquidity assessment, even if not with the same granularity as before. Else, the least liquid single stock products with ADNAs below EUR 5m, will have products (those beyond 6 </w:t>
      </w:r>
      <w:proofErr w:type="spellStart"/>
      <w:r w:rsidRPr="003E06FC">
        <w:t>months time</w:t>
      </w:r>
      <w:proofErr w:type="spellEnd"/>
      <w:r w:rsidRPr="003E06FC">
        <w:t xml:space="preserve"> to maturity) that experience an increase of 100% to their size thresholds for a T+1 or T+2 deferral, from EUR 1.25m to EUR 2.5m.</w:t>
      </w:r>
    </w:p>
    <w:permEnd w:id="1086263988"/>
    <w:p w14:paraId="09938B64" w14:textId="02938173"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55DC6174" w14:textId="77777777" w:rsidR="003E06FC" w:rsidRDefault="003E06FC" w:rsidP="00131ECC">
      <w:permStart w:id="1304631682" w:edGrp="everyone"/>
      <w:r w:rsidRPr="003E06FC">
        <w:t xml:space="preserve">DBG </w:t>
      </w:r>
      <w:proofErr w:type="gramStart"/>
      <w:r w:rsidRPr="003E06FC">
        <w:t>has a preference for</w:t>
      </w:r>
      <w:proofErr w:type="gramEnd"/>
      <w:r w:rsidRPr="003E06FC">
        <w:t xml:space="preserve"> option B. In line with our argumentation for the previous question, conducting a more granular assessment of liquidity in instruments strengthens the flexibility that trading venues have in accompanying their customers’ needs.</w:t>
      </w:r>
    </w:p>
    <w:permEnd w:id="1304631682"/>
    <w:p w14:paraId="6FA788B7" w14:textId="070B417F"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0C2AB9DA" w14:textId="77777777" w:rsidR="003E06FC" w:rsidRDefault="003E06FC" w:rsidP="003E06FC">
      <w:permStart w:id="93025034" w:edGrp="everyone"/>
      <w:r>
        <w:t xml:space="preserve">DBG supports the simplified approach and the sought-after balance between complexity of the asset classes and a coherent methodology. This includes the exclusion of illiquid asset classes with an ADNT below 100 trades, and evaluation metrics for classes above. It is helpful that ESMA acknowledges that, for electricity and gas derivatives for example, different delivery zones and, in addition, load type and delivery periods have different liquidity profiles. </w:t>
      </w:r>
    </w:p>
    <w:p w14:paraId="72CDE395" w14:textId="77777777" w:rsidR="003E06FC" w:rsidRDefault="003E06FC" w:rsidP="00131ECC">
      <w:r>
        <w:lastRenderedPageBreak/>
        <w:t>Nonetheless, it should be acknowledged that commodity, and in particular energy, derivatives markets are highly dynamic in their development and liquidity profiles. Therefore, we caution against an overly static approach and encourage ESMA to allow for timely re-assessments of a specific category, when relevant.</w:t>
      </w:r>
    </w:p>
    <w:permEnd w:id="93025034"/>
    <w:p w14:paraId="0A08A54F" w14:textId="58849ED3"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45F9F332" w14:textId="77777777" w:rsidR="003E06FC" w:rsidRDefault="003E06FC" w:rsidP="00131ECC">
      <w:permStart w:id="705578859" w:edGrp="everyone"/>
      <w:r w:rsidRPr="003E06FC">
        <w:t>DBG agrees with the classification of all FX, Credit, and other derivatives as being illiquid. While DBG does currently not apply deferrals for these products, there might be new developments in these products in the future. The proposed assessment as illiquid grant the flexibility to decide on this to the exchanges which we appreciate.</w:t>
      </w:r>
    </w:p>
    <w:permEnd w:id="705578859"/>
    <w:p w14:paraId="6CF60686" w14:textId="527AA432"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78754E5" w14:textId="77777777" w:rsidR="003E06FC" w:rsidRDefault="003E06FC" w:rsidP="00131ECC">
      <w:permStart w:id="1464080814" w:edGrp="everyone"/>
      <w:r w:rsidRPr="003E06FC">
        <w:t xml:space="preserve">As indicated in question 5, DBG does agree with ESMA's proposal for option c. However, either option between </w:t>
      </w:r>
      <w:proofErr w:type="spellStart"/>
      <w:proofErr w:type="gramStart"/>
      <w:r w:rsidRPr="003E06FC">
        <w:t>a,b</w:t>
      </w:r>
      <w:proofErr w:type="spellEnd"/>
      <w:proofErr w:type="gramEnd"/>
      <w:r w:rsidRPr="003E06FC">
        <w:t xml:space="preserve">, or c implies a 100% increase of the size threshold for the least liquid single stock derivatives with long remaining maturities for a deferral of T+1 or T+2. Currently, the static regime imposes a EUR 1.25m </w:t>
      </w:r>
      <w:proofErr w:type="spellStart"/>
      <w:r w:rsidRPr="003E06FC">
        <w:t>LiS</w:t>
      </w:r>
      <w:proofErr w:type="spellEnd"/>
      <w:r w:rsidRPr="003E06FC">
        <w:t xml:space="preserve"> threshold for single stock derivatives with an ADNA below EUR 5m while any of the new options would require EUR 2.5m if the product is of longer time to maturity. This harms, in particular, smaller capitalized firms which tend to be younger and with more sensitivity toward the share price due to limited alternative funding opportunities. As such we would propose to either decrease the "large" threshold for single stock products to EUR 1.25m for all maturities or amend the methodology accordingly.</w:t>
      </w:r>
    </w:p>
    <w:permEnd w:id="1464080814"/>
    <w:p w14:paraId="02BF296E" w14:textId="148A450A"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lastRenderedPageBreak/>
        <w:t>&lt;ESMA_QUESTION_DERI_10&gt;</w:t>
      </w:r>
    </w:p>
    <w:p w14:paraId="704BE91E" w14:textId="77777777" w:rsidR="003E06FC" w:rsidRDefault="003E06FC" w:rsidP="00131ECC">
      <w:permStart w:id="1449010517" w:edGrp="everyone"/>
      <w:r w:rsidRPr="003E06FC">
        <w:t xml:space="preserve">Congruent to our answer to question 6, DBG </w:t>
      </w:r>
      <w:proofErr w:type="gramStart"/>
      <w:r w:rsidRPr="003E06FC">
        <w:t>has a preference for</w:t>
      </w:r>
      <w:proofErr w:type="gramEnd"/>
      <w:r w:rsidRPr="003E06FC">
        <w:t xml:space="preserve"> option b due to the increased flexibility to trading venues. While DBG implements higher than required level of post-trade transparency, we appreciate the opportunity this creates to react more swiftly to trading member desires than previously with the higher size thresholds accompanied by classifying more instruments as liquid.</w:t>
      </w:r>
    </w:p>
    <w:permEnd w:id="1449010517"/>
    <w:p w14:paraId="45175C14" w14:textId="436AB91A"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59AF8A5D" w14:textId="77777777" w:rsidR="003E06FC" w:rsidRDefault="003E06FC" w:rsidP="003E06FC">
      <w:permStart w:id="1248143207" w:edGrp="everyone"/>
      <w:r>
        <w:t xml:space="preserve">DBG does not use deferrals for FX or credit derivatives and as such does not oppose the thresholds proposed by ESMA. Nevertheless, it appreciates the flexibility that the regime offers as well as its simplicity. </w:t>
      </w:r>
    </w:p>
    <w:p w14:paraId="7F32BDB9" w14:textId="77777777" w:rsidR="003E06FC" w:rsidRDefault="003E06FC" w:rsidP="00131ECC">
      <w:r>
        <w:t xml:space="preserve">However, we would urge ESMA to clarify the size threshold for "other derivatives". From our perspective, the new regime implies that any instrument has a size-threshold for deferral above which a transaction may be deferred according to the associated maximum deferral time while below the threshold a transaction </w:t>
      </w:r>
      <w:proofErr w:type="gramStart"/>
      <w:r>
        <w:t>has to</w:t>
      </w:r>
      <w:proofErr w:type="gramEnd"/>
      <w:r>
        <w:t xml:space="preserve"> be published. As such, it is of upmost importance to specify at least one threshold for every type of instrument. Otherwise, the given instrument without a threshold can never be deferred. In the consultation paper, we did not find a size threshold for "other derivatives". Therefore, we would kindly like to ask ESMA to clarify what is the size-threshold for a deferral for the illiquid class of "other derivatives".</w:t>
      </w:r>
    </w:p>
    <w:permEnd w:id="1248143207"/>
    <w:p w14:paraId="0E87DEB3" w14:textId="6A4549F2"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lastRenderedPageBreak/>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lastRenderedPageBreak/>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lastRenderedPageBreak/>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307E31B7" w14:textId="77777777" w:rsidR="003E06FC" w:rsidRPr="003E06FC" w:rsidRDefault="003E06FC" w:rsidP="003E06FC">
      <w:pPr>
        <w:rPr>
          <w:b/>
          <w:bCs/>
          <w:lang w:val="en-US"/>
        </w:rPr>
      </w:pPr>
      <w:permStart w:id="1722902870" w:edGrp="everyone"/>
      <w:r w:rsidRPr="003E06FC">
        <w:rPr>
          <w:b/>
          <w:bCs/>
          <w:lang w:val="en-US"/>
        </w:rPr>
        <w:t>General comments</w:t>
      </w:r>
    </w:p>
    <w:p w14:paraId="744602FB" w14:textId="77777777" w:rsidR="003E06FC" w:rsidRPr="003E06FC" w:rsidRDefault="003E06FC" w:rsidP="003E06FC">
      <w:pPr>
        <w:rPr>
          <w:lang w:val="en-US"/>
        </w:rPr>
      </w:pPr>
      <w:r w:rsidRPr="003E06FC">
        <w:rPr>
          <w:lang w:val="en-US"/>
        </w:rPr>
        <w:t xml:space="preserve">DBGs understand the motivation behind ESMAs thoughts, and we agree that the information of regulatory data may be of limited value to some data users, while for some users (traders) there may be value in this information. We assume that like the Equity CT, the OTC Derivatives CT is not supposed to be used for trading purposes. Still, “trading phase” information / regulatory data will have to be included in the CT for equities. </w:t>
      </w:r>
    </w:p>
    <w:p w14:paraId="3CED5EA8" w14:textId="77777777" w:rsidR="003E06FC" w:rsidRPr="003E06FC" w:rsidRDefault="003E06FC" w:rsidP="003E06FC">
      <w:pPr>
        <w:rPr>
          <w:lang w:val="en-US"/>
        </w:rPr>
      </w:pPr>
      <w:r w:rsidRPr="003E06FC">
        <w:rPr>
          <w:lang w:val="en-US"/>
        </w:rPr>
        <w:t>In general, as regards regulatory data, DBG needs to note that the requested information may not be available in the form proposed by ESMA, and if available, it may not be as granular or as harmonized as suggested. Creating such information for implementation into data feeds can be extremely costly and time-intensive, as it would require adapting complex internal systems and processes. Hence, we recommend that the request for internal operating data be kept as limited as possible and focus on what is truly necessary to be provided in a proportionate scenario.</w:t>
      </w:r>
    </w:p>
    <w:p w14:paraId="79551617" w14:textId="77777777" w:rsidR="003E06FC" w:rsidRPr="003E06FC" w:rsidRDefault="003E06FC" w:rsidP="003E06FC">
      <w:pPr>
        <w:rPr>
          <w:lang w:val="en-US"/>
        </w:rPr>
      </w:pPr>
      <w:r w:rsidRPr="003E06FC">
        <w:rPr>
          <w:lang w:val="en-US"/>
        </w:rPr>
        <w:t xml:space="preserve">DBG generally agrees that any data related to the status of individual financial instruments should refer to the trading venue, identified by the segment MIC, or the operating MIC (in case segment MIC would not be available). It must be noted though, that in terms of individual financial instruments, the same instrument can be traded in several currencies within the same system/MIC, yet it may have different statuses, meaning that one currency could be halted while trading continues in another. This may, nevertheless, differ from trading venue to trading venue. We therefore suggest maintaining some degree of flexibility, especially taking note of different trading models and systems within the industry. </w:t>
      </w:r>
    </w:p>
    <w:p w14:paraId="5D98AC5A" w14:textId="646F7FB2" w:rsidR="003E06FC" w:rsidRPr="003E06FC" w:rsidRDefault="003E06FC" w:rsidP="003E06FC">
      <w:pPr>
        <w:rPr>
          <w:b/>
          <w:bCs/>
          <w:lang w:val="en-US"/>
        </w:rPr>
      </w:pPr>
      <w:r w:rsidRPr="003E06FC">
        <w:rPr>
          <w:b/>
          <w:bCs/>
          <w:lang w:val="en-US"/>
        </w:rPr>
        <w:t>Data at the level of one trading system / Table 63</w:t>
      </w:r>
    </w:p>
    <w:p w14:paraId="4518D60E" w14:textId="77777777" w:rsidR="003E06FC" w:rsidRPr="003E06FC" w:rsidRDefault="003E06FC" w:rsidP="003E06FC">
      <w:pPr>
        <w:rPr>
          <w:lang w:val="en-US"/>
        </w:rPr>
      </w:pPr>
      <w:r w:rsidRPr="003E06FC">
        <w:rPr>
          <w:lang w:val="en-US"/>
        </w:rPr>
        <w:t xml:space="preserve">DBG is concerned about the notion of </w:t>
      </w:r>
      <w:r w:rsidRPr="003E06FC">
        <w:rPr>
          <w:b/>
          <w:bCs/>
          <w:lang w:val="en-US"/>
        </w:rPr>
        <w:t>Trading System/Type overall</w:t>
      </w:r>
      <w:r w:rsidRPr="003E06FC">
        <w:rPr>
          <w:lang w:val="en-US"/>
        </w:rPr>
        <w:t xml:space="preserve"> as it is unclear how this should be implemented, especially as a trading venue may operate several different trading models at the same time. For a fact the same instrument may be within several different trading modes at the same time, depending on the respective market models. On top, the same instrument may </w:t>
      </w:r>
      <w:r w:rsidRPr="003E06FC">
        <w:rPr>
          <w:lang w:val="en-US"/>
        </w:rPr>
        <w:lastRenderedPageBreak/>
        <w:t xml:space="preserve">be traded in different currencies as well. The information requested hence should rather be referring to </w:t>
      </w:r>
      <w:r w:rsidRPr="003E06FC">
        <w:rPr>
          <w:b/>
          <w:bCs/>
          <w:lang w:val="en-US"/>
        </w:rPr>
        <w:t>“trading modes” or “trading phases”, than “trading systems”</w:t>
      </w:r>
      <w:r w:rsidRPr="003E06FC">
        <w:rPr>
          <w:lang w:val="en-US"/>
        </w:rPr>
        <w:t>, while the currency information provides for an important information as well. As regards the other data fields in this table we have no further comments.</w:t>
      </w:r>
    </w:p>
    <w:p w14:paraId="69E5704D" w14:textId="77777777" w:rsidR="003E06FC" w:rsidRPr="003E06FC" w:rsidRDefault="003E06FC" w:rsidP="003E06FC">
      <w:pPr>
        <w:rPr>
          <w:b/>
          <w:bCs/>
          <w:lang w:val="en-US"/>
        </w:rPr>
      </w:pPr>
      <w:r w:rsidRPr="003E06FC">
        <w:rPr>
          <w:b/>
          <w:bCs/>
          <w:lang w:val="en-US"/>
        </w:rPr>
        <w:t>Data related to the status of systems matching orders / Table 64</w:t>
      </w:r>
    </w:p>
    <w:p w14:paraId="2B74D9E4" w14:textId="77777777" w:rsidR="003E06FC" w:rsidRPr="003E06FC" w:rsidRDefault="003E06FC" w:rsidP="003E06FC">
      <w:pPr>
        <w:rPr>
          <w:lang w:val="en-US"/>
        </w:rPr>
      </w:pPr>
      <w:r w:rsidRPr="003E06FC">
        <w:rPr>
          <w:lang w:val="en-US"/>
        </w:rPr>
        <w:t xml:space="preserve">For field numbers </w:t>
      </w:r>
      <w:r w:rsidRPr="003E06FC">
        <w:rPr>
          <w:b/>
          <w:bCs/>
          <w:lang w:val="en-US"/>
        </w:rPr>
        <w:t>#1, #2</w:t>
      </w:r>
      <w:r w:rsidRPr="003E06FC">
        <w:rPr>
          <w:lang w:val="en-US"/>
        </w:rPr>
        <w:t xml:space="preserve"> please see our comments above as regards Table 63.</w:t>
      </w:r>
    </w:p>
    <w:p w14:paraId="3CD7C271" w14:textId="77777777" w:rsidR="003E06FC" w:rsidRPr="003E06FC" w:rsidRDefault="003E06FC" w:rsidP="003E06FC">
      <w:pPr>
        <w:rPr>
          <w:lang w:val="en-US"/>
        </w:rPr>
      </w:pPr>
      <w:r w:rsidRPr="003E06FC">
        <w:rPr>
          <w:lang w:val="en-US"/>
        </w:rPr>
        <w:t xml:space="preserve">For field number </w:t>
      </w:r>
      <w:r w:rsidRPr="003E06FC">
        <w:rPr>
          <w:b/>
          <w:bCs/>
          <w:lang w:val="en-US"/>
        </w:rPr>
        <w:t>#3, #4</w:t>
      </w:r>
      <w:r w:rsidRPr="003E06FC">
        <w:rPr>
          <w:lang w:val="en-US"/>
        </w:rPr>
        <w:t xml:space="preserve"> </w:t>
      </w:r>
      <w:r w:rsidRPr="003E06FC">
        <w:rPr>
          <w:b/>
          <w:bCs/>
          <w:lang w:val="en-US"/>
        </w:rPr>
        <w:t xml:space="preserve">“instrument status </w:t>
      </w:r>
      <w:proofErr w:type="gramStart"/>
      <w:r w:rsidRPr="003E06FC">
        <w:rPr>
          <w:b/>
          <w:bCs/>
          <w:lang w:val="en-US"/>
        </w:rPr>
        <w:t>start</w:t>
      </w:r>
      <w:proofErr w:type="gramEnd"/>
      <w:r w:rsidRPr="003E06FC">
        <w:rPr>
          <w:b/>
          <w:bCs/>
          <w:lang w:val="en-US"/>
        </w:rPr>
        <w:t xml:space="preserve"> date and time”</w:t>
      </w:r>
      <w:r w:rsidRPr="003E06FC">
        <w:rPr>
          <w:lang w:val="en-US"/>
        </w:rPr>
        <w:t xml:space="preserve"> and </w:t>
      </w:r>
      <w:r w:rsidRPr="003E06FC">
        <w:rPr>
          <w:b/>
          <w:bCs/>
          <w:lang w:val="en-US"/>
        </w:rPr>
        <w:t>“instrument status end date and time,”</w:t>
      </w:r>
      <w:r w:rsidRPr="003E06FC">
        <w:rPr>
          <w:lang w:val="en-US"/>
        </w:rPr>
        <w:t xml:space="preserve"> for the avoidance of doubt, we need to clarify that this information is generally not available simultaneously. Usually, a status message is sent when the event occurs, but without any end date. The “instrument status end date and time” would be sent once/if available (which is not the case for all FESE exchanges), but without reference to the earlier start date, which would make the technical setup much more complex. We would recommend to ideally delete # 4 “System Status end date and time”.</w:t>
      </w:r>
    </w:p>
    <w:p w14:paraId="2B527908" w14:textId="77777777" w:rsidR="003E06FC" w:rsidRPr="003E06FC" w:rsidRDefault="003E06FC" w:rsidP="003E06FC">
      <w:pPr>
        <w:rPr>
          <w:lang w:val="en-US"/>
        </w:rPr>
      </w:pPr>
      <w:r w:rsidRPr="003E06FC">
        <w:rPr>
          <w:b/>
          <w:bCs/>
          <w:lang w:val="en-US"/>
        </w:rPr>
        <w:t xml:space="preserve">As regards field # 5 Trading system status, </w:t>
      </w:r>
      <w:r w:rsidRPr="003E06FC">
        <w:rPr>
          <w:lang w:val="en-US"/>
        </w:rPr>
        <w:t xml:space="preserve">DBG would like to note, that there are good reasons why information on outages cannot be included in data feeds. To the best of our knowledge there is no data feed available in the market providing such information. However, </w:t>
      </w:r>
      <w:r w:rsidRPr="003E06FC">
        <w:rPr>
          <w:b/>
          <w:bCs/>
          <w:lang w:val="en-US"/>
        </w:rPr>
        <w:t>information boards may exist on the affected trading venues homepages</w:t>
      </w:r>
      <w:r w:rsidRPr="003E06FC">
        <w:rPr>
          <w:lang w:val="en-US"/>
        </w:rPr>
        <w:t xml:space="preserve">, while such messages are not being included within exchange data feeds due to the following reasons: </w:t>
      </w:r>
    </w:p>
    <w:p w14:paraId="15F9F516" w14:textId="77777777" w:rsidR="003E06FC" w:rsidRPr="003E06FC" w:rsidRDefault="003E06FC" w:rsidP="003E06FC">
      <w:pPr>
        <w:numPr>
          <w:ilvl w:val="0"/>
          <w:numId w:val="38"/>
        </w:numPr>
        <w:rPr>
          <w:b/>
          <w:bCs/>
          <w:lang w:val="en-US"/>
        </w:rPr>
      </w:pPr>
      <w:r w:rsidRPr="003E06FC">
        <w:rPr>
          <w:lang w:val="en-US"/>
        </w:rPr>
        <w:t xml:space="preserve">Firstly, in case an outage occurs, the necessary activities and processes to identify the outage, affected components, cause, and expected resumption of the business occur outside of data feeds and are highly manually driven. </w:t>
      </w:r>
      <w:r w:rsidRPr="003E06FC">
        <w:rPr>
          <w:b/>
          <w:bCs/>
          <w:lang w:val="en-US"/>
        </w:rPr>
        <w:t xml:space="preserve">Direct access to data feeds by humans to submit outage information is strictly avoided to reduce manual risks that could compromise data quality. </w:t>
      </w:r>
    </w:p>
    <w:p w14:paraId="313C03EA" w14:textId="77777777" w:rsidR="003E06FC" w:rsidRPr="003E06FC" w:rsidRDefault="003E06FC" w:rsidP="003E06FC">
      <w:pPr>
        <w:numPr>
          <w:ilvl w:val="0"/>
          <w:numId w:val="38"/>
        </w:numPr>
        <w:rPr>
          <w:lang w:val="en-US"/>
        </w:rPr>
      </w:pPr>
      <w:r w:rsidRPr="003E06FC">
        <w:rPr>
          <w:lang w:val="en-US"/>
        </w:rPr>
        <w:t xml:space="preserve">Secondly, there </w:t>
      </w:r>
      <w:r w:rsidRPr="003E06FC">
        <w:rPr>
          <w:b/>
          <w:bCs/>
          <w:lang w:val="en-US"/>
        </w:rPr>
        <w:t>may be an outage in the technical component of data dissemination, in which case no information could be submitted via the data feed</w:t>
      </w:r>
      <w:r w:rsidRPr="003E06FC">
        <w:rPr>
          <w:lang w:val="en-US"/>
        </w:rPr>
        <w:t xml:space="preserve">. This would mean that the publication of the status would not be possible if integrated into the data feed. </w:t>
      </w:r>
    </w:p>
    <w:p w14:paraId="476DA057" w14:textId="77777777" w:rsidR="003E06FC" w:rsidRDefault="003E06FC" w:rsidP="00131ECC">
      <w:pPr>
        <w:rPr>
          <w:lang w:val="en-US"/>
        </w:rPr>
      </w:pPr>
      <w:r w:rsidRPr="003E06FC">
        <w:rPr>
          <w:b/>
          <w:bCs/>
          <w:lang w:val="en-US"/>
        </w:rPr>
        <w:t>Hence, we recommend abstaining from requesting information on outages via trading venue data feeds and remain focused on the best practices as developed together with ESMA for now.</w:t>
      </w:r>
      <w:r w:rsidRPr="003E06FC">
        <w:rPr>
          <w:lang w:val="en-US"/>
        </w:rPr>
        <w:t xml:space="preserve"> Instead, the CTP could be included in a suitable outage communication and display any relevant information on its website, providing a consolidated view.</w:t>
      </w:r>
    </w:p>
    <w:permEnd w:id="1722902870"/>
    <w:p w14:paraId="0A31DFF9" w14:textId="2482C288"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lastRenderedPageBreak/>
        <w:t>&lt;ESMA_QUESTION_DERI_23&gt;</w:t>
      </w:r>
    </w:p>
    <w:p w14:paraId="35A1EE18" w14:textId="77777777" w:rsidR="003E06FC" w:rsidRPr="003E06FC" w:rsidRDefault="003E06FC" w:rsidP="003E06FC">
      <w:pPr>
        <w:rPr>
          <w:lang w:val="en-US"/>
        </w:rPr>
      </w:pPr>
      <w:permStart w:id="467429827" w:edGrp="everyone"/>
      <w:r w:rsidRPr="003E06FC">
        <w:rPr>
          <w:lang w:val="en-US"/>
        </w:rPr>
        <w:t xml:space="preserve">As regards </w:t>
      </w:r>
      <w:r w:rsidRPr="003E06FC">
        <w:rPr>
          <w:b/>
          <w:bCs/>
          <w:lang w:val="en-US"/>
        </w:rPr>
        <w:t># 23 “suspicious data flag”</w:t>
      </w:r>
      <w:r w:rsidRPr="003E06FC">
        <w:rPr>
          <w:lang w:val="en-US"/>
        </w:rPr>
        <w:t>, however, we would like to note that the information by ESMA under the “format to be populated” in this context is not fully clear. Besides a heavy text format (TRUE or False) it remains unclear, if ESMA requires a re-sending of a message, once there may be further clarification on the reasons behind the suspicion. However, this would - in our view - deviate from the way such an alert is currently handled by APAs, and it would introduce costly and unnecessary burden, for all parties involved. On the same note, we do realize as well that ESMA has not included in Table 65 the relevant flag usually issued by an APA in case of a suspicious data set. While we would recommend keeping this APA flag as well, the issuance by a CTP on received data not yet flagged by an APA as suspicious, would be sensible, in case any data quality checks by the CTP result in unclear data sets. This is important to inform the market about unclear data quality of certain input data, while not holding back any information. Data users hence can decide for themselves how to use the data.</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4D03F" w14:textId="77777777" w:rsidR="004A6E7A" w:rsidRDefault="004A6E7A" w:rsidP="00F716D4">
      <w:r>
        <w:separator/>
      </w:r>
    </w:p>
    <w:p w14:paraId="29D5BE68" w14:textId="77777777" w:rsidR="004A6E7A" w:rsidRDefault="004A6E7A" w:rsidP="00F716D4"/>
  </w:endnote>
  <w:endnote w:type="continuationSeparator" w:id="0">
    <w:p w14:paraId="1006403F" w14:textId="77777777" w:rsidR="004A6E7A" w:rsidRDefault="004A6E7A" w:rsidP="00F716D4">
      <w:r>
        <w:continuationSeparator/>
      </w:r>
    </w:p>
    <w:p w14:paraId="5ADB6496" w14:textId="77777777" w:rsidR="004A6E7A" w:rsidRDefault="004A6E7A" w:rsidP="00F716D4"/>
  </w:endnote>
  <w:endnote w:type="continuationNotice" w:id="1">
    <w:p w14:paraId="22654091" w14:textId="77777777" w:rsidR="004A6E7A" w:rsidRDefault="004A6E7A"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mbri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F059" w14:textId="77777777" w:rsidR="00D02BB7" w:rsidRDefault="00D02B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E120" w14:textId="77777777" w:rsidR="00D02BB7" w:rsidRDefault="00D02B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5C5AF" w14:textId="77777777" w:rsidR="004A6E7A" w:rsidRDefault="004A6E7A" w:rsidP="00F716D4">
      <w:r>
        <w:separator/>
      </w:r>
    </w:p>
    <w:p w14:paraId="6DED96C6" w14:textId="77777777" w:rsidR="004A6E7A" w:rsidRDefault="004A6E7A" w:rsidP="00F716D4"/>
  </w:footnote>
  <w:footnote w:type="continuationSeparator" w:id="0">
    <w:p w14:paraId="6ED39DFF" w14:textId="77777777" w:rsidR="004A6E7A" w:rsidRDefault="004A6E7A" w:rsidP="00F716D4">
      <w:r>
        <w:continuationSeparator/>
      </w:r>
    </w:p>
    <w:p w14:paraId="47613CC4" w14:textId="77777777" w:rsidR="004A6E7A" w:rsidRDefault="004A6E7A" w:rsidP="00F716D4"/>
  </w:footnote>
  <w:footnote w:type="continuationNotice" w:id="1">
    <w:p w14:paraId="587931E8" w14:textId="77777777" w:rsidR="004A6E7A" w:rsidRDefault="004A6E7A"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5" w15:restartNumberingAfterBreak="0">
    <w:nsid w:val="79567DBB"/>
    <w:multiLevelType w:val="hybridMultilevel"/>
    <w:tmpl w:val="92F2B624"/>
    <w:lvl w:ilvl="0" w:tplc="FE327CA0">
      <w:start w:val="1"/>
      <w:numFmt w:val="bullet"/>
      <w:lvlText w:val="-"/>
      <w:lvlJc w:val="left"/>
      <w:pPr>
        <w:ind w:left="720" w:hanging="360"/>
      </w:pPr>
      <w:rPr>
        <w:rFonts w:ascii="Calibri" w:hAnsi="Calibri" w:hint="default"/>
      </w:rPr>
    </w:lvl>
    <w:lvl w:ilvl="1" w:tplc="87FEB710">
      <w:start w:val="1"/>
      <w:numFmt w:val="bullet"/>
      <w:lvlText w:val="o"/>
      <w:lvlJc w:val="left"/>
      <w:pPr>
        <w:ind w:left="1440" w:hanging="360"/>
      </w:pPr>
      <w:rPr>
        <w:rFonts w:ascii="Courier New" w:hAnsi="Courier New" w:hint="default"/>
      </w:rPr>
    </w:lvl>
    <w:lvl w:ilvl="2" w:tplc="6D0AAE44">
      <w:start w:val="1"/>
      <w:numFmt w:val="bullet"/>
      <w:lvlText w:val=""/>
      <w:lvlJc w:val="left"/>
      <w:pPr>
        <w:ind w:left="2160" w:hanging="360"/>
      </w:pPr>
      <w:rPr>
        <w:rFonts w:ascii="Wingdings" w:hAnsi="Wingdings" w:hint="default"/>
      </w:rPr>
    </w:lvl>
    <w:lvl w:ilvl="3" w:tplc="03B6C914">
      <w:start w:val="1"/>
      <w:numFmt w:val="bullet"/>
      <w:lvlText w:val=""/>
      <w:lvlJc w:val="left"/>
      <w:pPr>
        <w:ind w:left="2880" w:hanging="360"/>
      </w:pPr>
      <w:rPr>
        <w:rFonts w:ascii="Symbol" w:hAnsi="Symbol" w:hint="default"/>
      </w:rPr>
    </w:lvl>
    <w:lvl w:ilvl="4" w:tplc="B468A17A">
      <w:start w:val="1"/>
      <w:numFmt w:val="bullet"/>
      <w:lvlText w:val="o"/>
      <w:lvlJc w:val="left"/>
      <w:pPr>
        <w:ind w:left="3600" w:hanging="360"/>
      </w:pPr>
      <w:rPr>
        <w:rFonts w:ascii="Courier New" w:hAnsi="Courier New" w:hint="default"/>
      </w:rPr>
    </w:lvl>
    <w:lvl w:ilvl="5" w:tplc="51B038C4">
      <w:start w:val="1"/>
      <w:numFmt w:val="bullet"/>
      <w:lvlText w:val=""/>
      <w:lvlJc w:val="left"/>
      <w:pPr>
        <w:ind w:left="4320" w:hanging="360"/>
      </w:pPr>
      <w:rPr>
        <w:rFonts w:ascii="Wingdings" w:hAnsi="Wingdings" w:hint="default"/>
      </w:rPr>
    </w:lvl>
    <w:lvl w:ilvl="6" w:tplc="1A7C710E">
      <w:start w:val="1"/>
      <w:numFmt w:val="bullet"/>
      <w:lvlText w:val=""/>
      <w:lvlJc w:val="left"/>
      <w:pPr>
        <w:ind w:left="5040" w:hanging="360"/>
      </w:pPr>
      <w:rPr>
        <w:rFonts w:ascii="Symbol" w:hAnsi="Symbol" w:hint="default"/>
      </w:rPr>
    </w:lvl>
    <w:lvl w:ilvl="7" w:tplc="C6C292D4">
      <w:start w:val="1"/>
      <w:numFmt w:val="bullet"/>
      <w:lvlText w:val="o"/>
      <w:lvlJc w:val="left"/>
      <w:pPr>
        <w:ind w:left="5760" w:hanging="360"/>
      </w:pPr>
      <w:rPr>
        <w:rFonts w:ascii="Courier New" w:hAnsi="Courier New" w:hint="default"/>
      </w:rPr>
    </w:lvl>
    <w:lvl w:ilvl="8" w:tplc="6D7CADF8">
      <w:start w:val="1"/>
      <w:numFmt w:val="bullet"/>
      <w:lvlText w:val=""/>
      <w:lvlJc w:val="left"/>
      <w:pPr>
        <w:ind w:left="6480" w:hanging="360"/>
      </w:pPr>
      <w:rPr>
        <w:rFonts w:ascii="Wingdings" w:hAnsi="Wingdings" w:hint="default"/>
      </w:r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6"/>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58522283">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6FC"/>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A6E7A"/>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285"/>
    <w:rsid w:val="005D0750"/>
    <w:rsid w:val="005D1023"/>
    <w:rsid w:val="005D148F"/>
    <w:rsid w:val="005D2AD2"/>
    <w:rsid w:val="005D4A86"/>
    <w:rsid w:val="005D5EB1"/>
    <w:rsid w:val="005D6A29"/>
    <w:rsid w:val="005D704A"/>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6F"/>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2EA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2BB7"/>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2B53"/>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s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esma.europa.eu/about-esma/data-protection" TargetMode="External"/><Relationship Id="rId27"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af49af-62c5-4fdb-8bab-63ad10ed2f31" xsi:nil="true"/>
    <lcf76f155ced4ddcb4097134ff3c332f xmlns="67b7605d-d6e7-46a4-8276-8af9bd42175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F7EF58DAA8FD4FBCAC76D2681E3A26" ma:contentTypeVersion="21" ma:contentTypeDescription="Create a new document." ma:contentTypeScope="" ma:versionID="9048686f6c2211409da1e43395a2a8f9">
  <xsd:schema xmlns:xsd="http://www.w3.org/2001/XMLSchema" xmlns:xs="http://www.w3.org/2001/XMLSchema" xmlns:p="http://schemas.microsoft.com/office/2006/metadata/properties" xmlns:ns1="http://schemas.microsoft.com/sharepoint/v3" xmlns:ns2="4baf49af-62c5-4fdb-8bab-63ad10ed2f31" xmlns:ns3="67b7605d-d6e7-46a4-8276-8af9bd421758" targetNamespace="http://schemas.microsoft.com/office/2006/metadata/properties" ma:root="true" ma:fieldsID="26c8a1e0015d843d51db5c0b1f0eef75" ns1:_="" ns2:_="" ns3:_="">
    <xsd:import namespace="http://schemas.microsoft.com/sharepoint/v3"/>
    <xsd:import namespace="4baf49af-62c5-4fdb-8bab-63ad10ed2f31"/>
    <xsd:import namespace="67b7605d-d6e7-46a4-8276-8af9bd4217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af49af-62c5-4fdb-8bab-63ad10ed2f31"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d2121b-9521-4c7f-8e60-9070d76a3122}" ma:internalName="TaxCatchAll" ma:showField="CatchAllData" ma:web="4baf49af-62c5-4fdb-8bab-63ad10ed2f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b7605d-d6e7-46a4-8276-8af9bd4217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7e55e0-b0a9-432c-94a7-1995524fa8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7C169-B082-42D7-95A8-39DCDC7C43D3}">
  <ds:schemaRef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67b7605d-d6e7-46a4-8276-8af9bd421758"/>
    <ds:schemaRef ds:uri="http://schemas.microsoft.com/office/2006/documentManagement/types"/>
    <ds:schemaRef ds:uri="4baf49af-62c5-4fdb-8bab-63ad10ed2f31"/>
    <ds:schemaRef ds:uri="http://www.w3.org/XML/1998/namespace"/>
    <ds:schemaRef ds:uri="http://purl.org/dc/dcmitype/"/>
  </ds:schemaRefs>
</ds:datastoreItem>
</file>

<file path=customXml/itemProps2.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3.xml><?xml version="1.0" encoding="utf-8"?>
<ds:datastoreItem xmlns:ds="http://schemas.openxmlformats.org/officeDocument/2006/customXml" ds:itemID="{F8074EE1-4291-4ABE-A960-6A17CA40C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af49af-62c5-4fdb-8bab-63ad10ed2f31"/>
    <ds:schemaRef ds:uri="67b7605d-d6e7-46a4-8276-8af9bd42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5.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3154</Words>
  <Characters>17984</Characters>
  <Application>Microsoft Office Word</Application>
  <DocSecurity>8</DocSecurity>
  <Lines>149</Lines>
  <Paragraphs>42</Paragraphs>
  <ScaleCrop>false</ScaleCrop>
  <Company>ESMA</Company>
  <LinksUpToDate>false</LinksUpToDate>
  <CharactersWithSpaces>21096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Deutsche Börse Group</cp:lastModifiedBy>
  <cp:revision>2</cp:revision>
  <cp:lastPrinted>2015-02-18T11:01:00Z</cp:lastPrinted>
  <dcterms:created xsi:type="dcterms:W3CDTF">2025-07-02T14:44:00Z</dcterms:created>
  <dcterms:modified xsi:type="dcterms:W3CDTF">2025-07-02T14:44:00Z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0x01010082F7EF58DAA8FD4FBCAC76D2681E3A26</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y fmtid="{D5CDD505-2E9C-101B-9397-08002B2CF9AE}" pid="17" name="MSIP_Label_2e952e98-911c-4aff-840a-f71bc6baaf7f_Enabled">
    <vt:lpwstr>true</vt:lpwstr>
  </property>
  <property fmtid="{D5CDD505-2E9C-101B-9397-08002B2CF9AE}" pid="18" name="MSIP_Label_2e952e98-911c-4aff-840a-f71bc6baaf7f_SetDate">
    <vt:lpwstr>2025-06-24T12:26:25Z</vt:lpwstr>
  </property>
  <property fmtid="{D5CDD505-2E9C-101B-9397-08002B2CF9AE}" pid="19" name="MSIP_Label_2e952e98-911c-4aff-840a-f71bc6baaf7f_Method">
    <vt:lpwstr>Standard</vt:lpwstr>
  </property>
  <property fmtid="{D5CDD505-2E9C-101B-9397-08002B2CF9AE}" pid="20" name="MSIP_Label_2e952e98-911c-4aff-840a-f71bc6baaf7f_Name">
    <vt:lpwstr>2e952e98-911c-4aff-840a-f71bc6baaf7f</vt:lpwstr>
  </property>
  <property fmtid="{D5CDD505-2E9C-101B-9397-08002B2CF9AE}" pid="21" name="MSIP_Label_2e952e98-911c-4aff-840a-f71bc6baaf7f_SiteId">
    <vt:lpwstr>e00ddcdf-1e0f-4be5-a37a-894a4731986a</vt:lpwstr>
  </property>
  <property fmtid="{D5CDD505-2E9C-101B-9397-08002B2CF9AE}" pid="22" name="MSIP_Label_2e952e98-911c-4aff-840a-f71bc6baaf7f_ActionId">
    <vt:lpwstr>abce5bac-a529-4dc3-ae8b-444c404acc70</vt:lpwstr>
  </property>
  <property fmtid="{D5CDD505-2E9C-101B-9397-08002B2CF9AE}" pid="23" name="MSIP_Label_2e952e98-911c-4aff-840a-f71bc6baaf7f_ContentBits">
    <vt:lpwstr>2</vt:lpwstr>
  </property>
  <property fmtid="{D5CDD505-2E9C-101B-9397-08002B2CF9AE}" pid="24" name="MSIP_Label_2e952e98-911c-4aff-840a-f71bc6baaf7f_Tag">
    <vt:lpwstr>10, 3, 0, 1</vt:lpwstr>
  </property>
</Properties>
</file>