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footerReference w:type="even" r:id="rId25"/>
          <w:footerReference w:type="default" r:id="rId26"/>
          <w:headerReference w:type="first" r:id="rId27"/>
          <w:footerReference w:type="first" r:id="rId28"/>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EndPr>
            <w:rPr>
              <w:rStyle w:val="PlaceholderText"/>
            </w:rPr>
          </w:sdtEndPr>
          <w:sdtContent>
            <w:tc>
              <w:tcPr>
                <w:tcW w:w="5595" w:type="dxa"/>
                <w:shd w:val="clear" w:color="auto" w:fill="auto"/>
                <w:vAlign w:val="center"/>
              </w:tcPr>
              <w:p w14:paraId="633DB1B6" w14:textId="55A04C1A" w:rsidR="00C2682A" w:rsidRPr="00104E00" w:rsidRDefault="004602DC" w:rsidP="00104E00">
                <w:pPr>
                  <w:jc w:val="left"/>
                  <w:rPr>
                    <w:rStyle w:val="PlaceholderText"/>
                  </w:rPr>
                </w:pPr>
                <w:r w:rsidRPr="004602DC">
                  <w:rPr>
                    <w:rStyle w:val="PlaceholderText"/>
                  </w:rPr>
                  <w:t>Euronext</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0663D9E7" w:rsidR="00C2682A" w:rsidRPr="00104E00" w:rsidRDefault="00C23535"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4602DC">
                  <w:t>Regulated markets/Exchanges/Trading Systems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0"/>
              <w14:checkedState w14:val="2612" w14:font="MS Gothic"/>
              <w14:uncheckedState w14:val="2610" w14:font="MS Gothic"/>
            </w14:checkbox>
          </w:sdtPr>
          <w:sdtEndPr/>
          <w:sdtContent>
            <w:tc>
              <w:tcPr>
                <w:tcW w:w="5595" w:type="dxa"/>
                <w:shd w:val="clear" w:color="auto" w:fill="auto"/>
                <w:vAlign w:val="center"/>
              </w:tcPr>
              <w:p w14:paraId="4BD68813" w14:textId="102DF8C3" w:rsidR="00C2682A" w:rsidRPr="00104E00" w:rsidRDefault="004602DC"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vAlign w:val="center"/>
              </w:tcPr>
              <w:p w14:paraId="204E7C89" w14:textId="3142F406" w:rsidR="00C2682A" w:rsidRPr="00104E00" w:rsidRDefault="001824B3" w:rsidP="00104E00">
                <w:pPr>
                  <w:jc w:val="left"/>
                </w:pPr>
                <w:r>
                  <w:t>Europe</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7212FC24" w14:textId="6F54614F" w:rsidR="0081361D" w:rsidRPr="0081361D" w:rsidRDefault="0081361D" w:rsidP="0081361D">
      <w:pPr>
        <w:rPr>
          <w:rFonts w:ascii="Verdana" w:hAnsi="Verdana"/>
          <w:sz w:val="20"/>
          <w:szCs w:val="18"/>
        </w:rPr>
      </w:pPr>
      <w:permStart w:id="651311428" w:edGrp="everyone"/>
      <w:r w:rsidRPr="0081361D">
        <w:rPr>
          <w:rFonts w:ascii="Verdana" w:hAnsi="Verdana"/>
          <w:sz w:val="20"/>
          <w:szCs w:val="18"/>
        </w:rPr>
        <w:t>Euronext welcomes the review of MiFIR to enhance and improve pre</w:t>
      </w:r>
      <w:r w:rsidR="00481A43">
        <w:rPr>
          <w:rFonts w:ascii="Verdana" w:hAnsi="Verdana"/>
          <w:sz w:val="20"/>
          <w:szCs w:val="18"/>
        </w:rPr>
        <w:t>-trade</w:t>
      </w:r>
      <w:r w:rsidRPr="0081361D">
        <w:rPr>
          <w:rFonts w:ascii="Verdana" w:hAnsi="Verdana"/>
          <w:sz w:val="20"/>
          <w:szCs w:val="18"/>
        </w:rPr>
        <w:t xml:space="preserve"> and post-trade transparency in non-equity financial derivatives. We fully support the overarching goal of simplifying the transparency framework and ensuring consistent application across these diverse market segments.</w:t>
      </w:r>
      <w:r w:rsidRPr="0081361D" w:rsidDel="004B65B4">
        <w:rPr>
          <w:rFonts w:ascii="Verdana" w:hAnsi="Verdana"/>
          <w:sz w:val="20"/>
          <w:szCs w:val="18"/>
        </w:rPr>
        <w:t xml:space="preserve"> </w:t>
      </w:r>
    </w:p>
    <w:p w14:paraId="5D5FDC73" w14:textId="1BF35559" w:rsidR="0081361D" w:rsidRPr="0081361D" w:rsidRDefault="0081361D" w:rsidP="0081361D">
      <w:pPr>
        <w:rPr>
          <w:rFonts w:ascii="Verdana" w:hAnsi="Verdana"/>
          <w:sz w:val="20"/>
          <w:szCs w:val="18"/>
        </w:rPr>
      </w:pPr>
      <w:r w:rsidRPr="0081361D">
        <w:rPr>
          <w:rFonts w:ascii="Verdana" w:hAnsi="Verdana"/>
          <w:sz w:val="20"/>
          <w:szCs w:val="18"/>
        </w:rPr>
        <w:t xml:space="preserve">With the </w:t>
      </w:r>
      <w:r w:rsidR="00B67CF8" w:rsidRPr="0081361D">
        <w:rPr>
          <w:rFonts w:ascii="Verdana" w:hAnsi="Verdana"/>
          <w:sz w:val="20"/>
          <w:szCs w:val="18"/>
        </w:rPr>
        <w:t>MiFIR review</w:t>
      </w:r>
      <w:r w:rsidRPr="0081361D">
        <w:rPr>
          <w:rFonts w:ascii="Verdana" w:hAnsi="Verdana"/>
          <w:sz w:val="20"/>
          <w:szCs w:val="18"/>
        </w:rPr>
        <w:t>, the scope of pre-trade transparency was limited to central limit order book (CLOB) and periodic auction trading system only. Eliminating pre-trade requirements for all other trading systems makes pre-trade waivers redundant for CLOB. Moreover, from a technical perspective, it is questionable whether pre-trade waivers should be implemented solely within CLOB, given that their algorithms rely on trading members reacting to displayed prices and volumes. The practical application of these waivers in derivative markets would be limited and potentially unworkable.</w:t>
      </w:r>
    </w:p>
    <w:p w14:paraId="41990CDB" w14:textId="77777777" w:rsidR="0081361D" w:rsidRPr="0081361D" w:rsidRDefault="0081361D" w:rsidP="0081361D">
      <w:pPr>
        <w:rPr>
          <w:rFonts w:ascii="Verdana" w:hAnsi="Verdana"/>
          <w:sz w:val="20"/>
          <w:szCs w:val="18"/>
        </w:rPr>
      </w:pPr>
      <w:r w:rsidRPr="0081361D">
        <w:rPr>
          <w:rFonts w:ascii="Verdana" w:hAnsi="Verdana"/>
          <w:sz w:val="20"/>
          <w:szCs w:val="18"/>
        </w:rPr>
        <w:t>In light of the above, we believe that further clarification is needed regarding the scope of application of pre-trade transparency, particularly with reference to the application of pre-trade LIS thresholds in a CLOB context.</w:t>
      </w:r>
    </w:p>
    <w:p w14:paraId="278F08AC" w14:textId="77777777" w:rsidR="0081361D" w:rsidRPr="0081361D" w:rsidRDefault="0081361D" w:rsidP="0081361D">
      <w:pPr>
        <w:rPr>
          <w:rFonts w:ascii="Verdana" w:hAnsi="Verdana"/>
          <w:sz w:val="20"/>
          <w:szCs w:val="18"/>
        </w:rPr>
      </w:pPr>
      <w:r w:rsidRPr="0081361D">
        <w:rPr>
          <w:rFonts w:ascii="Verdana" w:hAnsi="Verdana"/>
          <w:sz w:val="20"/>
          <w:szCs w:val="18"/>
        </w:rPr>
        <w:t>In such a framework, it is difficult to understand how the LIS thresholds could be coherently integrated with the functioning of CLOB, where pre-trade transparency is already ensured by well-established mechanisms.</w:t>
      </w:r>
    </w:p>
    <w:p w14:paraId="354C8387" w14:textId="77777777" w:rsidR="0081361D" w:rsidRPr="0081361D" w:rsidRDefault="0081361D" w:rsidP="0081361D">
      <w:pPr>
        <w:rPr>
          <w:rFonts w:ascii="Verdana" w:hAnsi="Verdana"/>
          <w:sz w:val="20"/>
          <w:szCs w:val="18"/>
        </w:rPr>
      </w:pPr>
      <w:r w:rsidRPr="0081361D">
        <w:rPr>
          <w:rFonts w:ascii="Verdana" w:hAnsi="Verdana"/>
          <w:sz w:val="20"/>
          <w:szCs w:val="18"/>
        </w:rPr>
        <w:t>Consequently, we consider the application of pre-trade LIS thresholds inappropriate in CLOB and propose removing any reference to them.</w:t>
      </w:r>
    </w:p>
    <w:p w14:paraId="535EB21A" w14:textId="77777777" w:rsidR="0081361D" w:rsidRPr="0081361D" w:rsidRDefault="0081361D" w:rsidP="0081361D">
      <w:pPr>
        <w:rPr>
          <w:rFonts w:ascii="Verdana" w:hAnsi="Verdana"/>
          <w:sz w:val="20"/>
          <w:szCs w:val="18"/>
        </w:rPr>
      </w:pPr>
      <w:r w:rsidRPr="0081361D">
        <w:rPr>
          <w:rFonts w:ascii="Verdana" w:hAnsi="Verdana"/>
          <w:sz w:val="20"/>
          <w:szCs w:val="18"/>
        </w:rPr>
        <w:t>For this reason, we suggest removing the “Pre Trade” column currently included in Annex III of the draft RTS, specifically in the tables referring to Exchange Traded Derivatives, namely Tables 2.1, 2.2, 2.3, 2.4, 2.5, and 2.6.</w:t>
      </w:r>
    </w:p>
    <w:p w14:paraId="72E36409" w14:textId="53F0AE72" w:rsidR="0081361D" w:rsidRDefault="0081361D" w:rsidP="0081361D">
      <w:pPr>
        <w:rPr>
          <w:rFonts w:ascii="Verdana" w:hAnsi="Verdana"/>
          <w:sz w:val="20"/>
          <w:szCs w:val="18"/>
        </w:rPr>
      </w:pPr>
      <w:r w:rsidRPr="0081361D">
        <w:rPr>
          <w:rFonts w:ascii="Verdana" w:hAnsi="Verdana"/>
          <w:sz w:val="20"/>
          <w:szCs w:val="18"/>
        </w:rPr>
        <w:t>Finally, as a general principle, Euronext believes that all comparable trading systems should be subject to similar transparency requirements. It is crucial to ensure a level playing field across platforms and market models.</w:t>
      </w:r>
    </w:p>
    <w:p w14:paraId="546B576B" w14:textId="1612B3CC" w:rsidR="005F5C05" w:rsidRPr="005F5C05" w:rsidRDefault="005F5C05" w:rsidP="0081361D">
      <w:pPr>
        <w:rPr>
          <w:rFonts w:ascii="Verdana" w:hAnsi="Verdana"/>
          <w:b/>
          <w:bCs/>
          <w:sz w:val="20"/>
          <w:szCs w:val="18"/>
        </w:rPr>
      </w:pPr>
      <w:bookmarkStart w:id="11" w:name="_Hlk202276517"/>
      <w:r w:rsidRPr="005F5C05">
        <w:rPr>
          <w:rFonts w:ascii="Verdana" w:hAnsi="Verdana"/>
          <w:sz w:val="20"/>
          <w:szCs w:val="18"/>
        </w:rPr>
        <w:t xml:space="preserve">However, with regard to commodity derivatives, and energy derivatives in particular, the application of pre-trade transparency requirements would not be appropriate for this market segment. This is because commodity derivatives, and energy derivatives in particular, differ fundamentally from equity markets in terms of structure and liquidity, for example. </w:t>
      </w:r>
      <w:r w:rsidRPr="005F5C05">
        <w:rPr>
          <w:rFonts w:ascii="Verdana" w:hAnsi="Verdana"/>
          <w:sz w:val="20"/>
          <w:szCs w:val="18"/>
        </w:rPr>
        <w:br/>
        <w:t xml:space="preserve">A uniform approach to transparency would overlook the unique features of these markets. Power and gas derivatives, in particular, exhibit characteristics that do not align with the </w:t>
      </w:r>
      <w:r w:rsidRPr="005F5C05">
        <w:rPr>
          <w:rFonts w:ascii="Verdana" w:hAnsi="Verdana"/>
          <w:sz w:val="20"/>
          <w:szCs w:val="18"/>
        </w:rPr>
        <w:lastRenderedPageBreak/>
        <w:t xml:space="preserve">assumptions underlying pre-trade transparency frameworks. We welcome and support the changes made to the pre-trade transparency regime for non-equity derivatives which took effect on 28 March 2024, which removed the pre-trade transparency requirements for energy derivative block trades. </w:t>
      </w:r>
      <w:bookmarkEnd w:id="11"/>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7231D86E" w14:textId="77777777" w:rsidR="00C86DCD" w:rsidRPr="00C86DCD" w:rsidRDefault="00C86DCD" w:rsidP="00C86DCD">
      <w:pPr>
        <w:rPr>
          <w:rFonts w:ascii="Verdana" w:hAnsi="Verdana"/>
          <w:sz w:val="20"/>
        </w:rPr>
      </w:pPr>
      <w:permStart w:id="1252945268" w:edGrp="everyone"/>
      <w:r w:rsidRPr="00C86DCD">
        <w:rPr>
          <w:rFonts w:ascii="Verdana" w:hAnsi="Verdana"/>
          <w:sz w:val="20"/>
        </w:rPr>
        <w:t xml:space="preserve">Euronext supports the proposed amendments to Table 2 (Fields) of Annex II of RTS 2, which relate to MDG messages, and the new feeds created under the CTP project. </w:t>
      </w:r>
    </w:p>
    <w:p w14:paraId="2D8AAD22" w14:textId="6CE66901" w:rsidR="00C86DCD" w:rsidRPr="00C86DCD" w:rsidRDefault="00C86DCD" w:rsidP="00131ECC">
      <w:pPr>
        <w:rPr>
          <w:rFonts w:ascii="Verdana" w:hAnsi="Verdana"/>
          <w:sz w:val="20"/>
        </w:rPr>
      </w:pPr>
      <w:r w:rsidRPr="00C86DCD">
        <w:rPr>
          <w:rFonts w:ascii="Verdana" w:hAnsi="Verdana"/>
          <w:sz w:val="20"/>
        </w:rPr>
        <w:t>Regarding Table 3 (Flags) of Annex II of RTS2, Euronext agrees that the post-trade transparency flags for derivatives should be aligned with the new post-trade transparency regime established by the MiFIR revision. We are in favour of standardising and aligning the post-trade deferral flags, which were already introduced for bonds, to include derivatives as well.</w:t>
      </w:r>
    </w:p>
    <w:permEnd w:id="1252945268"/>
    <w:p w14:paraId="20AD4B4D" w14:textId="2C2BF60A"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7054BF95" w14:textId="77777777" w:rsidR="00DC70A7" w:rsidRPr="00FC38FE" w:rsidRDefault="00DC70A7" w:rsidP="00131ECC">
      <w:pPr>
        <w:rPr>
          <w:rFonts w:ascii="Verdana" w:hAnsi="Verdana"/>
          <w:sz w:val="20"/>
        </w:rPr>
      </w:pPr>
      <w:permStart w:id="1795046886" w:edGrp="everyone"/>
      <w:r w:rsidRPr="00FC38FE">
        <w:rPr>
          <w:rFonts w:ascii="Verdana" w:hAnsi="Verdana"/>
          <w:sz w:val="20"/>
        </w:rPr>
        <w:t>Yes, Euronext agrees with ESMA’s approach not to change the concept of “as close to real-time as technically possible” under RTS 2, which currently allows for a maximum delay of 5 minutes.</w:t>
      </w:r>
    </w:p>
    <w:permEnd w:id="1795046886"/>
    <w:p w14:paraId="7ED44A13" w14:textId="6CCF8601"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72879DA1" w14:textId="77777777" w:rsidR="002C7FA0" w:rsidRPr="002C7FA0" w:rsidRDefault="002C7FA0" w:rsidP="002C7FA0">
      <w:pPr>
        <w:rPr>
          <w:rFonts w:ascii="Verdana" w:eastAsia="Verdana" w:hAnsi="Verdana" w:cs="Verdana"/>
          <w:color w:val="1A1A1A"/>
          <w:kern w:val="2"/>
          <w:sz w:val="20"/>
          <w14:ligatures w14:val="standardContextual"/>
        </w:rPr>
      </w:pPr>
      <w:permStart w:id="97283499" w:edGrp="everyone"/>
      <w:r w:rsidRPr="002C7FA0">
        <w:rPr>
          <w:rFonts w:ascii="Verdana" w:eastAsia="Verdana" w:hAnsi="Verdana" w:cs="Verdana"/>
          <w:color w:val="1A1A1A"/>
          <w:kern w:val="2"/>
          <w:sz w:val="20"/>
          <w14:ligatures w14:val="standardContextual"/>
        </w:rPr>
        <w:t>Yes, Euronext agrees and welcomes ESMA’s general approach to adopt a static determination of liquidity for derivatives, as already done for bonds, in line with the objective of making the transparency regime simpler and more stable.</w:t>
      </w:r>
    </w:p>
    <w:p w14:paraId="03720B27" w14:textId="77777777" w:rsidR="006C0759" w:rsidRDefault="002C7FA0" w:rsidP="002C7FA0">
      <w:pPr>
        <w:rPr>
          <w:rFonts w:ascii="Verdana" w:eastAsia="Verdana" w:hAnsi="Verdana" w:cs="Verdana"/>
          <w:color w:val="1A1A1A"/>
          <w:kern w:val="2"/>
          <w:sz w:val="20"/>
          <w14:ligatures w14:val="standardContextual"/>
        </w:rPr>
      </w:pPr>
      <w:r w:rsidRPr="002C7FA0">
        <w:rPr>
          <w:rFonts w:ascii="Verdana" w:eastAsia="Verdana" w:hAnsi="Verdana" w:cs="Verdana"/>
          <w:color w:val="1A1A1A"/>
          <w:kern w:val="2"/>
          <w:sz w:val="20"/>
          <w14:ligatures w14:val="standardContextual"/>
        </w:rPr>
        <w:lastRenderedPageBreak/>
        <w:t>Moving to static thresholds will certainly reduce complexity but may mean it does not remain fully accurate. It is crucial that ESMA maintains close oversight of this framework and intervenes swiftly should any challenges arise. Continuous monitoring will be key to ensuring its effective and consistent implementation over time.</w:t>
      </w:r>
      <w:r w:rsidR="006C0759">
        <w:rPr>
          <w:rFonts w:ascii="Verdana" w:eastAsia="Verdana" w:hAnsi="Verdana" w:cs="Verdana"/>
          <w:color w:val="1A1A1A"/>
          <w:kern w:val="2"/>
          <w:sz w:val="20"/>
          <w14:ligatures w14:val="standardContextual"/>
        </w:rPr>
        <w:t xml:space="preserve"> </w:t>
      </w:r>
      <w:r w:rsidRPr="002C7FA0">
        <w:rPr>
          <w:rFonts w:ascii="Verdana" w:eastAsia="Verdana" w:hAnsi="Verdana" w:cs="Verdana"/>
          <w:color w:val="1A1A1A"/>
          <w:kern w:val="2"/>
          <w:sz w:val="20"/>
          <w14:ligatures w14:val="standardContextual"/>
        </w:rPr>
        <w:t>In this context, we consider it essential that any modifications to the static thresholds be subject to a public consultation process, thereby ensuring transparency and the active involvement of stakeholders. Given that revisions to Regulatory Technical Standards (RTSs) typically require considerable time, there is a legitimate concern that delays in recalibrating thresholds could arise should the initial parameters prove inadequate.</w:t>
      </w:r>
    </w:p>
    <w:p w14:paraId="57B72C50" w14:textId="49229AFA" w:rsidR="002C7FA0" w:rsidRPr="002C7FA0" w:rsidRDefault="002C7FA0" w:rsidP="002C7FA0">
      <w:pPr>
        <w:rPr>
          <w:rFonts w:ascii="Verdana" w:eastAsia="Verdana" w:hAnsi="Verdana" w:cs="Verdana"/>
          <w:color w:val="1A1A1A"/>
          <w:kern w:val="2"/>
          <w:sz w:val="20"/>
          <w14:ligatures w14:val="standardContextual"/>
        </w:rPr>
      </w:pPr>
      <w:r w:rsidRPr="002C7FA0">
        <w:rPr>
          <w:rFonts w:ascii="Verdana" w:eastAsia="Verdana" w:hAnsi="Verdana" w:cs="Verdana"/>
          <w:color w:val="000000"/>
          <w:kern w:val="2"/>
          <w:sz w:val="20"/>
          <w14:ligatures w14:val="standardContextual"/>
        </w:rPr>
        <w:t>In parallel, Euronext stresses the importance of incorporating the ADNA metric as a technical input in threshold calibration. This ensures that size parameters are better aligned with actual trading activity and underlying market liquidity conditions, preserving a fair and functional framework for trade deferrals and transparency obligations.</w:t>
      </w:r>
    </w:p>
    <w:p w14:paraId="292BD899" w14:textId="37BEBDB1" w:rsidR="002C7FA0" w:rsidRPr="002C7FA0" w:rsidRDefault="002C7FA0" w:rsidP="002C7FA0">
      <w:pPr>
        <w:rPr>
          <w:rFonts w:ascii="Verdana" w:eastAsia="Verdana" w:hAnsi="Verdana" w:cs="Verdana"/>
          <w:color w:val="000000"/>
          <w:kern w:val="2"/>
          <w:sz w:val="20"/>
          <w14:ligatures w14:val="standardContextual"/>
        </w:rPr>
      </w:pPr>
      <w:r w:rsidRPr="002C7FA0">
        <w:rPr>
          <w:rFonts w:ascii="Verdana" w:eastAsia="Verdana" w:hAnsi="Verdana" w:cs="Verdana"/>
          <w:color w:val="000000"/>
          <w:kern w:val="2"/>
          <w:sz w:val="20"/>
          <w14:ligatures w14:val="standardContextual"/>
        </w:rPr>
        <w:t xml:space="preserve">Euronext generally supports the overall approach of allowing trading venues to maintain a similar post-trade transparency regime, thanks to the sufficient level of granularity and the use of a floor-based methodology when instrument categories are grouped. However, for some equity derivatives (EDs), the absence of ADNA ranges under the new regime has resulted in significantly higher size thresholds for </w:t>
      </w:r>
      <w:proofErr w:type="spellStart"/>
      <w:r w:rsidRPr="002C7FA0">
        <w:rPr>
          <w:rFonts w:ascii="Verdana" w:eastAsia="Verdana" w:hAnsi="Verdana" w:cs="Verdana"/>
          <w:color w:val="000000"/>
          <w:kern w:val="2"/>
          <w:sz w:val="20"/>
          <w14:ligatures w14:val="standardContextual"/>
        </w:rPr>
        <w:t>int</w:t>
      </w:r>
      <w:r w:rsidR="00F15711">
        <w:rPr>
          <w:rFonts w:ascii="Verdana" w:eastAsia="Verdana" w:hAnsi="Verdana" w:cs="Verdana"/>
          <w:color w:val="000000"/>
          <w:kern w:val="2"/>
          <w:sz w:val="20"/>
          <w14:ligatures w14:val="standardContextual"/>
        </w:rPr>
        <w:t>er</w:t>
      </w:r>
      <w:r w:rsidRPr="002C7FA0">
        <w:rPr>
          <w:rFonts w:ascii="Verdana" w:eastAsia="Verdana" w:hAnsi="Verdana" w:cs="Verdana"/>
          <w:color w:val="000000"/>
          <w:kern w:val="2"/>
          <w:sz w:val="20"/>
          <w14:ligatures w14:val="standardContextual"/>
        </w:rPr>
        <w:t>day</w:t>
      </w:r>
      <w:proofErr w:type="spellEnd"/>
      <w:r w:rsidRPr="002C7FA0">
        <w:rPr>
          <w:rFonts w:ascii="Verdana" w:eastAsia="Verdana" w:hAnsi="Verdana" w:cs="Verdana"/>
          <w:color w:val="000000"/>
          <w:kern w:val="2"/>
          <w:sz w:val="20"/>
          <w14:ligatures w14:val="standardContextual"/>
        </w:rPr>
        <w:t xml:space="preserve"> deferrals. This is particularly problematic for instruments with low ADNAs and short maturities, where the new framework considerably hinders the effective use of deferrals. Therefore, Euronext believes that either a floor-based approach to size thresholds—similar to what is applied in interest rate, FX, or credit derivatives—or increased granularity is necessary.</w:t>
      </w:r>
    </w:p>
    <w:p w14:paraId="12212FC4" w14:textId="77777777" w:rsidR="002C7FA0" w:rsidRPr="002C7FA0" w:rsidRDefault="002C7FA0" w:rsidP="002C7FA0">
      <w:pPr>
        <w:rPr>
          <w:rFonts w:ascii="Verdana" w:eastAsia="Verdana" w:hAnsi="Verdana" w:cs="Verdana"/>
          <w:color w:val="000000"/>
          <w:kern w:val="2"/>
          <w:sz w:val="20"/>
          <w14:ligatures w14:val="standardContextual"/>
        </w:rPr>
      </w:pPr>
      <w:r w:rsidRPr="002C7FA0">
        <w:rPr>
          <w:rFonts w:ascii="Verdana" w:eastAsia="Verdana" w:hAnsi="Verdana" w:cs="Verdana"/>
          <w:color w:val="000000"/>
          <w:kern w:val="2"/>
          <w:sz w:val="20"/>
          <w14:ligatures w14:val="standardContextual"/>
        </w:rPr>
        <w:t>Regarding section 3.4.3.3.10, Euronext would like to emphasize its full support for ESMA’s proposal on deferral durations by category. The T+2 timeframe should indeed represent the maximum period allowed for the deferred publication of post-trade data. Euronext also strongly welcomes the recognition that deferrals are intended to give market participants time to hedge their positions, rather than to allow them to completely unwind their trades.</w:t>
      </w:r>
    </w:p>
    <w:p w14:paraId="1E321EF0" w14:textId="77777777" w:rsidR="002C7FA0" w:rsidRPr="002C7FA0" w:rsidRDefault="002C7FA0" w:rsidP="002C7FA0">
      <w:pPr>
        <w:rPr>
          <w:rFonts w:ascii="Verdana" w:eastAsia="Verdana" w:hAnsi="Verdana" w:cs="Verdana"/>
          <w:color w:val="000000"/>
          <w:kern w:val="2"/>
          <w:sz w:val="20"/>
          <w14:ligatures w14:val="standardContextual"/>
        </w:rPr>
      </w:pPr>
      <w:r w:rsidRPr="002C7FA0">
        <w:rPr>
          <w:rFonts w:ascii="Verdana" w:eastAsia="Verdana" w:hAnsi="Verdana" w:cs="Verdana"/>
          <w:color w:val="000000"/>
          <w:kern w:val="2"/>
          <w:sz w:val="20"/>
          <w14:ligatures w14:val="standardContextual"/>
        </w:rPr>
        <w:t>Lastly, we support discontinuing the reporting of transparency data to FITRS, given that the periodic publication of transparency calculations on derivatives will cease.</w:t>
      </w:r>
      <w:r w:rsidRPr="002C7FA0">
        <w:rPr>
          <w:rFonts w:ascii="Verdana" w:eastAsia="Verdana" w:hAnsi="Verdana" w:cs="Verdana"/>
          <w:color w:val="000000"/>
          <w:kern w:val="2"/>
          <w:sz w:val="20"/>
          <w14:ligatures w14:val="standardContextual"/>
        </w:rPr>
        <w:br/>
        <w:t>Nevertheless, we request further clarification on the exact timeline for this termination.</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1A52E8C4" w14:textId="77777777" w:rsidR="002676EC" w:rsidRPr="002676EC" w:rsidRDefault="002676EC" w:rsidP="002676EC">
      <w:pPr>
        <w:spacing w:after="160" w:line="278" w:lineRule="auto"/>
        <w:rPr>
          <w:rFonts w:ascii="Verdana" w:eastAsia="Aptos" w:hAnsi="Verdana"/>
          <w:color w:val="000000"/>
          <w:kern w:val="2"/>
          <w:sz w:val="20"/>
          <w14:ligatures w14:val="standardContextual"/>
        </w:rPr>
      </w:pPr>
      <w:permStart w:id="1086263988" w:edGrp="everyone"/>
      <w:r w:rsidRPr="002676EC">
        <w:rPr>
          <w:rFonts w:ascii="Verdana" w:eastAsia="Aptos" w:hAnsi="Verdana"/>
          <w:color w:val="000000"/>
          <w:kern w:val="2"/>
          <w:sz w:val="20"/>
          <w14:ligatures w14:val="standardContextual"/>
        </w:rPr>
        <w:lastRenderedPageBreak/>
        <w:t>Euronext expresses its support for Option C, as it offers a more granular framework and provides trading venues with greater operational flexibility.</w:t>
      </w:r>
    </w:p>
    <w:p w14:paraId="79B862FE" w14:textId="77777777" w:rsidR="002676EC" w:rsidRPr="002676EC" w:rsidRDefault="002676EC" w:rsidP="002676EC">
      <w:pPr>
        <w:spacing w:after="160" w:line="278" w:lineRule="auto"/>
        <w:rPr>
          <w:rFonts w:ascii="Verdana" w:eastAsia="Aptos" w:hAnsi="Verdana"/>
          <w:color w:val="000000"/>
          <w:kern w:val="2"/>
          <w:sz w:val="20"/>
          <w14:ligatures w14:val="standardContextual"/>
        </w:rPr>
      </w:pPr>
      <w:r w:rsidRPr="002676EC">
        <w:rPr>
          <w:rFonts w:ascii="Verdana" w:eastAsia="Aptos" w:hAnsi="Verdana"/>
          <w:color w:val="000000"/>
          <w:kern w:val="2"/>
          <w:sz w:val="20"/>
          <w14:ligatures w14:val="standardContextual"/>
        </w:rPr>
        <w:t>As defined in Q4, we believe that applying granularity effectively is crucial. None of the three options (A, B and C) currently under consideration appears to take into account the ADNA of single-stock derivative products.</w:t>
      </w:r>
    </w:p>
    <w:p w14:paraId="31BAA887" w14:textId="77777777" w:rsidR="002676EC" w:rsidRPr="002676EC" w:rsidRDefault="002676EC" w:rsidP="002676EC">
      <w:pPr>
        <w:spacing w:after="160" w:line="278" w:lineRule="auto"/>
        <w:rPr>
          <w:rFonts w:ascii="Verdana" w:eastAsia="Aptos" w:hAnsi="Verdana"/>
          <w:color w:val="000000"/>
          <w:kern w:val="2"/>
          <w:sz w:val="20"/>
          <w14:ligatures w14:val="standardContextual"/>
        </w:rPr>
      </w:pPr>
      <w:r w:rsidRPr="002676EC">
        <w:rPr>
          <w:rFonts w:ascii="Verdana" w:eastAsia="Aptos" w:hAnsi="Verdana"/>
          <w:color w:val="000000"/>
          <w:kern w:val="2"/>
          <w:sz w:val="20"/>
          <w14:ligatures w14:val="standardContextual"/>
        </w:rPr>
        <w:t>Historically, under the previous post-trade deferral regime, both LIS and SSTI thresholds were segmented into multiple granularity bands based on the ADNA of specific product classes. In contrast, the granularity of the new framework is driven solely by the outcome of the liquidity assessment.</w:t>
      </w:r>
    </w:p>
    <w:p w14:paraId="60E01F6E" w14:textId="77777777" w:rsidR="002676EC" w:rsidRPr="002676EC" w:rsidRDefault="002676EC" w:rsidP="002676EC">
      <w:pPr>
        <w:spacing w:after="160" w:line="278" w:lineRule="auto"/>
        <w:rPr>
          <w:rFonts w:ascii="Verdana" w:eastAsia="Aptos" w:hAnsi="Verdana"/>
          <w:color w:val="000000"/>
          <w:kern w:val="2"/>
          <w:sz w:val="20"/>
          <w14:ligatures w14:val="standardContextual"/>
        </w:rPr>
      </w:pPr>
      <w:r w:rsidRPr="002676EC">
        <w:rPr>
          <w:rFonts w:ascii="Verdana" w:eastAsia="Aptos" w:hAnsi="Verdana"/>
          <w:color w:val="000000"/>
          <w:kern w:val="2"/>
          <w:sz w:val="20"/>
          <w14:ligatures w14:val="standardContextual"/>
        </w:rPr>
        <w:t>We therefore believe it is essential to integrate ADNA ranges into the liquidity evaluation process, ensuring a more accurate representation of market structure and trading activity.</w:t>
      </w:r>
    </w:p>
    <w:p w14:paraId="11229761" w14:textId="77777777" w:rsidR="002676EC" w:rsidRPr="002676EC" w:rsidRDefault="002676EC" w:rsidP="002676EC">
      <w:pPr>
        <w:spacing w:after="160" w:line="278" w:lineRule="auto"/>
        <w:rPr>
          <w:rFonts w:ascii="Verdana" w:eastAsia="Aptos" w:hAnsi="Verdana"/>
          <w:color w:val="EE0000"/>
          <w:kern w:val="2"/>
          <w:sz w:val="20"/>
          <w:u w:val="single"/>
          <w14:ligatures w14:val="standardContextual"/>
        </w:rPr>
      </w:pPr>
      <w:r w:rsidRPr="002676EC">
        <w:rPr>
          <w:rFonts w:ascii="Verdana" w:eastAsia="Aptos" w:hAnsi="Verdana"/>
          <w:color w:val="000000"/>
          <w:kern w:val="2"/>
          <w:sz w:val="20"/>
          <w14:ligatures w14:val="standardContextual"/>
        </w:rPr>
        <w:t>Additionally, when determining whether an ETD is liquid or illiquid, we consider it fundamentally important to assess the liquidity at level of underlying instruments individually (especially for stock-based products), since underlying assets do not all exhibit the same liquidity profile. Factoring ADNA into the analysis effectively grounds the assessment in the characteristics of the specific underlying asset, enhancing the precision and fairness of the classification.</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4DEB1F0F" w14:textId="77777777" w:rsidR="00A13F6D" w:rsidRPr="00A13F6D" w:rsidRDefault="00A13F6D" w:rsidP="00A13F6D">
      <w:pPr>
        <w:spacing w:after="160" w:line="278" w:lineRule="auto"/>
        <w:rPr>
          <w:rFonts w:ascii="Verdana" w:eastAsia="Verdana" w:hAnsi="Verdana" w:cs="Verdana"/>
          <w:color w:val="auto"/>
          <w:kern w:val="2"/>
          <w:sz w:val="20"/>
          <w14:ligatures w14:val="standardContextual"/>
        </w:rPr>
      </w:pPr>
      <w:permStart w:id="1304631682" w:edGrp="everyone"/>
      <w:r w:rsidRPr="00A13F6D">
        <w:rPr>
          <w:rFonts w:ascii="Verdana" w:eastAsia="Verdana" w:hAnsi="Verdana" w:cs="Verdana"/>
          <w:color w:val="auto"/>
          <w:kern w:val="2"/>
          <w:sz w:val="20"/>
          <w14:ligatures w14:val="standardContextual"/>
        </w:rPr>
        <w:t>Euronext believes that the current liquidity assessment for interest rate exchange-traded derivatives is not sufficient and supports ESMA's decision to propose a more granular liquidity determination, where we consider interest rate derivatives contracts to be illiquid if the contract is traded less than 50 times per day on average.</w:t>
      </w:r>
    </w:p>
    <w:p w14:paraId="50137085" w14:textId="5804EAD3" w:rsidR="00A13F6D" w:rsidRPr="00A13F6D" w:rsidRDefault="00A13F6D" w:rsidP="00A13F6D">
      <w:pPr>
        <w:spacing w:after="160" w:line="278" w:lineRule="auto"/>
        <w:rPr>
          <w:rFonts w:ascii="Verdana" w:eastAsia="Verdana" w:hAnsi="Verdana" w:cs="Verdana"/>
          <w:color w:val="auto"/>
          <w:kern w:val="2"/>
          <w:sz w:val="20"/>
          <w14:ligatures w14:val="standardContextual"/>
        </w:rPr>
      </w:pPr>
      <w:r w:rsidRPr="00A13F6D">
        <w:rPr>
          <w:rFonts w:ascii="Verdana" w:eastAsia="Verdana" w:hAnsi="Verdana" w:cs="Verdana"/>
          <w:color w:val="auto"/>
          <w:kern w:val="2"/>
          <w:sz w:val="20"/>
          <w14:ligatures w14:val="standardContextual"/>
        </w:rPr>
        <w:t xml:space="preserve">Therefore, Euronext supports Option B because it is more granular. This option enables a more precise identification of instruments that do not have sufficient trading volume to be considered liquid, thereby improving market transparency and efficiency. </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4F983E12" w14:textId="77777777" w:rsidR="003614B0" w:rsidRPr="003614B0" w:rsidRDefault="003614B0" w:rsidP="003614B0">
      <w:pPr>
        <w:spacing w:after="160" w:line="278" w:lineRule="auto"/>
        <w:rPr>
          <w:rFonts w:ascii="Verdana" w:eastAsia="Verdana" w:hAnsi="Verdana" w:cs="Verdana"/>
          <w:color w:val="auto"/>
          <w:kern w:val="2"/>
          <w:sz w:val="20"/>
          <w14:ligatures w14:val="standardContextual"/>
        </w:rPr>
      </w:pPr>
      <w:permStart w:id="93025034" w:edGrp="everyone"/>
      <w:r w:rsidRPr="003614B0">
        <w:rPr>
          <w:rFonts w:ascii="Verdana" w:eastAsia="Verdana" w:hAnsi="Verdana" w:cs="Verdana"/>
          <w:color w:val="auto"/>
          <w:kern w:val="2"/>
          <w:sz w:val="20"/>
          <w14:ligatures w14:val="standardContextual"/>
        </w:rPr>
        <w:lastRenderedPageBreak/>
        <w:t>Yes, we agree with the liquidity assessment for commodity and emission allowances exchange-traded derivatives as proposed by ESMA.</w:t>
      </w:r>
    </w:p>
    <w:p w14:paraId="0B9659DB" w14:textId="77777777" w:rsidR="00251910" w:rsidRPr="00251910" w:rsidRDefault="00251910" w:rsidP="00251910">
      <w:pPr>
        <w:spacing w:after="160" w:line="278" w:lineRule="auto"/>
        <w:rPr>
          <w:rFonts w:ascii="Verdana" w:eastAsia="Verdana" w:hAnsi="Verdana" w:cs="Verdana"/>
          <w:color w:val="auto"/>
          <w:kern w:val="2"/>
          <w:sz w:val="20"/>
          <w14:ligatures w14:val="standardContextual"/>
        </w:rPr>
      </w:pPr>
      <w:r w:rsidRPr="00251910">
        <w:rPr>
          <w:rFonts w:ascii="Verdana" w:eastAsia="Verdana" w:hAnsi="Verdana" w:cs="Verdana"/>
          <w:color w:val="auto"/>
          <w:kern w:val="2"/>
          <w:sz w:val="20"/>
          <w14:ligatures w14:val="standardContextual"/>
        </w:rPr>
        <w:t>However, Euronext highlights the challenges in ensuring consistent application across different asset classes. Commodity derivatives—especially in the electricity and gas sectors—are characterised by rapidly evolving structures and varying liquidity profiles. Relying solely on fixed metrics and static assessments may not accurately capture the true liquidity conditions across all markets.</w:t>
      </w:r>
    </w:p>
    <w:p w14:paraId="1E92256A" w14:textId="2201D863" w:rsidR="003614B0" w:rsidRPr="003614B0" w:rsidRDefault="00251910" w:rsidP="00251910">
      <w:pPr>
        <w:spacing w:after="160" w:line="278" w:lineRule="auto"/>
        <w:rPr>
          <w:rFonts w:ascii="Verdana" w:eastAsia="Verdana" w:hAnsi="Verdana" w:cs="Verdana"/>
          <w:color w:val="auto"/>
          <w:kern w:val="2"/>
          <w:sz w:val="20"/>
          <w14:ligatures w14:val="standardContextual"/>
        </w:rPr>
      </w:pPr>
      <w:r w:rsidRPr="00251910">
        <w:rPr>
          <w:rFonts w:ascii="Verdana" w:eastAsia="Verdana" w:hAnsi="Verdana" w:cs="Verdana"/>
          <w:color w:val="auto"/>
          <w:kern w:val="2"/>
          <w:sz w:val="20"/>
          <w14:ligatures w14:val="standardContextual"/>
        </w:rPr>
        <w:t>Therefore, we urge caution in adopting rigid, static methodologies and encourage ESMA to maintain the flexibility to revisit and revise the classification of specific categories as market conditions evolve.</w:t>
      </w:r>
      <w:r w:rsidR="003614B0" w:rsidRPr="003614B0" w:rsidDel="00692245">
        <w:rPr>
          <w:rFonts w:ascii="Verdana" w:eastAsia="Verdana" w:hAnsi="Verdana" w:cs="Verdana"/>
          <w:color w:val="auto"/>
          <w:kern w:val="2"/>
          <w:sz w:val="20"/>
          <w14:ligatures w14:val="standardContextual"/>
        </w:rPr>
        <w:t xml:space="preserve"> </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3CEE2231" w14:textId="2B50D08F" w:rsidR="007E2B10" w:rsidRPr="007E2B10" w:rsidRDefault="007E2B10" w:rsidP="007E2B10">
      <w:pPr>
        <w:spacing w:after="160" w:line="278" w:lineRule="auto"/>
        <w:rPr>
          <w:rFonts w:ascii="Aptos" w:eastAsia="Aptos" w:hAnsi="Aptos"/>
          <w:b/>
          <w:bCs/>
          <w:color w:val="auto"/>
          <w:kern w:val="2"/>
          <w:sz w:val="24"/>
          <w:szCs w:val="24"/>
          <w14:ligatures w14:val="standardContextual"/>
        </w:rPr>
      </w:pPr>
      <w:permStart w:id="705578859" w:edGrp="everyone"/>
      <w:r w:rsidRPr="007E2B10">
        <w:rPr>
          <w:rFonts w:ascii="Verdana" w:eastAsia="Aptos" w:hAnsi="Verdana"/>
          <w:color w:val="auto"/>
          <w:kern w:val="2"/>
          <w:sz w:val="20"/>
          <w14:ligatures w14:val="standardContextual"/>
        </w:rPr>
        <w:t>Euronext welcomes the fact that, for FX, credit, securitised derivatives and other derivatives, the assessed liquidity does not change compared with the current RTS 2 text.</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6DA82A2F" w14:textId="77777777" w:rsidR="003C0C62" w:rsidRPr="003C0C62" w:rsidRDefault="003C0C62" w:rsidP="003C0C62">
      <w:pPr>
        <w:spacing w:after="160" w:line="278" w:lineRule="auto"/>
        <w:rPr>
          <w:rFonts w:ascii="Verdana" w:eastAsia="Aptos" w:hAnsi="Verdana"/>
          <w:color w:val="EE0000"/>
          <w:kern w:val="2"/>
          <w:sz w:val="20"/>
          <w:u w:val="single"/>
          <w14:ligatures w14:val="standardContextual"/>
        </w:rPr>
      </w:pPr>
      <w:permStart w:id="1464080814" w:edGrp="everyone"/>
      <w:r w:rsidRPr="003C0C62">
        <w:rPr>
          <w:rFonts w:ascii="Verdana" w:eastAsia="Verdana" w:hAnsi="Verdana" w:cs="Verdana"/>
          <w:color w:val="auto"/>
          <w:kern w:val="2"/>
          <w:sz w:val="20"/>
          <w14:ligatures w14:val="standardContextual"/>
        </w:rPr>
        <w:t xml:space="preserve">In general, Euronext supports the thresholds as it appears the approach will result in increased transparency which will be beneficial for the market. </w:t>
      </w:r>
      <w:r w:rsidRPr="003C0C62">
        <w:rPr>
          <w:rFonts w:ascii="Aptos" w:eastAsia="Aptos" w:hAnsi="Aptos"/>
          <w:color w:val="auto"/>
          <w:kern w:val="2"/>
          <w:sz w:val="24"/>
          <w:szCs w:val="24"/>
          <w14:ligatures w14:val="standardContextual"/>
        </w:rPr>
        <w:br/>
      </w:r>
      <w:r w:rsidRPr="003C0C62">
        <w:rPr>
          <w:rFonts w:ascii="Verdana" w:eastAsia="Verdana" w:hAnsi="Verdana" w:cs="Verdana"/>
          <w:color w:val="auto"/>
          <w:kern w:val="2"/>
          <w:sz w:val="20"/>
          <w14:ligatures w14:val="standardContextual"/>
        </w:rPr>
        <w:t>However, we would like to highlight that while we understand the rationale for the new approach in determining liquidity is to reduce complexity and the focus on outstanding issuance size seems reasonable given it is a valid indicator of liquidity, there are other factors that may also be very relevant and impact the liquidity of these securities.</w:t>
      </w:r>
    </w:p>
    <w:p w14:paraId="676739A5" w14:textId="77777777" w:rsidR="003C0C62" w:rsidRPr="003C0C62" w:rsidRDefault="003C0C62" w:rsidP="003C0C62">
      <w:pPr>
        <w:spacing w:after="160" w:line="278" w:lineRule="auto"/>
        <w:rPr>
          <w:rFonts w:ascii="Verdana" w:eastAsia="Aptos" w:hAnsi="Verdana"/>
          <w:color w:val="000000"/>
          <w:kern w:val="2"/>
          <w:sz w:val="20"/>
          <w14:ligatures w14:val="standardContextual"/>
        </w:rPr>
      </w:pPr>
      <w:r w:rsidRPr="003C0C62">
        <w:rPr>
          <w:rFonts w:ascii="Verdana" w:eastAsia="Aptos" w:hAnsi="Verdana"/>
          <w:color w:val="000000"/>
          <w:kern w:val="2"/>
          <w:sz w:val="20"/>
          <w14:ligatures w14:val="standardContextual"/>
        </w:rPr>
        <w:t>Regarding Options, as referenced in our response to Q.5, we agree with ESMA's proposal for option C. However, for the same reasons expressed in the response to Q5, Euronext proposes to either reinclude ADNA ranges, albeit in a simpler form with only two ranges, or orient the entire size threshold methodology on the floor thresholds as are done for interest rate, credit, and FX derivatives.</w:t>
      </w:r>
    </w:p>
    <w:permEnd w:id="1464080814"/>
    <w:p w14:paraId="02BF296E" w14:textId="77777777" w:rsidR="00131ECC" w:rsidRDefault="00131ECC" w:rsidP="00131ECC">
      <w:r>
        <w:lastRenderedPageBreak/>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4A9E2165" w14:textId="77777777" w:rsidR="00285DEE" w:rsidRDefault="00285DEE" w:rsidP="00131ECC">
      <w:pPr>
        <w:rPr>
          <w:rFonts w:ascii="Verdana" w:eastAsia="Aptos" w:hAnsi="Verdana"/>
          <w:color w:val="000000"/>
          <w:kern w:val="2"/>
          <w:sz w:val="20"/>
          <w14:ligatures w14:val="standardContextual"/>
        </w:rPr>
      </w:pPr>
      <w:permStart w:id="1449010517" w:edGrp="everyone"/>
      <w:r w:rsidRPr="00285DEE">
        <w:rPr>
          <w:rFonts w:ascii="Verdana" w:eastAsia="Aptos" w:hAnsi="Verdana"/>
          <w:color w:val="000000"/>
          <w:kern w:val="2"/>
          <w:sz w:val="20"/>
          <w14:ligatures w14:val="standardContextual"/>
        </w:rPr>
        <w:t>In line with our response to Q6, Euronext expresses a preference for Option B, as it offers greater operational flexibility to trading venues. We value the increased responsiveness this option enables, allowing trading platforms to more efficiently adapt to the evolving needs of the members.</w:t>
      </w:r>
    </w:p>
    <w:permEnd w:id="1449010517"/>
    <w:p w14:paraId="45175C14" w14:textId="0606B6C4"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117DAB9A" w14:textId="77777777" w:rsidR="00E92677" w:rsidRPr="00E92677" w:rsidRDefault="00E92677" w:rsidP="00E92677">
      <w:pPr>
        <w:spacing w:after="160" w:line="278" w:lineRule="auto"/>
        <w:rPr>
          <w:rFonts w:ascii="Verdana" w:eastAsia="Verdana" w:hAnsi="Verdana" w:cs="Verdana"/>
          <w:color w:val="auto"/>
          <w:kern w:val="2"/>
          <w:sz w:val="20"/>
          <w14:ligatures w14:val="standardContextual"/>
        </w:rPr>
      </w:pPr>
      <w:permStart w:id="1274550268" w:edGrp="everyone"/>
      <w:r w:rsidRPr="00E92677">
        <w:rPr>
          <w:rFonts w:ascii="Verdana" w:eastAsia="Verdana" w:hAnsi="Verdana" w:cs="Verdana"/>
          <w:color w:val="auto"/>
          <w:kern w:val="2"/>
          <w:sz w:val="20"/>
          <w14:ligatures w14:val="standardContextual"/>
        </w:rPr>
        <w:t>To confirm what we said in Q.7, Euronext agrees with the proposed size thresholds for the deferral regime of commodity and emission allowances exchange-traded derivatives as outlined by ESMA.</w:t>
      </w:r>
    </w:p>
    <w:p w14:paraId="1D2CE4ED" w14:textId="77777777" w:rsidR="00E92677" w:rsidRPr="00E92677" w:rsidRDefault="00E92677" w:rsidP="00E92677">
      <w:pPr>
        <w:spacing w:after="160" w:line="278" w:lineRule="auto"/>
        <w:rPr>
          <w:rFonts w:ascii="Verdana" w:eastAsia="Verdana" w:hAnsi="Verdana" w:cs="Verdana"/>
          <w:color w:val="auto"/>
          <w:kern w:val="2"/>
          <w:sz w:val="20"/>
          <w14:ligatures w14:val="standardContextual"/>
        </w:rPr>
      </w:pPr>
      <w:r w:rsidRPr="00E92677">
        <w:rPr>
          <w:rFonts w:ascii="Verdana" w:eastAsia="Verdana" w:hAnsi="Verdana" w:cs="Verdana"/>
          <w:color w:val="auto"/>
          <w:kern w:val="2"/>
          <w:sz w:val="20"/>
          <w14:ligatures w14:val="standardContextual"/>
        </w:rPr>
        <w:t>Specifically, we agree to use the current value of the post-trade LIS threshold as the “medium size” for the most liquid classes and to use the existing post-trade LIS threshold as a cap for the remaining, less liquid classes. For illiquid classes of commodity derivatives, we support the unique threshold of 200,000 EUR.</w:t>
      </w:r>
    </w:p>
    <w:p w14:paraId="5E57117E" w14:textId="77777777" w:rsidR="00E92677" w:rsidRPr="00E92677" w:rsidRDefault="00E92677" w:rsidP="00E92677">
      <w:pPr>
        <w:spacing w:after="160" w:line="278" w:lineRule="auto"/>
        <w:rPr>
          <w:rFonts w:ascii="Verdana" w:eastAsia="Verdana" w:hAnsi="Verdana" w:cs="Verdana"/>
          <w:color w:val="auto"/>
          <w:kern w:val="2"/>
          <w:sz w:val="20"/>
          <w14:ligatures w14:val="standardContextual"/>
        </w:rPr>
      </w:pPr>
      <w:r w:rsidRPr="00E92677">
        <w:rPr>
          <w:rFonts w:ascii="Verdana" w:eastAsia="Verdana" w:hAnsi="Verdana" w:cs="Verdana"/>
          <w:color w:val="auto"/>
          <w:kern w:val="2"/>
          <w:sz w:val="20"/>
          <w14:ligatures w14:val="standardContextual"/>
        </w:rPr>
        <w:t>For this last point, we appreciate the simplification made by ESMA compared to the current structure of size thresholds for illiquid commodity derivatives.</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779E49F3" w14:textId="77777777" w:rsidR="00131ECC" w:rsidRDefault="00131ECC" w:rsidP="00131ECC">
      <w:permStart w:id="1248143207" w:edGrp="everyone"/>
      <w:r>
        <w:t>TYPE YOUR TEXT HERE</w:t>
      </w:r>
    </w:p>
    <w:permEnd w:id="1248143207"/>
    <w:p w14:paraId="0E87DEB3" w14:textId="77777777" w:rsidR="00131ECC" w:rsidRDefault="00131ECC" w:rsidP="00131ECC">
      <w:r>
        <w:lastRenderedPageBreak/>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A192CAB" w14:textId="77777777" w:rsidR="00131ECC" w:rsidRDefault="00131ECC" w:rsidP="00131ECC">
      <w:permStart w:id="24068063" w:edGrp="everyone"/>
      <w: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E424709" w14:textId="77777777" w:rsidR="00131ECC" w:rsidRDefault="00131ECC" w:rsidP="00131ECC">
      <w:permStart w:id="517684992" w:edGrp="everyone"/>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6A9288F" w14:textId="77777777" w:rsidR="00131ECC" w:rsidRDefault="00131ECC" w:rsidP="00131ECC">
      <w:permStart w:id="121073060" w:edGrp="everyone"/>
      <w:r>
        <w:t>TYPE YOUR TEXT HERE</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t>&lt;ESMA_QUESTION_DERI_16&gt;</w:t>
      </w:r>
    </w:p>
    <w:p w14:paraId="1E04C6F2" w14:textId="77777777" w:rsidR="00131ECC" w:rsidRDefault="00131ECC" w:rsidP="00131ECC">
      <w:permStart w:id="857082364" w:edGrp="everyone"/>
      <w:r>
        <w:t>TYPE YOUR TEXT HERE</w:t>
      </w:r>
    </w:p>
    <w:permEnd w:id="857082364"/>
    <w:p w14:paraId="3850FC65" w14:textId="77777777" w:rsidR="00131ECC" w:rsidRDefault="00131ECC" w:rsidP="00131ECC">
      <w:r>
        <w:lastRenderedPageBreak/>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580D179E" w14:textId="77777777" w:rsidR="00131ECC" w:rsidRDefault="00131ECC" w:rsidP="00131ECC">
      <w:permStart w:id="147460196" w:edGrp="everyone"/>
      <w:r>
        <w:t>TYPE YOUR TEXT HERE</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7777777" w:rsidR="00131ECC" w:rsidRDefault="00131ECC" w:rsidP="00131ECC">
      <w:permStart w:id="796945462" w:edGrp="everyone"/>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14148BF6" w14:textId="77777777" w:rsidR="00131ECC" w:rsidRDefault="00131ECC" w:rsidP="00131ECC">
      <w:permStart w:id="1089237461" w:edGrp="everyone"/>
      <w:r>
        <w:t>TYPE YOUR TEXT HERE</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512CB597" w14:textId="2B37BE46" w:rsidR="00131ECC" w:rsidRDefault="00807355" w:rsidP="00131ECC">
      <w:permStart w:id="1180527698" w:edGrp="everyone"/>
      <w:r w:rsidRPr="00807355">
        <w:rPr>
          <w:rFonts w:ascii="Verdana" w:eastAsia="Aptos" w:hAnsi="Verdana"/>
          <w:color w:val="auto"/>
          <w:kern w:val="2"/>
          <w:sz w:val="20"/>
          <w14:ligatures w14:val="standardContextual"/>
        </w:rPr>
        <w:t xml:space="preserve">Euronext supports the amendments to Article 14 and 15 of RTS </w:t>
      </w:r>
      <w:r w:rsidR="007E68AB" w:rsidRPr="00807355">
        <w:rPr>
          <w:rFonts w:ascii="Verdana" w:eastAsia="Aptos" w:hAnsi="Verdana"/>
          <w:color w:val="auto"/>
          <w:kern w:val="2"/>
          <w:sz w:val="20"/>
          <w14:ligatures w14:val="standardContextual"/>
        </w:rPr>
        <w:t>2,</w:t>
      </w:r>
      <w:r w:rsidRPr="00807355">
        <w:rPr>
          <w:rFonts w:ascii="Verdana" w:eastAsia="Aptos" w:hAnsi="Verdana"/>
          <w:color w:val="auto"/>
          <w:kern w:val="2"/>
          <w:sz w:val="20"/>
          <w14:ligatures w14:val="standardContextual"/>
        </w:rPr>
        <w:t xml:space="preserve"> aimed at specifying the policy operations and the type of operations to which Article 1(6) and (7) of MIFIR applies with regard to members of the ESCB which are not a member of the Eurosystem only.</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6DBE38F" w14:textId="114D2A41" w:rsidR="00CF3509" w:rsidRPr="00CF3509" w:rsidRDefault="00CF3509" w:rsidP="00CF3509">
      <w:pPr>
        <w:spacing w:after="160" w:line="278" w:lineRule="auto"/>
        <w:rPr>
          <w:rFonts w:ascii="Verdana" w:eastAsia="Aptos" w:hAnsi="Verdana"/>
          <w:color w:val="000000"/>
          <w:kern w:val="2"/>
          <w:sz w:val="20"/>
          <w14:ligatures w14:val="standardContextual"/>
        </w:rPr>
      </w:pPr>
      <w:permStart w:id="1980902739" w:edGrp="everyone"/>
      <w:r w:rsidRPr="00CF3509">
        <w:rPr>
          <w:rFonts w:ascii="Verdana" w:eastAsia="Aptos" w:hAnsi="Verdana"/>
          <w:color w:val="000000"/>
          <w:kern w:val="2"/>
          <w:sz w:val="20"/>
          <w14:ligatures w14:val="standardContextual"/>
        </w:rPr>
        <w:t>Euronext support</w:t>
      </w:r>
      <w:r w:rsidR="00B777E7">
        <w:rPr>
          <w:rFonts w:ascii="Verdana" w:eastAsia="Aptos" w:hAnsi="Verdana"/>
          <w:color w:val="000000"/>
          <w:kern w:val="2"/>
          <w:sz w:val="20"/>
          <w14:ligatures w14:val="standardContextual"/>
        </w:rPr>
        <w:t>s</w:t>
      </w:r>
      <w:r w:rsidRPr="00CF3509">
        <w:rPr>
          <w:rFonts w:ascii="Verdana" w:eastAsia="Aptos" w:hAnsi="Verdana"/>
          <w:color w:val="000000"/>
          <w:kern w:val="2"/>
          <w:sz w:val="20"/>
          <w14:ligatures w14:val="standardContextual"/>
        </w:rPr>
        <w:t xml:space="preserve"> the ESMA’s proposal to limited to central limit order book (CLOB) and periodic auction trading systems only the scope of pre-trade transparency was. Eliminating pre-trade requirements for all other trading systems makes pre-trade waivers redundant for CLOB. In the context of the ESMA’s proposal for package orders this means all package orders classified as pre-arranged would be out of scope of the pre-trade transparency regime. </w:t>
      </w:r>
    </w:p>
    <w:p w14:paraId="7CB5BF62" w14:textId="585AC2BF" w:rsidR="00CF3509" w:rsidRPr="00CF3509" w:rsidRDefault="00CF3509" w:rsidP="00CF3509">
      <w:pPr>
        <w:spacing w:after="160" w:line="278" w:lineRule="auto"/>
        <w:rPr>
          <w:rFonts w:ascii="Verdana" w:eastAsia="Aptos" w:hAnsi="Verdana"/>
          <w:color w:val="000000"/>
          <w:kern w:val="2"/>
          <w:sz w:val="20"/>
          <w14:ligatures w14:val="standardContextual"/>
        </w:rPr>
      </w:pPr>
      <w:r w:rsidRPr="00CF3509">
        <w:rPr>
          <w:rFonts w:ascii="Verdana" w:eastAsia="Aptos" w:hAnsi="Verdana"/>
          <w:color w:val="000000"/>
          <w:kern w:val="2"/>
          <w:sz w:val="20"/>
          <w14:ligatures w14:val="standardContextual"/>
        </w:rPr>
        <w:t>As described in our response to Q1, Euronext believes that if pre-trade transparency is limited exclusively to CLOB, its practical relevance in cases involving, for example, on-screen strategies for package orders, must be questioned.</w:t>
      </w:r>
    </w:p>
    <w:p w14:paraId="39F196A8" w14:textId="77777777" w:rsidR="00CF3509" w:rsidRDefault="00CF3509" w:rsidP="00131ECC">
      <w:pPr>
        <w:rPr>
          <w:rFonts w:ascii="Verdana" w:eastAsia="Aptos" w:hAnsi="Verdana"/>
          <w:color w:val="000000"/>
          <w:kern w:val="2"/>
          <w:sz w:val="20"/>
          <w14:ligatures w14:val="standardContextual"/>
        </w:rPr>
      </w:pPr>
      <w:r w:rsidRPr="00CF3509">
        <w:rPr>
          <w:rFonts w:ascii="Verdana" w:eastAsia="Aptos" w:hAnsi="Verdana"/>
          <w:color w:val="000000"/>
          <w:kern w:val="2"/>
          <w:sz w:val="20"/>
          <w14:ligatures w14:val="standardContextual"/>
        </w:rPr>
        <w:t>Moreover, considering that the new regime would eliminate the liquidity assessment for pre-trade transparency, Euronext believes it is essential to clarify the technical applicability of the proposed regulatory framework for package order in the post-trade transparency context.</w:t>
      </w:r>
    </w:p>
    <w:permEnd w:id="1980902739"/>
    <w:p w14:paraId="6ED4D913" w14:textId="6B586A44"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161DA439" w14:textId="77777777" w:rsidR="00131ECC" w:rsidRDefault="00131ECC" w:rsidP="00131ECC">
      <w:permStart w:id="1722902870" w:edGrp="everyone"/>
      <w:r>
        <w:t>TYPE YOUR TEXT HERE</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078C9BF8" w14:textId="77777777" w:rsidR="00131ECC" w:rsidRDefault="00131ECC" w:rsidP="00131ECC">
      <w:permStart w:id="467429827" w:edGrp="everyone"/>
      <w:r>
        <w:t>TYPE YOUR TEXT HERE</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ED735" w14:textId="77777777" w:rsidR="00F302F0" w:rsidRDefault="00F302F0" w:rsidP="00F716D4">
      <w:r>
        <w:separator/>
      </w:r>
    </w:p>
    <w:p w14:paraId="56C2D05D" w14:textId="77777777" w:rsidR="00F302F0" w:rsidRDefault="00F302F0" w:rsidP="00F716D4"/>
  </w:endnote>
  <w:endnote w:type="continuationSeparator" w:id="0">
    <w:p w14:paraId="10DEF96E" w14:textId="77777777" w:rsidR="00F302F0" w:rsidRDefault="00F302F0" w:rsidP="00F716D4">
      <w:r>
        <w:continuationSeparator/>
      </w:r>
    </w:p>
    <w:p w14:paraId="55139F44" w14:textId="77777777" w:rsidR="00F302F0" w:rsidRDefault="00F302F0" w:rsidP="00F716D4"/>
  </w:endnote>
  <w:endnote w:type="continuationNotice" w:id="1">
    <w:p w14:paraId="493CCE5B" w14:textId="77777777" w:rsidR="00F302F0" w:rsidRDefault="00F302F0"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842BC" w14:textId="77777777" w:rsidR="00461494" w:rsidRDefault="0046149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ADE81" w14:textId="77777777" w:rsidR="00461494" w:rsidRDefault="0046149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74BDA" w14:textId="77777777" w:rsidR="00F302F0" w:rsidRDefault="00F302F0" w:rsidP="00F716D4">
      <w:r>
        <w:separator/>
      </w:r>
    </w:p>
    <w:p w14:paraId="0965CB15" w14:textId="77777777" w:rsidR="00F302F0" w:rsidRDefault="00F302F0" w:rsidP="00F716D4"/>
  </w:footnote>
  <w:footnote w:type="continuationSeparator" w:id="0">
    <w:p w14:paraId="497A76F6" w14:textId="77777777" w:rsidR="00F302F0" w:rsidRDefault="00F302F0" w:rsidP="00F716D4">
      <w:r>
        <w:continuationSeparator/>
      </w:r>
    </w:p>
    <w:p w14:paraId="7A328744" w14:textId="77777777" w:rsidR="00F302F0" w:rsidRDefault="00F302F0" w:rsidP="00F716D4"/>
  </w:footnote>
  <w:footnote w:type="continuationNotice" w:id="1">
    <w:p w14:paraId="5C15E4D3" w14:textId="77777777" w:rsidR="00F302F0" w:rsidRDefault="00F302F0"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75D55046"/>
    <w:multiLevelType w:val="hybridMultilevel"/>
    <w:tmpl w:val="D16E0546"/>
    <w:lvl w:ilvl="0" w:tplc="AB184B64">
      <w:start w:val="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7"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2"/>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29"/>
  </w:num>
  <w:num w:numId="9" w16cid:durableId="1008846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5"/>
  </w:num>
  <w:num w:numId="12" w16cid:durableId="1500659627">
    <w:abstractNumId w:val="28"/>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4"/>
  </w:num>
  <w:num w:numId="20" w16cid:durableId="1805388212">
    <w:abstractNumId w:val="33"/>
  </w:num>
  <w:num w:numId="21" w16cid:durableId="538709007">
    <w:abstractNumId w:val="23"/>
  </w:num>
  <w:num w:numId="22" w16cid:durableId="104540172">
    <w:abstractNumId w:val="7"/>
  </w:num>
  <w:num w:numId="23" w16cid:durableId="1824349076">
    <w:abstractNumId w:val="27"/>
  </w:num>
  <w:num w:numId="24" w16cid:durableId="672032853">
    <w:abstractNumId w:val="26"/>
  </w:num>
  <w:num w:numId="25" w16cid:durableId="48917541">
    <w:abstractNumId w:val="18"/>
  </w:num>
  <w:num w:numId="26" w16cid:durableId="978925443">
    <w:abstractNumId w:val="30"/>
  </w:num>
  <w:num w:numId="27" w16cid:durableId="1036613928">
    <w:abstractNumId w:val="36"/>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2"/>
  </w:num>
  <w:num w:numId="33" w16cid:durableId="2076850202">
    <w:abstractNumId w:val="31"/>
  </w:num>
  <w:num w:numId="34" w16cid:durableId="469176496">
    <w:abstractNumId w:val="10"/>
  </w:num>
  <w:num w:numId="35" w16cid:durableId="674843309">
    <w:abstractNumId w:val="16"/>
  </w:num>
  <w:num w:numId="36" w16cid:durableId="1954971501">
    <w:abstractNumId w:val="37"/>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7741440">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5C6F"/>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2BE5"/>
    <w:rsid w:val="00093022"/>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5C09"/>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4B3"/>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1F7489"/>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910"/>
    <w:rsid w:val="00251EA9"/>
    <w:rsid w:val="00252843"/>
    <w:rsid w:val="002543F8"/>
    <w:rsid w:val="002551A4"/>
    <w:rsid w:val="002559F3"/>
    <w:rsid w:val="00256DFE"/>
    <w:rsid w:val="00261D56"/>
    <w:rsid w:val="00261FD3"/>
    <w:rsid w:val="00263505"/>
    <w:rsid w:val="00264077"/>
    <w:rsid w:val="00266B9A"/>
    <w:rsid w:val="002676EC"/>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5DEE"/>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C7FA0"/>
    <w:rsid w:val="002D00C3"/>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14B0"/>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0C62"/>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1B64"/>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2DC"/>
    <w:rsid w:val="00460905"/>
    <w:rsid w:val="00461494"/>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1A43"/>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5C05"/>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759"/>
    <w:rsid w:val="006C0BF8"/>
    <w:rsid w:val="006C20E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197"/>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2B10"/>
    <w:rsid w:val="007E3514"/>
    <w:rsid w:val="007E4207"/>
    <w:rsid w:val="007E4AAA"/>
    <w:rsid w:val="007E4BD2"/>
    <w:rsid w:val="007E4C29"/>
    <w:rsid w:val="007E5E44"/>
    <w:rsid w:val="007E68AB"/>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355"/>
    <w:rsid w:val="00807A4D"/>
    <w:rsid w:val="00807F30"/>
    <w:rsid w:val="008103DC"/>
    <w:rsid w:val="0081119F"/>
    <w:rsid w:val="0081134D"/>
    <w:rsid w:val="00811EDA"/>
    <w:rsid w:val="00812403"/>
    <w:rsid w:val="00812FD7"/>
    <w:rsid w:val="0081361D"/>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755B7"/>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4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0766"/>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3F6D"/>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67CF8"/>
    <w:rsid w:val="00B71FB3"/>
    <w:rsid w:val="00B73492"/>
    <w:rsid w:val="00B7512A"/>
    <w:rsid w:val="00B75265"/>
    <w:rsid w:val="00B76548"/>
    <w:rsid w:val="00B76BED"/>
    <w:rsid w:val="00B777E7"/>
    <w:rsid w:val="00B806E6"/>
    <w:rsid w:val="00B82DC1"/>
    <w:rsid w:val="00B835D5"/>
    <w:rsid w:val="00B84028"/>
    <w:rsid w:val="00B84307"/>
    <w:rsid w:val="00B8430D"/>
    <w:rsid w:val="00B85661"/>
    <w:rsid w:val="00B85C8A"/>
    <w:rsid w:val="00B86FBD"/>
    <w:rsid w:val="00B90C16"/>
    <w:rsid w:val="00B91B86"/>
    <w:rsid w:val="00B927CA"/>
    <w:rsid w:val="00B928AE"/>
    <w:rsid w:val="00B93B88"/>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6B7B"/>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3535"/>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DCD"/>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3509"/>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0A7"/>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218E"/>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742"/>
    <w:rsid w:val="00E81E36"/>
    <w:rsid w:val="00E81E40"/>
    <w:rsid w:val="00E82ECE"/>
    <w:rsid w:val="00E8713B"/>
    <w:rsid w:val="00E90774"/>
    <w:rsid w:val="00E90C61"/>
    <w:rsid w:val="00E92677"/>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15711"/>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2F0"/>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38FE"/>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iPriority="99"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uiPriority w:val="99"/>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footer" Target="footer6.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header" Target="header5.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MeetingDate xmlns="d0fb0f98-34f9-4d57-9559-eb8efd17aa5e" xsi:nil="true"/>
    <Year xmlns="d0fb0f98-34f9-4d57-9559-eb8efd17aa5e">2024</Year>
    <TaxCatchAll xmlns="d0fb0f98-34f9-4d57-9559-eb8efd17aa5e">
      <Value>6</Value>
      <Value>895</Value>
      <Value>103</Value>
      <Value>934</Value>
      <Value>8</Value>
    </TaxCatchAll>
    <_dlc_DocId xmlns="d0fb0f98-34f9-4d57-9559-eb8efd17aa5e">ESMA74-276584410-10988</_dlc_DocId>
    <_dlc_DocIdUrl xmlns="d0fb0f98-34f9-4d57-9559-eb8efd17aa5e">
      <Url>https://securitiesandmarketsauth.sharepoint.com/sites/sherpa-trdu/_layouts/15/DocIdRedir.aspx?ID=ESMA74-276584410-10988</Url>
      <Description>ESMA74-276584410-10988</Description>
    </_dlc_DocIdUrl>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TAs ITSs RTSs: new and amendments</TermName>
          <TermId xmlns="http://schemas.microsoft.com/office/infopath/2007/PartnerControls">cb937b6c-0f1a-40e7-ab35-3044279ac8a7</TermId>
        </TermInfo>
      </Terms>
    </caa5aeb1a6644849b60fbe2335e12657>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Secondary Markets</TermName>
          <TermId xmlns="http://schemas.microsoft.com/office/infopath/2007/PartnerControls">0116aa60-aa30-4997-8f0f-29abf5f5f198</TermId>
        </TermInfo>
      </Terms>
    </bce29119141747ccb9ac7d87218ed4af>
    <a9b3b1dad23b4ba58c3f3e36a96e1d9c xmlns="d0fb0f98-34f9-4d57-9559-eb8efd17aa5e">
      <Terms xmlns="http://schemas.microsoft.com/office/infopath/2007/PartnerControls"/>
    </a9b3b1dad23b4ba58c3f3e36a96e1d9c>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2024 - RTS 2 amendment (MiFID II/MiFIR review)</TermName>
          <TermId xmlns="http://schemas.microsoft.com/office/infopath/2007/PartnerControls">52b098f5-52a3-4e93-b5cd-0239cfd306ea</TermId>
        </TermInfo>
      </Terms>
    </n644e5dfaa29486bad4a4fc019c6d2df>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Form / Request</TermName>
          <TermId xmlns="http://schemas.microsoft.com/office/infopath/2007/PartnerControls">efe27f23-61a2-47e7-916e-544dd02c80f4</TermId>
        </TermInfo>
      </Terms>
    </eed0a0b2ea6941718a34434e243f3d8f>
    <lcf76f155ced4ddcb4097134ff3c332f xmlns="c3d8dec5-8a41-4471-b9ad-44c18177627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B3ABB-1E22-43DF-B118-E1D48363CC1A}">
  <ds:schemaRefs>
    <ds:schemaRef ds:uri="http://schemas.microsoft.com/sharepoint/events"/>
  </ds:schemaRefs>
</ds:datastoreItem>
</file>

<file path=customXml/itemProps2.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3.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4.xml><?xml version="1.0" encoding="utf-8"?>
<ds:datastoreItem xmlns:ds="http://schemas.openxmlformats.org/officeDocument/2006/customXml" ds:itemID="{3F37C169-B082-42D7-95A8-39DCDC7C43D3}">
  <ds:schemaRefs>
    <ds:schemaRef ds:uri="http://schemas.microsoft.com/office/2006/metadata/properties"/>
    <ds:schemaRef ds:uri="http://schemas.microsoft.com/office/infopath/2007/PartnerControls"/>
    <ds:schemaRef ds:uri="d0fb0f98-34f9-4d57-9559-eb8efd17aa5e"/>
    <ds:schemaRef ds:uri="c3d8dec5-8a41-4471-b9ad-44c181776275"/>
  </ds:schemaRefs>
</ds:datastoreItem>
</file>

<file path=customXml/itemProps5.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6.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2715</Words>
  <Characters>16278</Characters>
  <Application>Microsoft Office Word</Application>
  <DocSecurity>12</DocSecurity>
  <Lines>135</Lines>
  <Paragraphs>37</Paragraphs>
  <ScaleCrop>false</ScaleCrop>
  <Company>ESMA</Company>
  <LinksUpToDate>false</LinksUpToDate>
  <CharactersWithSpaces>18956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Serena Nardelli</cp:lastModifiedBy>
  <cp:revision>2</cp:revision>
  <cp:lastPrinted>2015-02-18T11:01:00Z</cp:lastPrinted>
  <dcterms:created xsi:type="dcterms:W3CDTF">2025-07-02T10:07:00Z</dcterms:created>
  <dcterms:modified xsi:type="dcterms:W3CDTF">2025-07-02T10:07:00Z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0x0101008D9E5D2C101BA04B85C7EB08C6516E40030200EF99A593C3F0614C8A5B6D644C171863</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y fmtid="{D5CDD505-2E9C-101B-9397-08002B2CF9AE}" pid="17" name="MSIP_Label_ac0b9ce6-6e99-42a1-af95-429494370cbc_Enabled">
    <vt:lpwstr>true</vt:lpwstr>
  </property>
  <property fmtid="{D5CDD505-2E9C-101B-9397-08002B2CF9AE}" pid="18" name="MSIP_Label_ac0b9ce6-6e99-42a1-af95-429494370cbc_SetDate">
    <vt:lpwstr>2025-07-01T08:50:54Z</vt:lpwstr>
  </property>
  <property fmtid="{D5CDD505-2E9C-101B-9397-08002B2CF9AE}" pid="19" name="MSIP_Label_ac0b9ce6-6e99-42a1-af95-429494370cbc_Method">
    <vt:lpwstr>Standard</vt:lpwstr>
  </property>
  <property fmtid="{D5CDD505-2E9C-101B-9397-08002B2CF9AE}" pid="20" name="MSIP_Label_ac0b9ce6-6e99-42a1-af95-429494370cbc_Name">
    <vt:lpwstr>ac0b9ce6-6e99-42a1-af95-429494370cbc</vt:lpwstr>
  </property>
  <property fmtid="{D5CDD505-2E9C-101B-9397-08002B2CF9AE}" pid="21" name="MSIP_Label_ac0b9ce6-6e99-42a1-af95-429494370cbc_SiteId">
    <vt:lpwstr>315b1ee5-c224-498b-871e-c140611d6d07</vt:lpwstr>
  </property>
  <property fmtid="{D5CDD505-2E9C-101B-9397-08002B2CF9AE}" pid="22" name="MSIP_Label_ac0b9ce6-6e99-42a1-af95-429494370cbc_ActionId">
    <vt:lpwstr>33864eac-5a8f-4f2c-bdc0-2f8d0727c0ff</vt:lpwstr>
  </property>
  <property fmtid="{D5CDD505-2E9C-101B-9397-08002B2CF9AE}" pid="23" name="MSIP_Label_ac0b9ce6-6e99-42a1-af95-429494370cbc_ContentBits">
    <vt:lpwstr>2</vt:lpwstr>
  </property>
  <property fmtid="{D5CDD505-2E9C-101B-9397-08002B2CF9AE}" pid="24" name="MSIP_Label_ac0b9ce6-6e99-42a1-af95-429494370cbc_Tag">
    <vt:lpwstr>10, 3, 0, 1</vt:lpwstr>
  </property>
</Properties>
</file>