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093B" w14:textId="32B52FE2"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Subtitle"/>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2"/>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12B66"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4"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ListParagraph"/>
        <w:numPr>
          <w:ilvl w:val="0"/>
          <w:numId w:val="35"/>
        </w:numPr>
        <w:contextualSpacing w:val="0"/>
      </w:pPr>
      <w:r w:rsidRPr="005B6B12">
        <w:t>respond to the question stated;</w:t>
      </w:r>
    </w:p>
    <w:p w14:paraId="73161343" w14:textId="77777777" w:rsidR="00E70E2E" w:rsidRPr="005B6B12" w:rsidRDefault="00E70E2E" w:rsidP="008F14FF">
      <w:pPr>
        <w:pStyle w:val="ListParagraph"/>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ListParagraph"/>
        <w:numPr>
          <w:ilvl w:val="0"/>
          <w:numId w:val="35"/>
        </w:numPr>
        <w:contextualSpacing w:val="0"/>
      </w:pPr>
      <w:r w:rsidRPr="005B6B12">
        <w:t>contain a clear rationale; and</w:t>
      </w:r>
    </w:p>
    <w:p w14:paraId="30D73002" w14:textId="77777777" w:rsidR="00E70E2E" w:rsidRPr="005B6B12" w:rsidRDefault="00E70E2E" w:rsidP="008F14FF">
      <w:pPr>
        <w:pStyle w:val="ListParagraph"/>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ListParagraph"/>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ListParagraph"/>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ListParagraph"/>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ListParagraph"/>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ListParagraph"/>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ListParagraph"/>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1" w:history="1">
        <w:r w:rsidRPr="005B6B12">
          <w:rPr>
            <w:rStyle w:val="Hyperlink"/>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2" w:history="1">
        <w:r w:rsidRPr="00EF0769">
          <w:rPr>
            <w:rStyle w:val="Hyperlink"/>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Hyperlink"/>
        </w:rPr>
        <w:t>‘</w:t>
      </w:r>
      <w:hyperlink r:id="rId23" w:history="1">
        <w:r>
          <w:rPr>
            <w:rStyle w:val="Hyperlink"/>
          </w:rPr>
          <w:t>Data protection</w:t>
        </w:r>
      </w:hyperlink>
      <w:r>
        <w:rPr>
          <w:rStyle w:val="Hyperlink"/>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Heading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shd w:val="clear" w:color="auto" w:fill="auto"/>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PlaceholderText"/>
            </w:rPr>
            <w:id w:val="651570699"/>
            <w:text/>
          </w:sdtPr>
          <w:sdtContent>
            <w:tc>
              <w:tcPr>
                <w:tcW w:w="5595" w:type="dxa"/>
                <w:shd w:val="clear" w:color="auto" w:fill="auto"/>
                <w:vAlign w:val="center"/>
              </w:tcPr>
              <w:p w14:paraId="633DB1B6" w14:textId="643302A0" w:rsidR="00C2682A" w:rsidRPr="00104E00" w:rsidRDefault="00AF6BA6" w:rsidP="00104E00">
                <w:pPr>
                  <w:jc w:val="left"/>
                  <w:rPr>
                    <w:rStyle w:val="PlaceholderText"/>
                  </w:rPr>
                </w:pPr>
                <w:r>
                  <w:rPr>
                    <w:rStyle w:val="PlaceholderText"/>
                  </w:rPr>
                  <w:t>FESE – Federation of European Securities Exchanges</w:t>
                </w:r>
              </w:p>
            </w:tc>
          </w:sdtContent>
        </w:sdt>
      </w:tr>
      <w:tr w:rsidR="00C2682A" w:rsidRPr="00AB6D88" w14:paraId="4FCCD8AE" w14:textId="77777777" w:rsidTr="00104E00">
        <w:tc>
          <w:tcPr>
            <w:tcW w:w="3929" w:type="dxa"/>
            <w:shd w:val="clear" w:color="auto" w:fill="auto"/>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shd w:val="clear" w:color="auto" w:fill="auto"/>
            <w:vAlign w:val="center"/>
          </w:tcPr>
          <w:p w14:paraId="097104AB" w14:textId="6146D341" w:rsidR="00C2682A" w:rsidRPr="00104E00" w:rsidRDefault="00000000"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sidR="004100F8">
                  <w:t>Regulated markets/Exchanges/Trading Systems</w:t>
                </w:r>
              </w:sdtContent>
            </w:sdt>
          </w:p>
        </w:tc>
      </w:tr>
      <w:tr w:rsidR="00C2682A" w:rsidRPr="00AB6D88" w14:paraId="002F17D3" w14:textId="77777777" w:rsidTr="00104E00">
        <w:tc>
          <w:tcPr>
            <w:tcW w:w="3929" w:type="dxa"/>
            <w:shd w:val="clear" w:color="auto" w:fill="auto"/>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1"/>
              <w14:checkedState w14:val="2612" w14:font="MS Gothic"/>
              <w14:uncheckedState w14:val="2610" w14:font="MS Gothic"/>
            </w14:checkbox>
          </w:sdtPr>
          <w:sdtContent>
            <w:tc>
              <w:tcPr>
                <w:tcW w:w="5595" w:type="dxa"/>
                <w:shd w:val="clear" w:color="auto" w:fill="auto"/>
                <w:vAlign w:val="center"/>
              </w:tcPr>
              <w:p w14:paraId="4BD68813" w14:textId="4E23C49B" w:rsidR="00C2682A" w:rsidRPr="00104E00" w:rsidRDefault="004100F8" w:rsidP="00104E00">
                <w:pPr>
                  <w:jc w:val="left"/>
                </w:pPr>
                <w:r>
                  <w:rPr>
                    <w:rFonts w:ascii="MS Gothic" w:eastAsia="MS Gothic" w:hAnsi="MS Gothic" w:hint="eastAsia"/>
                  </w:rPr>
                  <w:t>☒</w:t>
                </w:r>
              </w:p>
            </w:tc>
          </w:sdtContent>
        </w:sdt>
      </w:tr>
      <w:tr w:rsidR="00C2682A" w:rsidRPr="00AB6D88" w14:paraId="7E0C510F" w14:textId="77777777" w:rsidTr="00104E00">
        <w:tc>
          <w:tcPr>
            <w:tcW w:w="3929" w:type="dxa"/>
            <w:shd w:val="clear" w:color="auto" w:fill="auto"/>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vAlign w:val="center"/>
              </w:tcPr>
              <w:p w14:paraId="204E7C89" w14:textId="007389E1" w:rsidR="00C2682A" w:rsidRPr="00104E00" w:rsidRDefault="004100F8" w:rsidP="00104E00">
                <w:pPr>
                  <w:jc w:val="left"/>
                </w:pPr>
                <w:r>
                  <w:t>Belgium</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Heading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590E6408" w14:textId="77777777" w:rsidR="00574AE4" w:rsidRDefault="00574AE4" w:rsidP="00574AE4">
      <w:permStart w:id="651311428" w:edGrp="everyone"/>
      <w:r w:rsidRPr="00DD7E47">
        <w:t xml:space="preserve">FESE is in favour of moving towards a more static definition of liquidity to simplify the regime. In some cases, exchanges already apply higher LIS thresholds for pre-trade transparency, as the liquidity aspect of certain asset classes is deemed satisfactory. Overall, this increases market transparency. </w:t>
      </w:r>
    </w:p>
    <w:p w14:paraId="749A37E5" w14:textId="182067CB" w:rsidR="00131ECC" w:rsidRDefault="00574AE4" w:rsidP="00574AE4">
      <w:r>
        <w:t>We note that ESMA has clarified the limitations of its Level 1 mandate and welcome the resulting legal certainty regarding the scope of pre-trade transparency obligations. FESE</w:t>
      </w:r>
      <w:r w:rsidRPr="00F46E3C">
        <w:t xml:space="preserve"> strongly supports the </w:t>
      </w:r>
      <w:r>
        <w:t xml:space="preserve">general </w:t>
      </w:r>
      <w:r w:rsidRPr="00F46E3C">
        <w:t>objectives of the pre-trade transparency regime, particularly the promotion of trading via CLOBs</w:t>
      </w:r>
      <w:r>
        <w:t>. E</w:t>
      </w:r>
      <w:r w:rsidRPr="00F46E3C">
        <w:t xml:space="preserve">xchanges </w:t>
      </w:r>
      <w:r>
        <w:t>would be able to</w:t>
      </w:r>
      <w:r w:rsidRPr="00F46E3C">
        <w:t xml:space="preserve"> calibrate their </w:t>
      </w:r>
      <w:r>
        <w:t xml:space="preserve">multitude of </w:t>
      </w:r>
      <w:r w:rsidRPr="00F46E3C">
        <w:t>systems to support this aim</w:t>
      </w:r>
      <w:r>
        <w:t xml:space="preserve">, setting parameters that would foster transparency. </w:t>
      </w:r>
      <w:r w:rsidRPr="003D4895">
        <w:t xml:space="preserve">In addition to the above, we would like to voice a similar critique to the size thresholds in pre-trade transparency as later on in more detail for post-trade transparency. The proposed 50% of post-trade threshold as </w:t>
      </w:r>
      <w:r>
        <w:t xml:space="preserve">a </w:t>
      </w:r>
      <w:r w:rsidRPr="003D4895">
        <w:t xml:space="preserve">pre-trade threshold would substantially increase the size thresholds for equity derivatives with </w:t>
      </w:r>
      <w:r>
        <w:t xml:space="preserve">a </w:t>
      </w:r>
      <w:r w:rsidRPr="003D4895">
        <w:t>low average daily notional amount. For equity instruments with the lowest ADNA ranges, the proposed thresholds for pre-trade L</w:t>
      </w:r>
      <w:r>
        <w:t>I</w:t>
      </w:r>
      <w:r w:rsidRPr="003D4895">
        <w:t>S waivers would be 50x of the current L</w:t>
      </w:r>
      <w:r>
        <w:t>I</w:t>
      </w:r>
      <w:r w:rsidRPr="003D4895">
        <w:t>S threshold</w:t>
      </w:r>
      <w:r>
        <w:t>,</w:t>
      </w:r>
      <w:r w:rsidRPr="003D4895">
        <w:t xml:space="preserve"> effectively banning those products from waiving pre-trade transparency in a CLOB. Consequently, we strongly suggest reintroducing ADNA-ranges for equity products as a granularity predictor for pre-trade size thresholds as a </w:t>
      </w:r>
      <w:r>
        <w:t>means</w:t>
      </w:r>
      <w:r w:rsidRPr="003D4895">
        <w:t xml:space="preserve"> to maintain the same size of pre-trade L</w:t>
      </w:r>
      <w:r>
        <w:t>I</w:t>
      </w:r>
      <w:r w:rsidRPr="003D4895">
        <w:t xml:space="preserve">S waivers. </w:t>
      </w:r>
      <w:r>
        <w:t>Conversely</w:t>
      </w:r>
      <w:r w:rsidRPr="003D4895">
        <w:t xml:space="preserve">, we suggest </w:t>
      </w:r>
      <w:r>
        <w:t>orienting</w:t>
      </w:r>
      <w:r w:rsidRPr="003D4895">
        <w:t xml:space="preserve"> on the old floor thresholds for pre-trade CLOB-only interest rate derivatives waivers. Here, the proposed L</w:t>
      </w:r>
      <w:r>
        <w:t>I</w:t>
      </w:r>
      <w:r w:rsidRPr="003D4895">
        <w:t>S thresholds are substantially lower than the previous L</w:t>
      </w:r>
      <w:r>
        <w:t>I</w:t>
      </w:r>
      <w:r w:rsidRPr="003D4895">
        <w:t>S waivers</w:t>
      </w:r>
      <w:r>
        <w:t>,</w:t>
      </w:r>
      <w:r w:rsidRPr="003D4895">
        <w:t xml:space="preserve"> with decreases down to a tenth of the previous threshold.</w:t>
      </w:r>
    </w:p>
    <w:permEnd w:id="651311428"/>
    <w:p w14:paraId="5B5F517D" w14:textId="77777777" w:rsidR="00131ECC" w:rsidRDefault="00131ECC" w:rsidP="00131ECC">
      <w:r>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t>&lt;ESMA_QUESTION_DERI_2&gt;</w:t>
      </w:r>
    </w:p>
    <w:p w14:paraId="0E099532" w14:textId="7E79E244" w:rsidR="00131ECC" w:rsidRDefault="00F71E0E" w:rsidP="00131ECC">
      <w:permStart w:id="1252945268" w:edGrp="everyone"/>
      <w:r>
        <w:t xml:space="preserve">FESE </w:t>
      </w:r>
      <w:r w:rsidRPr="00E52EC6">
        <w:t>supports the proposed amendments to Table 2 (Fields) of Annex II of RTS 2.</w:t>
      </w:r>
      <w:r>
        <w:t xml:space="preserve"> </w:t>
      </w:r>
      <w:r w:rsidRPr="00E52EC6">
        <w:t>Regarding Table 3 (Flags) of Annex II of RTS</w:t>
      </w:r>
      <w:r>
        <w:t xml:space="preserve"> </w:t>
      </w:r>
      <w:r w:rsidRPr="00E52EC6">
        <w:t xml:space="preserve">2, </w:t>
      </w:r>
      <w:r>
        <w:t>FESE</w:t>
      </w:r>
      <w:r w:rsidRPr="00E52EC6">
        <w:t xml:space="preserve"> agrees that the post-trade transparency flags for derivatives should be aligned with the new post-trade transparency regime established by the </w:t>
      </w:r>
      <w:proofErr w:type="spellStart"/>
      <w:r w:rsidRPr="00E52EC6">
        <w:t>MiFIR</w:t>
      </w:r>
      <w:proofErr w:type="spellEnd"/>
      <w:r w:rsidRPr="00E52EC6">
        <w:t xml:space="preserve"> </w:t>
      </w:r>
      <w:r>
        <w:t>review</w:t>
      </w:r>
      <w:r w:rsidRPr="00E52EC6">
        <w:t>. We are in favour of standardising</w:t>
      </w:r>
      <w:r>
        <w:t xml:space="preserve"> </w:t>
      </w:r>
      <w:r w:rsidRPr="00E52EC6">
        <w:t>and aligning the post-trade deferral flags, which were already introduced for bonds, to include derivatives as well.</w:t>
      </w:r>
    </w:p>
    <w:permEnd w:id="1252945268"/>
    <w:p w14:paraId="20AD4B4D" w14:textId="77777777"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t>&lt;ESMA_QUESTION_DERI_3&gt;</w:t>
      </w:r>
    </w:p>
    <w:p w14:paraId="0702506E" w14:textId="1044A22F" w:rsidR="00131ECC" w:rsidRDefault="00680F63" w:rsidP="00131ECC">
      <w:permStart w:id="1795046886" w:edGrp="everyone"/>
      <w:r w:rsidRPr="00DD7E47">
        <w:t>FESE believes that the current definition of the concept of “as close to real-time as technically possible” works well and as intended. We do not see a need or reason to change it.</w:t>
      </w:r>
    </w:p>
    <w:permEnd w:id="1795046886"/>
    <w:p w14:paraId="7ED44A13" w14:textId="77777777" w:rsidR="00131ECC" w:rsidRDefault="00131ECC" w:rsidP="00131ECC">
      <w:r>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t>Do you agree with the general approach described above?</w:t>
      </w:r>
    </w:p>
    <w:p w14:paraId="7F867594" w14:textId="77777777" w:rsidR="00131ECC" w:rsidRDefault="00131ECC" w:rsidP="00131ECC">
      <w:r>
        <w:t>&lt;ESMA_QUESTION_DERI_4&gt;</w:t>
      </w:r>
    </w:p>
    <w:p w14:paraId="46AFEA60" w14:textId="77777777" w:rsidR="00496815" w:rsidRDefault="00496815" w:rsidP="00496815">
      <w:permStart w:id="97283499" w:edGrp="everyone"/>
      <w:r w:rsidRPr="00DD7E47">
        <w:t xml:space="preserve">FESE overall appreciates the general approach in granting the possibility of maintaining a similar post-trade transparency regime for many venues due to sufficient granularity and a </w:t>
      </w:r>
      <w:r>
        <w:t>floor orientation</w:t>
      </w:r>
      <w:r w:rsidRPr="00DD7E47">
        <w:t xml:space="preserve"> in case of instrument categories being bundled together. Nevertheless, in certain equity derivatives (EDs), the new regime, in </w:t>
      </w:r>
      <w:r>
        <w:t xml:space="preserve">the </w:t>
      </w:r>
      <w:r w:rsidRPr="00DD7E47">
        <w:t xml:space="preserve">absence of ADNA ranges, has led to substantial increases in the size thresholds for </w:t>
      </w:r>
      <w:proofErr w:type="spellStart"/>
      <w:r w:rsidRPr="00DD7E47">
        <w:t>interday</w:t>
      </w:r>
      <w:proofErr w:type="spellEnd"/>
      <w:r w:rsidRPr="00DD7E47">
        <w:t xml:space="preserve"> deferrals. Particularly for products with low ADNAs and short time to </w:t>
      </w:r>
      <w:r>
        <w:t>maturity</w:t>
      </w:r>
      <w:r w:rsidRPr="00DD7E47">
        <w:t>, the new regime impedes the deferral handling substantially. Thus, either a floor orientation of the size thresholds, similar to the one in the interest rate, FX, or credit derivatives</w:t>
      </w:r>
      <w:r>
        <w:t>,</w:t>
      </w:r>
      <w:r w:rsidRPr="00DD7E47">
        <w:t xml:space="preserve"> or more granularity is warranted.</w:t>
      </w:r>
    </w:p>
    <w:p w14:paraId="64599F88" w14:textId="65BF3725" w:rsidR="00131ECC" w:rsidRDefault="00496815" w:rsidP="00496815">
      <w:r w:rsidRPr="00DD7E47">
        <w:t xml:space="preserve">With reference to section 3.4.3.3.10, FESE would like to stress that it fully </w:t>
      </w:r>
      <w:r>
        <w:t>supports</w:t>
      </w:r>
      <w:r w:rsidRPr="00DD7E47">
        <w:t xml:space="preserve"> ESMA’s proposal concerning the deferral durations </w:t>
      </w:r>
      <w:r>
        <w:t>for</w:t>
      </w:r>
      <w:r w:rsidRPr="00DD7E47">
        <w:t xml:space="preserve"> each category. T+2 should, indeed, be the maximum time allowed for deferred publication of post-trade data. FESE also welcomes very much the understanding that deferrals should be used by market participants to allow them time to hedge their positions. Deferrals should not be understood as a tool for participants to fully trade out their positions.</w:t>
      </w:r>
    </w:p>
    <w:permEnd w:id="97283499"/>
    <w:p w14:paraId="5D4A0C7B" w14:textId="77777777" w:rsidR="00131ECC" w:rsidRDefault="00131ECC" w:rsidP="00131ECC">
      <w:r>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t>Which option do you prefer for the liquidity assessment for equity exchange-traded derivatives, option A, option B, option C or another alternative?</w:t>
      </w:r>
    </w:p>
    <w:p w14:paraId="6BD0F16E" w14:textId="77777777" w:rsidR="00131ECC" w:rsidRDefault="00131ECC" w:rsidP="00131ECC">
      <w:r>
        <w:t>&lt;ESMA_QUESTION_DERI_5&gt;</w:t>
      </w:r>
    </w:p>
    <w:p w14:paraId="49319BE1" w14:textId="77777777" w:rsidR="00307983" w:rsidRPr="00DD7E47" w:rsidRDefault="00307983" w:rsidP="00307983">
      <w:pPr>
        <w:rPr>
          <w:rFonts w:eastAsia="Times New Roman"/>
        </w:rPr>
      </w:pPr>
      <w:permStart w:id="1086263988" w:edGrp="everyone"/>
      <w:r w:rsidRPr="00DD7E47">
        <w:lastRenderedPageBreak/>
        <w:t xml:space="preserve">The currently applicable transparency regime for ETDs is considered satisfactory, especially on the equity derivatives side. </w:t>
      </w:r>
      <w:r w:rsidRPr="00DD7E47">
        <w:rPr>
          <w:rFonts w:eastAsia="Times New Roman"/>
        </w:rPr>
        <w:t xml:space="preserve">FESE is in favour of a much simpler regime to be applied, which would bring clarity for exchanges’ members and increase transparency. </w:t>
      </w:r>
    </w:p>
    <w:p w14:paraId="49CAF130" w14:textId="0F35DBEF" w:rsidR="00131ECC" w:rsidRDefault="00307983" w:rsidP="00307983">
      <w:r w:rsidRPr="007006AA">
        <w:rPr>
          <w:b/>
          <w:bCs/>
        </w:rPr>
        <w:t>FESE agrees with ESMA's preference for option C.</w:t>
      </w:r>
      <w:r w:rsidRPr="007006AA">
        <w:t xml:space="preserve"> Ultimately, opting for the more granular assessment leaves more flexibility to the trading venues</w:t>
      </w:r>
      <w:r>
        <w:t>,</w:t>
      </w:r>
      <w:r w:rsidRPr="007006AA">
        <w:t xml:space="preserve"> which can react swiftly to changing customer demand while the regulation sets the boundaries of the flexibility. However, we find it fundamental to apply granularity in an adequate way. Market capitali</w:t>
      </w:r>
      <w:r>
        <w:t>s</w:t>
      </w:r>
      <w:r w:rsidRPr="003D6F32">
        <w:t>ation of firms and thus ADNA of single stock products vary substantially. Among the three options considered, none assesses this dimension. In the past post-trade deferral regime, LIS and SSTI thresholds had different granularity bands depending on the ADNA of a given product class. In the new regime, granularity stems entirely from the liquidity assessment. Thus, we find it essential to consider ADNA ranges in the liquidity assessment, even if not with the same granularity as before.</w:t>
      </w:r>
    </w:p>
    <w:permEnd w:id="1086263988"/>
    <w:p w14:paraId="09938B64" w14:textId="77777777" w:rsidR="00131ECC" w:rsidRDefault="00131ECC" w:rsidP="00131ECC">
      <w:r>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346A5E11" w14:textId="23F9655E" w:rsidR="00131ECC" w:rsidRDefault="00BE6747" w:rsidP="00131ECC">
      <w:permStart w:id="1304631682" w:edGrp="everyone"/>
      <w:r w:rsidRPr="007006AA">
        <w:rPr>
          <w:b/>
          <w:bCs/>
        </w:rPr>
        <w:t>FESE has a preference for option B.</w:t>
      </w:r>
      <w:r w:rsidRPr="007006AA">
        <w:t xml:space="preserve"> In line with our argumentation for the previous question, conducting a more granular assessment of liquidity in instruments strengthens the flexibility that trading venues have in accompanying their customers</w:t>
      </w:r>
      <w:r w:rsidRPr="00DD7E47">
        <w:t>’</w:t>
      </w:r>
      <w:r w:rsidRPr="007006AA">
        <w:t xml:space="preserve"> needs.</w:t>
      </w:r>
      <w:r w:rsidRPr="00DD7E47">
        <w:t> </w:t>
      </w:r>
    </w:p>
    <w:permEnd w:id="1304631682"/>
    <w:p w14:paraId="6FA788B7" w14:textId="77777777"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1AC272C5" w14:textId="77777777" w:rsidR="0054227B" w:rsidRDefault="0054227B" w:rsidP="0054227B">
      <w:permStart w:id="93025034" w:edGrp="everyone"/>
      <w:r w:rsidRPr="00E52EC6">
        <w:t xml:space="preserve">We support ESMA’s </w:t>
      </w:r>
      <w:r w:rsidRPr="00CB625E">
        <w:t xml:space="preserve">simplified </w:t>
      </w:r>
      <w:r w:rsidRPr="00E52EC6">
        <w:t xml:space="preserve">proposal on liquidity assessment for commodity and emission derivatives </w:t>
      </w:r>
      <w:r w:rsidRPr="00AC7D30">
        <w:t>and the sought after balance between complexity of asset classes and a coherent methodology.</w:t>
      </w:r>
    </w:p>
    <w:p w14:paraId="4CDB0982" w14:textId="30B9AD62" w:rsidR="00131ECC" w:rsidRDefault="0054227B" w:rsidP="0054227B">
      <w:r>
        <w:t xml:space="preserve">FESE nonetheless </w:t>
      </w:r>
      <w:r w:rsidRPr="00E52EC6">
        <w:t>highlight</w:t>
      </w:r>
      <w:r>
        <w:t>s</w:t>
      </w:r>
      <w:r w:rsidRPr="00E52EC6">
        <w:t xml:space="preserve"> challenges in applying it uniformly</w:t>
      </w:r>
      <w:r>
        <w:t>.</w:t>
      </w:r>
      <w:r w:rsidRPr="00E52EC6">
        <w:t xml:space="preserve"> </w:t>
      </w:r>
      <w:r>
        <w:t xml:space="preserve">Commodity, and </w:t>
      </w:r>
      <w:r w:rsidRPr="00E52EC6">
        <w:t>especially electricity and gas</w:t>
      </w:r>
      <w:r>
        <w:t>, derivatives markets are highly dynamic in their development and liquidity profiles. Uniform</w:t>
      </w:r>
      <w:r w:rsidRPr="00E52EC6">
        <w:t xml:space="preserve"> </w:t>
      </w:r>
      <w:r>
        <w:t>m</w:t>
      </w:r>
      <w:r w:rsidRPr="00E52EC6">
        <w:t xml:space="preserve">etrics </w:t>
      </w:r>
      <w:r>
        <w:t xml:space="preserve">and static assessments </w:t>
      </w:r>
      <w:r w:rsidRPr="00E52EC6">
        <w:t xml:space="preserve">may not reflect true liquidity in </w:t>
      </w:r>
      <w:r>
        <w:t>all</w:t>
      </w:r>
      <w:r w:rsidRPr="00E52EC6">
        <w:t xml:space="preserve"> markets.</w:t>
      </w:r>
      <w:r>
        <w:t xml:space="preserve"> </w:t>
      </w:r>
      <w:r w:rsidRPr="001B609B">
        <w:t xml:space="preserve">Therefore, we </w:t>
      </w:r>
      <w:r w:rsidRPr="001B609B">
        <w:lastRenderedPageBreak/>
        <w:t>caution against an overly static approach and encourage ESMA to allow for timely re-assessments of a specific category, when relevant.</w:t>
      </w:r>
    </w:p>
    <w:permEnd w:id="93025034"/>
    <w:p w14:paraId="0A08A54F" w14:textId="77777777" w:rsidR="00131ECC" w:rsidRDefault="00131ECC" w:rsidP="00131ECC">
      <w:r>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t>Do you agree with the liquidity assessment for the following ETD asset classes: FX, Credit, securitised derivatives and other derivatives?</w:t>
      </w:r>
    </w:p>
    <w:p w14:paraId="776F8458" w14:textId="77777777" w:rsidR="00131ECC" w:rsidRDefault="00131ECC" w:rsidP="00131ECC">
      <w:r>
        <w:t>&lt;ESMA_QUESTION_DERI_8&gt;</w:t>
      </w:r>
    </w:p>
    <w:p w14:paraId="0C351F14" w14:textId="17D511E8" w:rsidR="00131ECC" w:rsidRDefault="006150DB" w:rsidP="00131ECC">
      <w:permStart w:id="705578859" w:edGrp="everyone"/>
      <w:r w:rsidRPr="00DD7E47">
        <w:t xml:space="preserve">FESE welcomes that for FX, credit, and other derivatives, the liquidity assessed does not change compared with the currently applicable RTS 2 text. </w:t>
      </w:r>
      <w:r w:rsidRPr="007006AA">
        <w:t>The proposed assessment as illiquid grant the flexibility to decide on this to the exchanges which we appreciate.</w:t>
      </w:r>
    </w:p>
    <w:permEnd w:id="705578859"/>
    <w:p w14:paraId="6CF60686" w14:textId="77777777"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t>Regarding the size thresholds for the deferral regime of Equity exchange traded derivatives, which option do you prefer?</w:t>
      </w:r>
    </w:p>
    <w:p w14:paraId="755D6578" w14:textId="77777777" w:rsidR="00131ECC" w:rsidRDefault="00131ECC" w:rsidP="00131ECC">
      <w:r>
        <w:t>&lt;ESMA_QUESTION_DERI_9&gt;</w:t>
      </w:r>
    </w:p>
    <w:p w14:paraId="7FA82242" w14:textId="77777777" w:rsidR="00086F74" w:rsidRPr="00DD7E47" w:rsidRDefault="00086F74" w:rsidP="00086F74">
      <w:permStart w:id="1464080814" w:edGrp="everyone"/>
      <w:r w:rsidRPr="007006AA">
        <w:t xml:space="preserve">As indicated in </w:t>
      </w:r>
      <w:r>
        <w:t>Q</w:t>
      </w:r>
      <w:r w:rsidRPr="003D6F32">
        <w:t>5, FESE agree</w:t>
      </w:r>
      <w:r>
        <w:t>s</w:t>
      </w:r>
      <w:r w:rsidRPr="007006AA">
        <w:t xml:space="preserve"> with ESMA's proposal for option </w:t>
      </w:r>
      <w:r>
        <w:t>C</w:t>
      </w:r>
      <w:r w:rsidRPr="007006AA">
        <w:t xml:space="preserve">. However, either option between </w:t>
      </w:r>
      <w:r>
        <w:t>A</w:t>
      </w:r>
      <w:r w:rsidRPr="003D6F32">
        <w:t>,</w:t>
      </w:r>
      <w:r w:rsidRPr="00DD7E47">
        <w:t xml:space="preserve"> </w:t>
      </w:r>
      <w:r>
        <w:t>B</w:t>
      </w:r>
      <w:r w:rsidRPr="003D6F32">
        <w:t xml:space="preserve">, or </w:t>
      </w:r>
      <w:r>
        <w:t>C</w:t>
      </w:r>
      <w:r w:rsidRPr="003D6F32">
        <w:t xml:space="preserve"> implies </w:t>
      </w:r>
      <w:r w:rsidRPr="00DD7E47">
        <w:t xml:space="preserve">the least liquid equity derivatives with remaining time to maturity below the threshold experience substantial size threshold increases for their </w:t>
      </w:r>
      <w:proofErr w:type="spellStart"/>
      <w:r w:rsidRPr="00DD7E47">
        <w:t>interday</w:t>
      </w:r>
      <w:proofErr w:type="spellEnd"/>
      <w:r w:rsidRPr="00DD7E47">
        <w:t xml:space="preserve"> (e.g. T+1 or T+2) deferrals. For instance, each of the stock index or single stock futures and options in the current bottom ADNA ranges would experience increases beyond 100% and up to tenfold. Even for the next ADNA range category, for products below the maturity threshold can be between 2/3 increases and threefold. Also, for volatility index futures below 3 months, the </w:t>
      </w:r>
      <w:r>
        <w:t>intraday</w:t>
      </w:r>
      <w:r w:rsidRPr="00DD7E47">
        <w:t xml:space="preserve"> threshold for the lowest ADNA ranges increases to threefold.</w:t>
      </w:r>
    </w:p>
    <w:p w14:paraId="1B0AA741" w14:textId="70372AFF" w:rsidR="00131ECC" w:rsidRDefault="00086F74" w:rsidP="00086F74">
      <w:r w:rsidRPr="00DD7E47">
        <w:t xml:space="preserve">As such, </w:t>
      </w:r>
      <w:r>
        <w:t>FESE</w:t>
      </w:r>
      <w:r w:rsidRPr="00DD7E47">
        <w:t xml:space="preserve"> propose</w:t>
      </w:r>
      <w:r>
        <w:t>s</w:t>
      </w:r>
      <w:r w:rsidRPr="00DD7E47">
        <w:t xml:space="preserve"> to either reinclude ADNA ranges, albeit in a simpler form with only two ranges, or </w:t>
      </w:r>
      <w:r>
        <w:t>orient</w:t>
      </w:r>
      <w:r w:rsidRPr="00DD7E47">
        <w:t xml:space="preserve"> the entire size threshold methodology on the floor thresholds as are done for interest rate, credit, and FX derivatives.</w:t>
      </w:r>
    </w:p>
    <w:permEnd w:id="1464080814"/>
    <w:p w14:paraId="02BF296E" w14:textId="77777777" w:rsidR="00131ECC" w:rsidRDefault="00131ECC" w:rsidP="00131ECC">
      <w:r>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lastRenderedPageBreak/>
        <w:t>&lt;ESMA_QUESTION_DERI_10&gt;</w:t>
      </w:r>
    </w:p>
    <w:p w14:paraId="184FB675" w14:textId="2709B59D" w:rsidR="00131ECC" w:rsidRDefault="00147382" w:rsidP="00131ECC">
      <w:permStart w:id="1449010517" w:edGrp="everyone"/>
      <w:r w:rsidRPr="007006AA">
        <w:t xml:space="preserve">Congruent to our answer to </w:t>
      </w:r>
      <w:r>
        <w:t>Q</w:t>
      </w:r>
      <w:r w:rsidRPr="003D6F32">
        <w:t xml:space="preserve">6, </w:t>
      </w:r>
      <w:r w:rsidRPr="007006AA">
        <w:rPr>
          <w:b/>
          <w:bCs/>
        </w:rPr>
        <w:t>FESE has a preference for option B</w:t>
      </w:r>
      <w:r w:rsidRPr="007006AA">
        <w:t xml:space="preserve"> due to the increased flexibility to trading venues. </w:t>
      </w:r>
      <w:r w:rsidRPr="00DD7E47">
        <w:t>We</w:t>
      </w:r>
      <w:r w:rsidRPr="007006AA">
        <w:t xml:space="preserve"> appreciate the opportunity this creates to react more swiftly to trading member desires than previously</w:t>
      </w:r>
      <w:r>
        <w:t>,</w:t>
      </w:r>
      <w:r w:rsidRPr="007006AA">
        <w:t xml:space="preserve"> with the higher size thresholds accompanied by classifying more instruments as liquid.</w:t>
      </w:r>
      <w:r w:rsidRPr="00DD7E47">
        <w:t> </w:t>
      </w:r>
    </w:p>
    <w:permEnd w:id="1449010517"/>
    <w:p w14:paraId="45175C14" w14:textId="77777777"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6C104FF2" w14:textId="3A133E6A" w:rsidR="00131ECC" w:rsidRDefault="00CA5D2E" w:rsidP="00131ECC">
      <w:permStart w:id="1274550268" w:edGrp="everyone"/>
      <w:r>
        <w:t xml:space="preserve">FESE </w:t>
      </w:r>
      <w:r w:rsidRPr="00697B42">
        <w:t xml:space="preserve">agrees with ESMA’s proposed size thresholds for the deferral regime of commodity and emission derivatives. </w:t>
      </w:r>
      <w:r>
        <w:t>We</w:t>
      </w:r>
      <w:r w:rsidRPr="00697B42">
        <w:t xml:space="preserve"> support using the current LIS threshold for liquid classes and a cap for less liquid ones. For illiquid classes, </w:t>
      </w:r>
      <w:r>
        <w:t>we</w:t>
      </w:r>
      <w:r w:rsidRPr="00697B42">
        <w:t xml:space="preserve"> welcome the simplified 200,000 EUR threshold.</w:t>
      </w:r>
    </w:p>
    <w:permEnd w:id="1274550268"/>
    <w:p w14:paraId="48D7E7C2" w14:textId="77777777" w:rsidR="00131ECC" w:rsidRDefault="00131ECC" w:rsidP="00131ECC">
      <w:r>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t>Do you agree with the size thresholds for the deferral regime of the following ETD asset classes: FX, Credit, securitised derivatives and other derivatives?</w:t>
      </w:r>
    </w:p>
    <w:p w14:paraId="499F1966" w14:textId="77777777" w:rsidR="00131ECC" w:rsidRDefault="00131ECC" w:rsidP="00131ECC">
      <w:r>
        <w:t>&lt;ESMA_QUESTION_DERI_12&gt;</w:t>
      </w:r>
    </w:p>
    <w:p w14:paraId="2DF9B880" w14:textId="77777777" w:rsidR="00E87AFB" w:rsidRPr="00DD7E47" w:rsidRDefault="00E87AFB" w:rsidP="00E87AFB">
      <w:permStart w:id="1248143207" w:edGrp="everyone"/>
      <w:r w:rsidRPr="00DD7E47">
        <w:t xml:space="preserve">As indicated in Q8 </w:t>
      </w:r>
      <w:r>
        <w:t>of the liquidity assessment, FESE appreciates the continued classification of</w:t>
      </w:r>
      <w:r w:rsidRPr="00DD7E47">
        <w:t xml:space="preserve"> FX, Credit, and other derivatives as illiquid.</w:t>
      </w:r>
    </w:p>
    <w:p w14:paraId="779E49F3" w14:textId="6027DC97" w:rsidR="00131ECC" w:rsidRDefault="00E87AFB" w:rsidP="00E87AFB">
      <w:r w:rsidRPr="00DD7E47">
        <w:t xml:space="preserve">However, we would </w:t>
      </w:r>
      <w:r>
        <w:t>encourage</w:t>
      </w:r>
      <w:r w:rsidRPr="00DD7E47">
        <w:t xml:space="preserve"> ESMA to clarify the size threshold for "other derivatives". From our perspective, the new regime implies that any instrument has a </w:t>
      </w:r>
      <w:r>
        <w:t>size threshold</w:t>
      </w:r>
      <w:r w:rsidRPr="00DD7E47">
        <w:t xml:space="preserve"> for deferral after which a transaction may be deferred according to the associated maximum deferral time</w:t>
      </w:r>
      <w:r>
        <w:t>,</w:t>
      </w:r>
      <w:r w:rsidRPr="00DD7E47">
        <w:t xml:space="preserve"> while below the threshold a transaction has to be published. As such, it is of </w:t>
      </w:r>
      <w:r>
        <w:t>utmost</w:t>
      </w:r>
      <w:r w:rsidRPr="00DD7E47">
        <w:t xml:space="preserve"> importance to specify at least one threshold for every type of instrument. Otherwise, the given instrument without a threshold can never be deferred. Accordingly, we would </w:t>
      </w:r>
      <w:r>
        <w:t>encourage</w:t>
      </w:r>
      <w:r w:rsidRPr="00DD7E47">
        <w:t xml:space="preserve"> ESMA to specify the relevant size threshold for other derivatives.</w:t>
      </w:r>
    </w:p>
    <w:permEnd w:id="1248143207"/>
    <w:p w14:paraId="0E87DEB3" w14:textId="77777777" w:rsidR="00131ECC" w:rsidRDefault="00131ECC" w:rsidP="00131ECC">
      <w:r>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lastRenderedPageBreak/>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t>&lt;ESMA_QUESTION_DERI_13&gt;</w:t>
      </w:r>
    </w:p>
    <w:p w14:paraId="1A192CAB" w14:textId="77777777" w:rsidR="00131ECC" w:rsidRDefault="00131ECC" w:rsidP="00131ECC">
      <w:permStart w:id="24068063" w:edGrp="everyone"/>
      <w:r>
        <w:t>TYPE YOUR TEXT HERE</w:t>
      </w:r>
    </w:p>
    <w:permEnd w:id="24068063"/>
    <w:p w14:paraId="52D34A34" w14:textId="77777777"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7E424709" w14:textId="77777777" w:rsidR="00131ECC" w:rsidRDefault="00131ECC" w:rsidP="00131ECC">
      <w:permStart w:id="517684992" w:edGrp="everyone"/>
      <w:r>
        <w:t>TYPE YOUR TEXT HERE</w:t>
      </w:r>
    </w:p>
    <w:permEnd w:id="517684992"/>
    <w:p w14:paraId="4FAC3063" w14:textId="77777777"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t>&lt;ESMA_QUESTION_DERI_15&gt;</w:t>
      </w:r>
    </w:p>
    <w:p w14:paraId="36A9288F" w14:textId="77777777" w:rsidR="00131ECC" w:rsidRDefault="00131ECC" w:rsidP="00131ECC">
      <w:permStart w:id="121073060" w:edGrp="everyone"/>
      <w:r>
        <w:t>TYPE YOUR TEXT HERE</w:t>
      </w:r>
    </w:p>
    <w:permEnd w:id="121073060"/>
    <w:p w14:paraId="1285D1E4" w14:textId="77777777" w:rsidR="00131ECC" w:rsidRDefault="00131ECC" w:rsidP="00131ECC">
      <w:r>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t>Do you agree with the proposed deferral framework for OTC interest rate derivatives?</w:t>
      </w:r>
    </w:p>
    <w:p w14:paraId="54F6E039" w14:textId="77777777" w:rsidR="00131ECC" w:rsidRDefault="00131ECC" w:rsidP="00131ECC">
      <w:r>
        <w:t>&lt;ESMA_QUESTION_DERI_16&gt;</w:t>
      </w:r>
    </w:p>
    <w:p w14:paraId="1E04C6F2" w14:textId="77777777" w:rsidR="00131ECC" w:rsidRDefault="00131ECC" w:rsidP="00131ECC">
      <w:permStart w:id="857082364" w:edGrp="everyone"/>
      <w:r>
        <w:t>TYPE YOUR TEXT HERE</w:t>
      </w:r>
    </w:p>
    <w:permEnd w:id="857082364"/>
    <w:p w14:paraId="3850FC65" w14:textId="77777777" w:rsidR="00131ECC" w:rsidRDefault="00131ECC" w:rsidP="00131ECC">
      <w:r>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lastRenderedPageBreak/>
        <w:t>Do you agree with the proposed deferral framework for OTC single-name CDSs?</w:t>
      </w:r>
    </w:p>
    <w:p w14:paraId="58E804CD" w14:textId="77777777" w:rsidR="00131ECC" w:rsidRDefault="00131ECC" w:rsidP="00131ECC">
      <w:r>
        <w:t>&lt;ESMA_QUESTION_DERI_17&gt;</w:t>
      </w:r>
    </w:p>
    <w:p w14:paraId="580D179E" w14:textId="77777777" w:rsidR="00131ECC" w:rsidRDefault="00131ECC" w:rsidP="00131ECC">
      <w:permStart w:id="147460196" w:edGrp="everyone"/>
      <w:r>
        <w:t>TYPE YOUR TEXT HERE</w:t>
      </w:r>
    </w:p>
    <w:permEnd w:id="147460196"/>
    <w:p w14:paraId="094FFEDD" w14:textId="77777777" w:rsidR="00131ECC" w:rsidRDefault="00131ECC" w:rsidP="00131ECC">
      <w:r>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60B3EC74" w14:textId="77777777" w:rsidR="00131ECC" w:rsidRDefault="00131ECC" w:rsidP="00131ECC">
      <w:permStart w:id="796945462" w:edGrp="everyone"/>
      <w:r>
        <w:t>TYPE YOUR TEXT HERE</w:t>
      </w:r>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14148BF6" w14:textId="77777777" w:rsidR="00131ECC" w:rsidRDefault="00131ECC" w:rsidP="00131ECC">
      <w:permStart w:id="1089237461" w:edGrp="everyone"/>
      <w:r>
        <w:t>TYPE YOUR TEXT HERE</w:t>
      </w:r>
    </w:p>
    <w:permEnd w:id="1089237461"/>
    <w:p w14:paraId="734A1D67" w14:textId="77777777"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t>Do you agree with the proposed amendments to Articles 14 and 15 of RTS 2? Please explain.</w:t>
      </w:r>
      <w:r>
        <w:tab/>
      </w:r>
    </w:p>
    <w:p w14:paraId="76FFDF76" w14:textId="77777777" w:rsidR="00131ECC" w:rsidRDefault="00131ECC" w:rsidP="00131ECC">
      <w:r>
        <w:t>&lt;ESMA_QUESTION_DERI_20&gt;</w:t>
      </w:r>
    </w:p>
    <w:p w14:paraId="512CB597" w14:textId="77777777" w:rsidR="00131ECC" w:rsidRDefault="00131ECC" w:rsidP="00131ECC">
      <w:permStart w:id="1180527698" w:edGrp="everyone"/>
      <w:r>
        <w:t>TYPE YOUR TEXT HERE</w:t>
      </w:r>
    </w:p>
    <w:permEnd w:id="1180527698"/>
    <w:p w14:paraId="3B3F4848" w14:textId="77777777" w:rsidR="00131ECC" w:rsidRDefault="00131ECC" w:rsidP="00131ECC">
      <w:r>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t>Do you agree with the proposed amendments to CDR 2017/2194, the RTS on package orders? Please explain.</w:t>
      </w:r>
    </w:p>
    <w:p w14:paraId="1AD71825" w14:textId="77777777" w:rsidR="00131ECC" w:rsidRDefault="00131ECC" w:rsidP="00131ECC">
      <w:r>
        <w:t>&lt;ESMA_QUESTION_DERI_21&gt;</w:t>
      </w:r>
    </w:p>
    <w:p w14:paraId="49DD336F" w14:textId="77777777" w:rsidR="00317F4E" w:rsidRDefault="00317F4E" w:rsidP="00317F4E">
      <w:permStart w:id="1980902739" w:edGrp="everyone"/>
      <w:r>
        <w:lastRenderedPageBreak/>
        <w:t>In relation to ESMA’s approach to package orders, the revised scope of pre-trade transparency would imply that package orders identified as pre-arranged would fall outside the scope of the pre-trade transparency obligations.</w:t>
      </w:r>
    </w:p>
    <w:p w14:paraId="48C5FF02" w14:textId="460B1645" w:rsidR="00131ECC" w:rsidRDefault="00317F4E" w:rsidP="00317F4E">
      <w:r>
        <w:t>FESE</w:t>
      </w:r>
      <w:r w:rsidRPr="00431B1E">
        <w:t xml:space="preserve"> believes that if pre-trade transparency is limited exclusively to CLOBs, its practical relevance in cases involving, for example, on-screen strategies for package orders, must be questioned</w:t>
      </w:r>
      <w:r>
        <w:t xml:space="preserve"> </w:t>
      </w:r>
      <w:r w:rsidRPr="003407D0">
        <w:t>because, from a technical point of view, it is dubious whether pre-trade waivers in CLOB-only can be implemented</w:t>
      </w:r>
      <w:r>
        <w:t>. Furthermore, with the proposed removal of the liquidity assessment for pre-trade transparency, FESE considers it crucial to provide clarity on how the proposed framework would technically apply to package orders under the post-trade transparency regime.</w:t>
      </w:r>
    </w:p>
    <w:permEnd w:id="1980902739"/>
    <w:p w14:paraId="6ED4D913" w14:textId="77777777"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161DA439" w14:textId="77777777" w:rsidR="00131ECC" w:rsidRDefault="00131ECC" w:rsidP="00131ECC">
      <w:permStart w:id="1722902870" w:edGrp="everyone"/>
      <w:r>
        <w:t>TYPE YOUR TEXT HERE</w:t>
      </w:r>
    </w:p>
    <w:permEnd w:id="1722902870"/>
    <w:p w14:paraId="0A31DFF9" w14:textId="77777777" w:rsidR="00131ECC" w:rsidRDefault="00131ECC" w:rsidP="00131ECC">
      <w:r>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t>&lt;ESMA_QUESTION_DERI_23&gt;</w:t>
      </w:r>
    </w:p>
    <w:p w14:paraId="078C9BF8" w14:textId="77777777" w:rsidR="00131ECC" w:rsidRDefault="00131ECC" w:rsidP="00131ECC">
      <w:permStart w:id="467429827" w:edGrp="everyone"/>
      <w:r>
        <w:t>TYPE YOUR TEXT HERE</w:t>
      </w:r>
    </w:p>
    <w:permEnd w:id="467429827"/>
    <w:p w14:paraId="3848254D" w14:textId="77777777" w:rsidR="00131ECC" w:rsidRDefault="00131ECC" w:rsidP="00131ECC">
      <w:r>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FD1E1" w14:textId="77777777" w:rsidR="00BB61C2" w:rsidRDefault="00BB61C2" w:rsidP="00F716D4">
      <w:r>
        <w:separator/>
      </w:r>
    </w:p>
    <w:p w14:paraId="1C6379A2" w14:textId="77777777" w:rsidR="00BB61C2" w:rsidRDefault="00BB61C2" w:rsidP="00F716D4"/>
  </w:endnote>
  <w:endnote w:type="continuationSeparator" w:id="0">
    <w:p w14:paraId="7AAAE64A" w14:textId="77777777" w:rsidR="00BB61C2" w:rsidRDefault="00BB61C2" w:rsidP="00F716D4">
      <w:r>
        <w:continuationSeparator/>
      </w:r>
    </w:p>
    <w:p w14:paraId="0951A71D" w14:textId="77777777" w:rsidR="00BB61C2" w:rsidRDefault="00BB61C2" w:rsidP="00F716D4"/>
  </w:endnote>
  <w:endnote w:type="continuationNotice" w:id="1">
    <w:p w14:paraId="28AD53F0" w14:textId="77777777" w:rsidR="00BB61C2" w:rsidRDefault="00BB61C2"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Yu Gothic"/>
    <w:charset w:val="80"/>
    <w:family w:val="swiss"/>
    <w:pitch w:val="default"/>
  </w:font>
  <w:font w:name="EUAlbertin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E67" w14:textId="77777777" w:rsidR="002B65C8" w:rsidRDefault="002B6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BF42" w14:textId="0AE44582"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A8DA" w14:textId="77777777" w:rsidR="002B65C8" w:rsidRDefault="002B65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0197" w14:textId="6E4CB8C0"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3F0DE" w14:textId="77777777" w:rsidR="00BB61C2" w:rsidRDefault="00BB61C2" w:rsidP="00F716D4">
      <w:r>
        <w:separator/>
      </w:r>
    </w:p>
    <w:p w14:paraId="1A2C2C2C" w14:textId="77777777" w:rsidR="00BB61C2" w:rsidRDefault="00BB61C2" w:rsidP="00F716D4"/>
  </w:footnote>
  <w:footnote w:type="continuationSeparator" w:id="0">
    <w:p w14:paraId="4EDA0418" w14:textId="77777777" w:rsidR="00BB61C2" w:rsidRDefault="00BB61C2" w:rsidP="00F716D4">
      <w:r>
        <w:continuationSeparator/>
      </w:r>
    </w:p>
    <w:p w14:paraId="1CDBEF2D" w14:textId="77777777" w:rsidR="00BB61C2" w:rsidRDefault="00BB61C2" w:rsidP="00F716D4"/>
  </w:footnote>
  <w:footnote w:type="continuationNotice" w:id="1">
    <w:p w14:paraId="3106B794" w14:textId="77777777" w:rsidR="00BB61C2" w:rsidRDefault="00BB61C2" w:rsidP="00F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B65" w14:textId="77777777" w:rsidR="002B65C8" w:rsidRDefault="002B6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2"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4"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6"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8"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1"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5"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7"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5"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6" w15:restartNumberingAfterBreak="0">
    <w:nsid w:val="7FEF56C0"/>
    <w:multiLevelType w:val="hybridMultilevel"/>
    <w:tmpl w:val="3CD65192"/>
    <w:lvl w:ilvl="0" w:tplc="E674947E">
      <w:start w:val="1"/>
      <w:numFmt w:val="decimal"/>
      <w:pStyle w:val="Heading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4"/>
  </w:num>
  <w:num w:numId="2" w16cid:durableId="1769932826">
    <w:abstractNumId w:val="17"/>
  </w:num>
  <w:num w:numId="3" w16cid:durableId="550074866">
    <w:abstractNumId w:val="9"/>
  </w:num>
  <w:num w:numId="4" w16cid:durableId="1881627233">
    <w:abstractNumId w:val="22"/>
  </w:num>
  <w:num w:numId="5" w16cid:durableId="208225584">
    <w:abstractNumId w:val="0"/>
  </w:num>
  <w:num w:numId="6" w16cid:durableId="1787233265">
    <w:abstractNumId w:val="3"/>
  </w:num>
  <w:num w:numId="7" w16cid:durableId="1846357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29"/>
  </w:num>
  <w:num w:numId="9" w16cid:durableId="1008846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5"/>
  </w:num>
  <w:num w:numId="12" w16cid:durableId="1500659627">
    <w:abstractNumId w:val="28"/>
  </w:num>
  <w:num w:numId="13" w16cid:durableId="1879658227">
    <w:abstractNumId w:val="21"/>
  </w:num>
  <w:num w:numId="14" w16cid:durableId="1495758855">
    <w:abstractNumId w:val="8"/>
  </w:num>
  <w:num w:numId="15" w16cid:durableId="1186556611">
    <w:abstractNumId w:val="1"/>
  </w:num>
  <w:num w:numId="16" w16cid:durableId="679087124">
    <w:abstractNumId w:val="12"/>
  </w:num>
  <w:num w:numId="17" w16cid:durableId="1695498691">
    <w:abstractNumId w:val="13"/>
  </w:num>
  <w:num w:numId="18" w16cid:durableId="1042363640">
    <w:abstractNumId w:val="15"/>
  </w:num>
  <w:num w:numId="19" w16cid:durableId="820345968">
    <w:abstractNumId w:val="24"/>
  </w:num>
  <w:num w:numId="20" w16cid:durableId="1805388212">
    <w:abstractNumId w:val="33"/>
  </w:num>
  <w:num w:numId="21" w16cid:durableId="538709007">
    <w:abstractNumId w:val="23"/>
  </w:num>
  <w:num w:numId="22" w16cid:durableId="104540172">
    <w:abstractNumId w:val="7"/>
  </w:num>
  <w:num w:numId="23" w16cid:durableId="1824349076">
    <w:abstractNumId w:val="27"/>
  </w:num>
  <w:num w:numId="24" w16cid:durableId="672032853">
    <w:abstractNumId w:val="26"/>
  </w:num>
  <w:num w:numId="25" w16cid:durableId="48917541">
    <w:abstractNumId w:val="18"/>
  </w:num>
  <w:num w:numId="26" w16cid:durableId="978925443">
    <w:abstractNumId w:val="30"/>
  </w:num>
  <w:num w:numId="27" w16cid:durableId="1036613928">
    <w:abstractNumId w:val="35"/>
  </w:num>
  <w:num w:numId="28" w16cid:durableId="872039349">
    <w:abstractNumId w:val="5"/>
  </w:num>
  <w:num w:numId="29" w16cid:durableId="924530660">
    <w:abstractNumId w:val="2"/>
  </w:num>
  <w:num w:numId="30" w16cid:durableId="419180233">
    <w:abstractNumId w:val="20"/>
  </w:num>
  <w:num w:numId="31" w16cid:durableId="276761337">
    <w:abstractNumId w:val="19"/>
  </w:num>
  <w:num w:numId="32" w16cid:durableId="1166238383">
    <w:abstractNumId w:val="32"/>
  </w:num>
  <w:num w:numId="33" w16cid:durableId="2076850202">
    <w:abstractNumId w:val="31"/>
  </w:num>
  <w:num w:numId="34" w16cid:durableId="469176496">
    <w:abstractNumId w:val="10"/>
  </w:num>
  <w:num w:numId="35" w16cid:durableId="674843309">
    <w:abstractNumId w:val="16"/>
  </w:num>
  <w:num w:numId="36" w16cid:durableId="1954971501">
    <w:abstractNumId w:val="36"/>
  </w:num>
  <w:num w:numId="37" w16cid:durableId="1475372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HRa4OoaPdbHSdDH3rtqvF9WlYO1o8EgedETKPkNIHMFFUjdDWkQH/7GCxFt6jZ3juRyyjX/v+UuV2JyZ6vK4MQ==" w:salt="3LHk+pHXD3QmXBRIYCtOgA=="/>
  <w:defaultTabStop w:val="709"/>
  <w:autoHyphenation/>
  <w:hyphenationZone w:val="567"/>
  <w:characterSpacingControl w:val="doNotCompress"/>
  <w:hdrShapeDefaults>
    <o:shapedefaults v:ext="edit" spidmax="2050">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978"/>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226"/>
    <w:rsid w:val="00026269"/>
    <w:rsid w:val="00027154"/>
    <w:rsid w:val="00027ECF"/>
    <w:rsid w:val="000303BE"/>
    <w:rsid w:val="00030C62"/>
    <w:rsid w:val="00033A94"/>
    <w:rsid w:val="000344D6"/>
    <w:rsid w:val="00034960"/>
    <w:rsid w:val="00036FAE"/>
    <w:rsid w:val="00041858"/>
    <w:rsid w:val="0004389E"/>
    <w:rsid w:val="00045CA6"/>
    <w:rsid w:val="000463A6"/>
    <w:rsid w:val="00046CC9"/>
    <w:rsid w:val="00046E91"/>
    <w:rsid w:val="000502FE"/>
    <w:rsid w:val="0005126D"/>
    <w:rsid w:val="00051992"/>
    <w:rsid w:val="00051E9A"/>
    <w:rsid w:val="000521A7"/>
    <w:rsid w:val="00052F47"/>
    <w:rsid w:val="000537BB"/>
    <w:rsid w:val="0005399B"/>
    <w:rsid w:val="00054B2B"/>
    <w:rsid w:val="00054DE6"/>
    <w:rsid w:val="000569D7"/>
    <w:rsid w:val="000576D7"/>
    <w:rsid w:val="00057FC1"/>
    <w:rsid w:val="00060F72"/>
    <w:rsid w:val="00062592"/>
    <w:rsid w:val="000636A1"/>
    <w:rsid w:val="000649D9"/>
    <w:rsid w:val="000652BE"/>
    <w:rsid w:val="00066479"/>
    <w:rsid w:val="0006723C"/>
    <w:rsid w:val="00070376"/>
    <w:rsid w:val="00070630"/>
    <w:rsid w:val="00070974"/>
    <w:rsid w:val="00071EAD"/>
    <w:rsid w:val="00071F4E"/>
    <w:rsid w:val="00072271"/>
    <w:rsid w:val="00072B54"/>
    <w:rsid w:val="0007463D"/>
    <w:rsid w:val="00074979"/>
    <w:rsid w:val="000749F0"/>
    <w:rsid w:val="0007609D"/>
    <w:rsid w:val="00077C67"/>
    <w:rsid w:val="00080976"/>
    <w:rsid w:val="00081CEB"/>
    <w:rsid w:val="00081E60"/>
    <w:rsid w:val="00082D8E"/>
    <w:rsid w:val="00082E31"/>
    <w:rsid w:val="00083AA3"/>
    <w:rsid w:val="00085947"/>
    <w:rsid w:val="000868FE"/>
    <w:rsid w:val="00086F74"/>
    <w:rsid w:val="000878D1"/>
    <w:rsid w:val="000921AE"/>
    <w:rsid w:val="000921D7"/>
    <w:rsid w:val="000925FF"/>
    <w:rsid w:val="000932E0"/>
    <w:rsid w:val="00094853"/>
    <w:rsid w:val="00094C4C"/>
    <w:rsid w:val="00096762"/>
    <w:rsid w:val="000969C8"/>
    <w:rsid w:val="0009752D"/>
    <w:rsid w:val="00097AEE"/>
    <w:rsid w:val="000A014A"/>
    <w:rsid w:val="000A0396"/>
    <w:rsid w:val="000A04B6"/>
    <w:rsid w:val="000A0E36"/>
    <w:rsid w:val="000A1BD2"/>
    <w:rsid w:val="000A2127"/>
    <w:rsid w:val="000A358F"/>
    <w:rsid w:val="000A43CC"/>
    <w:rsid w:val="000A7314"/>
    <w:rsid w:val="000A7B53"/>
    <w:rsid w:val="000A7B64"/>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1D9"/>
    <w:rsid w:val="000D17AA"/>
    <w:rsid w:val="000D2D0B"/>
    <w:rsid w:val="000D4660"/>
    <w:rsid w:val="000D705D"/>
    <w:rsid w:val="000D71F1"/>
    <w:rsid w:val="000D7EB9"/>
    <w:rsid w:val="000E0223"/>
    <w:rsid w:val="000E0CF3"/>
    <w:rsid w:val="000E18A8"/>
    <w:rsid w:val="000E1AEC"/>
    <w:rsid w:val="000E3937"/>
    <w:rsid w:val="000E4926"/>
    <w:rsid w:val="000E49B7"/>
    <w:rsid w:val="000E5F7F"/>
    <w:rsid w:val="000E7086"/>
    <w:rsid w:val="000E7C65"/>
    <w:rsid w:val="000F04D2"/>
    <w:rsid w:val="000F55B7"/>
    <w:rsid w:val="000F604F"/>
    <w:rsid w:val="000F7399"/>
    <w:rsid w:val="00101BF1"/>
    <w:rsid w:val="001027F1"/>
    <w:rsid w:val="00104DA1"/>
    <w:rsid w:val="00104E00"/>
    <w:rsid w:val="00104F2E"/>
    <w:rsid w:val="001072DD"/>
    <w:rsid w:val="00110D7A"/>
    <w:rsid w:val="00111464"/>
    <w:rsid w:val="0011167D"/>
    <w:rsid w:val="00112892"/>
    <w:rsid w:val="00112E48"/>
    <w:rsid w:val="001130EA"/>
    <w:rsid w:val="001138E8"/>
    <w:rsid w:val="00114259"/>
    <w:rsid w:val="001168B2"/>
    <w:rsid w:val="00117C20"/>
    <w:rsid w:val="00120F0E"/>
    <w:rsid w:val="00121A5D"/>
    <w:rsid w:val="00121BED"/>
    <w:rsid w:val="00123D39"/>
    <w:rsid w:val="001244CD"/>
    <w:rsid w:val="0012566F"/>
    <w:rsid w:val="001262B1"/>
    <w:rsid w:val="00130F41"/>
    <w:rsid w:val="00130FAF"/>
    <w:rsid w:val="00131ECC"/>
    <w:rsid w:val="00135F2B"/>
    <w:rsid w:val="001372DD"/>
    <w:rsid w:val="00137973"/>
    <w:rsid w:val="001405BA"/>
    <w:rsid w:val="00141497"/>
    <w:rsid w:val="0014253A"/>
    <w:rsid w:val="001425C8"/>
    <w:rsid w:val="001431AE"/>
    <w:rsid w:val="00143B87"/>
    <w:rsid w:val="001459E3"/>
    <w:rsid w:val="00145DA0"/>
    <w:rsid w:val="00146A0B"/>
    <w:rsid w:val="0014711C"/>
    <w:rsid w:val="00147382"/>
    <w:rsid w:val="0014761E"/>
    <w:rsid w:val="0015061C"/>
    <w:rsid w:val="00151907"/>
    <w:rsid w:val="001544C8"/>
    <w:rsid w:val="00155FAB"/>
    <w:rsid w:val="001567A1"/>
    <w:rsid w:val="00156857"/>
    <w:rsid w:val="00157BC9"/>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1183"/>
    <w:rsid w:val="001725A5"/>
    <w:rsid w:val="00172681"/>
    <w:rsid w:val="0017312F"/>
    <w:rsid w:val="00173AC7"/>
    <w:rsid w:val="001745D7"/>
    <w:rsid w:val="00175754"/>
    <w:rsid w:val="00176982"/>
    <w:rsid w:val="0017701C"/>
    <w:rsid w:val="00181264"/>
    <w:rsid w:val="00181BD1"/>
    <w:rsid w:val="0018204A"/>
    <w:rsid w:val="00182F7C"/>
    <w:rsid w:val="001843B5"/>
    <w:rsid w:val="00186829"/>
    <w:rsid w:val="001868CA"/>
    <w:rsid w:val="00187304"/>
    <w:rsid w:val="001875BE"/>
    <w:rsid w:val="0019017A"/>
    <w:rsid w:val="00190B8C"/>
    <w:rsid w:val="00190FF8"/>
    <w:rsid w:val="0019311A"/>
    <w:rsid w:val="0019508A"/>
    <w:rsid w:val="001960D8"/>
    <w:rsid w:val="001A1642"/>
    <w:rsid w:val="001A371B"/>
    <w:rsid w:val="001A4766"/>
    <w:rsid w:val="001A6A0D"/>
    <w:rsid w:val="001A6C51"/>
    <w:rsid w:val="001A6FAA"/>
    <w:rsid w:val="001A7D73"/>
    <w:rsid w:val="001B0363"/>
    <w:rsid w:val="001B1355"/>
    <w:rsid w:val="001B1DD7"/>
    <w:rsid w:val="001B2FC9"/>
    <w:rsid w:val="001B3138"/>
    <w:rsid w:val="001B4E4B"/>
    <w:rsid w:val="001B50AC"/>
    <w:rsid w:val="001B5E05"/>
    <w:rsid w:val="001B6D68"/>
    <w:rsid w:val="001B6F2E"/>
    <w:rsid w:val="001C0344"/>
    <w:rsid w:val="001C0F2A"/>
    <w:rsid w:val="001C1A59"/>
    <w:rsid w:val="001C270F"/>
    <w:rsid w:val="001C4679"/>
    <w:rsid w:val="001C5770"/>
    <w:rsid w:val="001C6195"/>
    <w:rsid w:val="001D000A"/>
    <w:rsid w:val="001D0883"/>
    <w:rsid w:val="001D2205"/>
    <w:rsid w:val="001D3A1F"/>
    <w:rsid w:val="001D3FB6"/>
    <w:rsid w:val="001D4550"/>
    <w:rsid w:val="001D5498"/>
    <w:rsid w:val="001D5BAF"/>
    <w:rsid w:val="001D6401"/>
    <w:rsid w:val="001D66C9"/>
    <w:rsid w:val="001D722A"/>
    <w:rsid w:val="001E04FC"/>
    <w:rsid w:val="001E407D"/>
    <w:rsid w:val="001E40FB"/>
    <w:rsid w:val="001E66EC"/>
    <w:rsid w:val="001E68C5"/>
    <w:rsid w:val="001E6BFC"/>
    <w:rsid w:val="001F06E6"/>
    <w:rsid w:val="001F0F63"/>
    <w:rsid w:val="001F3996"/>
    <w:rsid w:val="001F44A4"/>
    <w:rsid w:val="001F579D"/>
    <w:rsid w:val="001F65EF"/>
    <w:rsid w:val="001F697B"/>
    <w:rsid w:val="002005A6"/>
    <w:rsid w:val="00204CBC"/>
    <w:rsid w:val="002051F1"/>
    <w:rsid w:val="002067BA"/>
    <w:rsid w:val="0021058D"/>
    <w:rsid w:val="00211E2F"/>
    <w:rsid w:val="00211E9E"/>
    <w:rsid w:val="00214FB4"/>
    <w:rsid w:val="00215940"/>
    <w:rsid w:val="00217C23"/>
    <w:rsid w:val="00220561"/>
    <w:rsid w:val="00220CE4"/>
    <w:rsid w:val="00222D9B"/>
    <w:rsid w:val="00223788"/>
    <w:rsid w:val="00223D11"/>
    <w:rsid w:val="002242D3"/>
    <w:rsid w:val="00227C1A"/>
    <w:rsid w:val="002301E6"/>
    <w:rsid w:val="00232555"/>
    <w:rsid w:val="00232F90"/>
    <w:rsid w:val="00233B08"/>
    <w:rsid w:val="00233C3B"/>
    <w:rsid w:val="0023499C"/>
    <w:rsid w:val="00235CE3"/>
    <w:rsid w:val="00235E91"/>
    <w:rsid w:val="0023636A"/>
    <w:rsid w:val="00236F34"/>
    <w:rsid w:val="002372F7"/>
    <w:rsid w:val="00237775"/>
    <w:rsid w:val="00237FA3"/>
    <w:rsid w:val="00240532"/>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3505"/>
    <w:rsid w:val="00264077"/>
    <w:rsid w:val="00266B9A"/>
    <w:rsid w:val="00267C5C"/>
    <w:rsid w:val="00270E54"/>
    <w:rsid w:val="00273633"/>
    <w:rsid w:val="00273681"/>
    <w:rsid w:val="00275176"/>
    <w:rsid w:val="002754B5"/>
    <w:rsid w:val="002764C5"/>
    <w:rsid w:val="00276A5A"/>
    <w:rsid w:val="002772AE"/>
    <w:rsid w:val="00280613"/>
    <w:rsid w:val="002819C4"/>
    <w:rsid w:val="0028274D"/>
    <w:rsid w:val="00282B96"/>
    <w:rsid w:val="002833D6"/>
    <w:rsid w:val="00283F51"/>
    <w:rsid w:val="00286064"/>
    <w:rsid w:val="002867B1"/>
    <w:rsid w:val="002868FC"/>
    <w:rsid w:val="00287BBB"/>
    <w:rsid w:val="00287E3B"/>
    <w:rsid w:val="00290638"/>
    <w:rsid w:val="00291763"/>
    <w:rsid w:val="00291D80"/>
    <w:rsid w:val="00292E82"/>
    <w:rsid w:val="00293156"/>
    <w:rsid w:val="00293BE7"/>
    <w:rsid w:val="00293D78"/>
    <w:rsid w:val="002946DC"/>
    <w:rsid w:val="002A0C82"/>
    <w:rsid w:val="002A0CD8"/>
    <w:rsid w:val="002A13EB"/>
    <w:rsid w:val="002A35EF"/>
    <w:rsid w:val="002A3DE0"/>
    <w:rsid w:val="002A40EA"/>
    <w:rsid w:val="002A41CA"/>
    <w:rsid w:val="002A46E8"/>
    <w:rsid w:val="002A491C"/>
    <w:rsid w:val="002A4C8E"/>
    <w:rsid w:val="002A5EE0"/>
    <w:rsid w:val="002B1FEF"/>
    <w:rsid w:val="002B2DF8"/>
    <w:rsid w:val="002B3473"/>
    <w:rsid w:val="002B354F"/>
    <w:rsid w:val="002B3614"/>
    <w:rsid w:val="002B45D1"/>
    <w:rsid w:val="002B4ED8"/>
    <w:rsid w:val="002B4FAA"/>
    <w:rsid w:val="002B52C2"/>
    <w:rsid w:val="002B65C8"/>
    <w:rsid w:val="002B7656"/>
    <w:rsid w:val="002C0642"/>
    <w:rsid w:val="002C1492"/>
    <w:rsid w:val="002C1E8B"/>
    <w:rsid w:val="002C2EFE"/>
    <w:rsid w:val="002C53AA"/>
    <w:rsid w:val="002C5B2D"/>
    <w:rsid w:val="002C6AF9"/>
    <w:rsid w:val="002C7DFC"/>
    <w:rsid w:val="002D08B8"/>
    <w:rsid w:val="002D14F3"/>
    <w:rsid w:val="002D16E4"/>
    <w:rsid w:val="002D2FEF"/>
    <w:rsid w:val="002D36C2"/>
    <w:rsid w:val="002D3D2C"/>
    <w:rsid w:val="002D3FCB"/>
    <w:rsid w:val="002D4FEF"/>
    <w:rsid w:val="002D502D"/>
    <w:rsid w:val="002D63F5"/>
    <w:rsid w:val="002D6E1A"/>
    <w:rsid w:val="002E036D"/>
    <w:rsid w:val="002E10A5"/>
    <w:rsid w:val="002E1517"/>
    <w:rsid w:val="002E1760"/>
    <w:rsid w:val="002E1B22"/>
    <w:rsid w:val="002E387F"/>
    <w:rsid w:val="002E76FC"/>
    <w:rsid w:val="002E7F4B"/>
    <w:rsid w:val="002F0C91"/>
    <w:rsid w:val="002F0E3E"/>
    <w:rsid w:val="002F1683"/>
    <w:rsid w:val="002F1B19"/>
    <w:rsid w:val="002F1FBF"/>
    <w:rsid w:val="002F4139"/>
    <w:rsid w:val="00300624"/>
    <w:rsid w:val="00300F56"/>
    <w:rsid w:val="00301006"/>
    <w:rsid w:val="00301C2B"/>
    <w:rsid w:val="00304A71"/>
    <w:rsid w:val="003066C8"/>
    <w:rsid w:val="0030739D"/>
    <w:rsid w:val="00307983"/>
    <w:rsid w:val="00307AFB"/>
    <w:rsid w:val="00311184"/>
    <w:rsid w:val="00311E05"/>
    <w:rsid w:val="00312675"/>
    <w:rsid w:val="00314013"/>
    <w:rsid w:val="00314945"/>
    <w:rsid w:val="00315389"/>
    <w:rsid w:val="00315746"/>
    <w:rsid w:val="00315E96"/>
    <w:rsid w:val="00317F4E"/>
    <w:rsid w:val="00317FC8"/>
    <w:rsid w:val="00320C0C"/>
    <w:rsid w:val="003213F2"/>
    <w:rsid w:val="003223D7"/>
    <w:rsid w:val="00323D9F"/>
    <w:rsid w:val="00324FDB"/>
    <w:rsid w:val="00325F48"/>
    <w:rsid w:val="0033194F"/>
    <w:rsid w:val="00332304"/>
    <w:rsid w:val="00332406"/>
    <w:rsid w:val="00332D8D"/>
    <w:rsid w:val="00336B56"/>
    <w:rsid w:val="00341B25"/>
    <w:rsid w:val="00341EC0"/>
    <w:rsid w:val="0034240C"/>
    <w:rsid w:val="0034374F"/>
    <w:rsid w:val="00344496"/>
    <w:rsid w:val="00344F5E"/>
    <w:rsid w:val="00345968"/>
    <w:rsid w:val="00347667"/>
    <w:rsid w:val="003507E2"/>
    <w:rsid w:val="003522B2"/>
    <w:rsid w:val="0035246E"/>
    <w:rsid w:val="0035455E"/>
    <w:rsid w:val="00354A6F"/>
    <w:rsid w:val="00354B48"/>
    <w:rsid w:val="00355789"/>
    <w:rsid w:val="003609B6"/>
    <w:rsid w:val="00361119"/>
    <w:rsid w:val="0036538D"/>
    <w:rsid w:val="003658F8"/>
    <w:rsid w:val="00365D12"/>
    <w:rsid w:val="00366E20"/>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E46"/>
    <w:rsid w:val="00381FF6"/>
    <w:rsid w:val="00383D7D"/>
    <w:rsid w:val="00384C6C"/>
    <w:rsid w:val="00384CCE"/>
    <w:rsid w:val="003865E5"/>
    <w:rsid w:val="003926C1"/>
    <w:rsid w:val="00392900"/>
    <w:rsid w:val="00393357"/>
    <w:rsid w:val="00395E7B"/>
    <w:rsid w:val="00395F4C"/>
    <w:rsid w:val="003A51C5"/>
    <w:rsid w:val="003A5A73"/>
    <w:rsid w:val="003A5DAC"/>
    <w:rsid w:val="003A6591"/>
    <w:rsid w:val="003A6E9A"/>
    <w:rsid w:val="003B08C8"/>
    <w:rsid w:val="003B2567"/>
    <w:rsid w:val="003B381A"/>
    <w:rsid w:val="003B4976"/>
    <w:rsid w:val="003B4B3F"/>
    <w:rsid w:val="003B6258"/>
    <w:rsid w:val="003B7A99"/>
    <w:rsid w:val="003C0343"/>
    <w:rsid w:val="003C1C32"/>
    <w:rsid w:val="003C40DA"/>
    <w:rsid w:val="003C42BA"/>
    <w:rsid w:val="003C462F"/>
    <w:rsid w:val="003C4A02"/>
    <w:rsid w:val="003C4F05"/>
    <w:rsid w:val="003C6191"/>
    <w:rsid w:val="003C6E49"/>
    <w:rsid w:val="003D0CBF"/>
    <w:rsid w:val="003D0DD6"/>
    <w:rsid w:val="003D4B73"/>
    <w:rsid w:val="003D503B"/>
    <w:rsid w:val="003D56C0"/>
    <w:rsid w:val="003D605E"/>
    <w:rsid w:val="003D61D1"/>
    <w:rsid w:val="003D6780"/>
    <w:rsid w:val="003D6FCB"/>
    <w:rsid w:val="003E0F84"/>
    <w:rsid w:val="003E1FF3"/>
    <w:rsid w:val="003E3ACA"/>
    <w:rsid w:val="003E50EA"/>
    <w:rsid w:val="003E68C7"/>
    <w:rsid w:val="003E79B0"/>
    <w:rsid w:val="003F0403"/>
    <w:rsid w:val="003F1094"/>
    <w:rsid w:val="003F2E45"/>
    <w:rsid w:val="003F3EFE"/>
    <w:rsid w:val="003F40B8"/>
    <w:rsid w:val="003F5C06"/>
    <w:rsid w:val="003F7C22"/>
    <w:rsid w:val="00400195"/>
    <w:rsid w:val="0040254B"/>
    <w:rsid w:val="00403086"/>
    <w:rsid w:val="00403460"/>
    <w:rsid w:val="004040FF"/>
    <w:rsid w:val="00404284"/>
    <w:rsid w:val="004042C4"/>
    <w:rsid w:val="00406E90"/>
    <w:rsid w:val="004100F8"/>
    <w:rsid w:val="00410240"/>
    <w:rsid w:val="00412253"/>
    <w:rsid w:val="004142ED"/>
    <w:rsid w:val="0041634D"/>
    <w:rsid w:val="00416ABC"/>
    <w:rsid w:val="00417EF7"/>
    <w:rsid w:val="00422A7D"/>
    <w:rsid w:val="00422BFC"/>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A91"/>
    <w:rsid w:val="004332A4"/>
    <w:rsid w:val="0043453F"/>
    <w:rsid w:val="00434A74"/>
    <w:rsid w:val="00437929"/>
    <w:rsid w:val="00437A4A"/>
    <w:rsid w:val="00440541"/>
    <w:rsid w:val="0044162D"/>
    <w:rsid w:val="0044277A"/>
    <w:rsid w:val="004434EF"/>
    <w:rsid w:val="0044471F"/>
    <w:rsid w:val="004456DC"/>
    <w:rsid w:val="004463D2"/>
    <w:rsid w:val="00447FBE"/>
    <w:rsid w:val="0045021A"/>
    <w:rsid w:val="0045035E"/>
    <w:rsid w:val="0045175A"/>
    <w:rsid w:val="00451ED9"/>
    <w:rsid w:val="00452180"/>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BA"/>
    <w:rsid w:val="004934E9"/>
    <w:rsid w:val="00494737"/>
    <w:rsid w:val="00494D5C"/>
    <w:rsid w:val="00495A6A"/>
    <w:rsid w:val="00495F9D"/>
    <w:rsid w:val="004964F6"/>
    <w:rsid w:val="00496815"/>
    <w:rsid w:val="00496821"/>
    <w:rsid w:val="00497750"/>
    <w:rsid w:val="00497B44"/>
    <w:rsid w:val="004A00E5"/>
    <w:rsid w:val="004A01A7"/>
    <w:rsid w:val="004A0D09"/>
    <w:rsid w:val="004A116E"/>
    <w:rsid w:val="004A357F"/>
    <w:rsid w:val="004A3DAD"/>
    <w:rsid w:val="004B0335"/>
    <w:rsid w:val="004B0F1C"/>
    <w:rsid w:val="004B1E61"/>
    <w:rsid w:val="004B21AB"/>
    <w:rsid w:val="004B59E0"/>
    <w:rsid w:val="004B667B"/>
    <w:rsid w:val="004B71C7"/>
    <w:rsid w:val="004C03AA"/>
    <w:rsid w:val="004C0B9A"/>
    <w:rsid w:val="004C14E7"/>
    <w:rsid w:val="004C1D89"/>
    <w:rsid w:val="004C2A94"/>
    <w:rsid w:val="004C2CD0"/>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61D2"/>
    <w:rsid w:val="004D7910"/>
    <w:rsid w:val="004D7DEA"/>
    <w:rsid w:val="004E0A28"/>
    <w:rsid w:val="004E1A0F"/>
    <w:rsid w:val="004E2E89"/>
    <w:rsid w:val="004E33C2"/>
    <w:rsid w:val="004E3B9A"/>
    <w:rsid w:val="004E49B0"/>
    <w:rsid w:val="004E62DE"/>
    <w:rsid w:val="004E6B05"/>
    <w:rsid w:val="004E76A1"/>
    <w:rsid w:val="004F05DE"/>
    <w:rsid w:val="004F6376"/>
    <w:rsid w:val="004F6A93"/>
    <w:rsid w:val="004F6F14"/>
    <w:rsid w:val="004F728D"/>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1CAD"/>
    <w:rsid w:val="00514D10"/>
    <w:rsid w:val="00516783"/>
    <w:rsid w:val="00516ECD"/>
    <w:rsid w:val="005171FB"/>
    <w:rsid w:val="00517EF8"/>
    <w:rsid w:val="00520083"/>
    <w:rsid w:val="0052029E"/>
    <w:rsid w:val="0052076A"/>
    <w:rsid w:val="00520A2C"/>
    <w:rsid w:val="00520E25"/>
    <w:rsid w:val="0052183D"/>
    <w:rsid w:val="00522B01"/>
    <w:rsid w:val="00522F44"/>
    <w:rsid w:val="0052360A"/>
    <w:rsid w:val="005242BA"/>
    <w:rsid w:val="005243B8"/>
    <w:rsid w:val="005252DD"/>
    <w:rsid w:val="00530A8D"/>
    <w:rsid w:val="00531C6D"/>
    <w:rsid w:val="00532EF4"/>
    <w:rsid w:val="005347CE"/>
    <w:rsid w:val="0053533D"/>
    <w:rsid w:val="00535477"/>
    <w:rsid w:val="00535DEA"/>
    <w:rsid w:val="0053723A"/>
    <w:rsid w:val="00537636"/>
    <w:rsid w:val="00537B1D"/>
    <w:rsid w:val="00540191"/>
    <w:rsid w:val="00540A2A"/>
    <w:rsid w:val="00541F27"/>
    <w:rsid w:val="0054227B"/>
    <w:rsid w:val="00542297"/>
    <w:rsid w:val="005424BC"/>
    <w:rsid w:val="00542A28"/>
    <w:rsid w:val="005441D4"/>
    <w:rsid w:val="0054672D"/>
    <w:rsid w:val="00550F4E"/>
    <w:rsid w:val="00551E98"/>
    <w:rsid w:val="005532B5"/>
    <w:rsid w:val="00554A05"/>
    <w:rsid w:val="00555849"/>
    <w:rsid w:val="005559A8"/>
    <w:rsid w:val="00557048"/>
    <w:rsid w:val="00557099"/>
    <w:rsid w:val="00557FB5"/>
    <w:rsid w:val="00561AED"/>
    <w:rsid w:val="005648A8"/>
    <w:rsid w:val="00564DE3"/>
    <w:rsid w:val="00564E44"/>
    <w:rsid w:val="005654D6"/>
    <w:rsid w:val="00566C6A"/>
    <w:rsid w:val="00566CE5"/>
    <w:rsid w:val="00566D36"/>
    <w:rsid w:val="0057163A"/>
    <w:rsid w:val="0057174D"/>
    <w:rsid w:val="00572B29"/>
    <w:rsid w:val="00573569"/>
    <w:rsid w:val="00573871"/>
    <w:rsid w:val="0057389E"/>
    <w:rsid w:val="0057454B"/>
    <w:rsid w:val="00574AE4"/>
    <w:rsid w:val="005765C0"/>
    <w:rsid w:val="005778DE"/>
    <w:rsid w:val="00580B3F"/>
    <w:rsid w:val="005825F2"/>
    <w:rsid w:val="00583885"/>
    <w:rsid w:val="005860AF"/>
    <w:rsid w:val="00587F1D"/>
    <w:rsid w:val="00590348"/>
    <w:rsid w:val="00591161"/>
    <w:rsid w:val="00592318"/>
    <w:rsid w:val="00593133"/>
    <w:rsid w:val="0059575D"/>
    <w:rsid w:val="00596825"/>
    <w:rsid w:val="005A06A0"/>
    <w:rsid w:val="005A150A"/>
    <w:rsid w:val="005A2B3E"/>
    <w:rsid w:val="005A3644"/>
    <w:rsid w:val="005A4087"/>
    <w:rsid w:val="005A4B18"/>
    <w:rsid w:val="005A537E"/>
    <w:rsid w:val="005A6F43"/>
    <w:rsid w:val="005A767D"/>
    <w:rsid w:val="005A775C"/>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56D3"/>
    <w:rsid w:val="005C663C"/>
    <w:rsid w:val="005D0750"/>
    <w:rsid w:val="005D1023"/>
    <w:rsid w:val="005D148F"/>
    <w:rsid w:val="005D2AD2"/>
    <w:rsid w:val="005D4A86"/>
    <w:rsid w:val="005D5EB1"/>
    <w:rsid w:val="005D6A29"/>
    <w:rsid w:val="005E0481"/>
    <w:rsid w:val="005E10BF"/>
    <w:rsid w:val="005E1834"/>
    <w:rsid w:val="005E49E5"/>
    <w:rsid w:val="005E4E00"/>
    <w:rsid w:val="005E5481"/>
    <w:rsid w:val="005E55E4"/>
    <w:rsid w:val="005E6C5F"/>
    <w:rsid w:val="005E7636"/>
    <w:rsid w:val="005F028E"/>
    <w:rsid w:val="005F04B4"/>
    <w:rsid w:val="005F11A4"/>
    <w:rsid w:val="005F19F8"/>
    <w:rsid w:val="005F3FB1"/>
    <w:rsid w:val="005F4C33"/>
    <w:rsid w:val="005F4D29"/>
    <w:rsid w:val="005F5ACF"/>
    <w:rsid w:val="005F60DC"/>
    <w:rsid w:val="005F7979"/>
    <w:rsid w:val="006000DD"/>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50DB"/>
    <w:rsid w:val="00616A11"/>
    <w:rsid w:val="00616B9B"/>
    <w:rsid w:val="00617520"/>
    <w:rsid w:val="0062022D"/>
    <w:rsid w:val="00620D7C"/>
    <w:rsid w:val="00621089"/>
    <w:rsid w:val="00621E1F"/>
    <w:rsid w:val="006228B2"/>
    <w:rsid w:val="006228E1"/>
    <w:rsid w:val="00622E32"/>
    <w:rsid w:val="00623688"/>
    <w:rsid w:val="006247E0"/>
    <w:rsid w:val="00625F82"/>
    <w:rsid w:val="00627999"/>
    <w:rsid w:val="00630FF7"/>
    <w:rsid w:val="00633433"/>
    <w:rsid w:val="006341B5"/>
    <w:rsid w:val="006346C9"/>
    <w:rsid w:val="00634727"/>
    <w:rsid w:val="00634B64"/>
    <w:rsid w:val="0063578C"/>
    <w:rsid w:val="0063642C"/>
    <w:rsid w:val="0063681E"/>
    <w:rsid w:val="00636FF9"/>
    <w:rsid w:val="00640DCD"/>
    <w:rsid w:val="00641DC3"/>
    <w:rsid w:val="00642972"/>
    <w:rsid w:val="00644F4D"/>
    <w:rsid w:val="006469B1"/>
    <w:rsid w:val="00646C0D"/>
    <w:rsid w:val="00646C30"/>
    <w:rsid w:val="006476F7"/>
    <w:rsid w:val="0064779E"/>
    <w:rsid w:val="006501FA"/>
    <w:rsid w:val="006509B0"/>
    <w:rsid w:val="006521F3"/>
    <w:rsid w:val="006524D5"/>
    <w:rsid w:val="00652BBD"/>
    <w:rsid w:val="00653633"/>
    <w:rsid w:val="00653F69"/>
    <w:rsid w:val="00654936"/>
    <w:rsid w:val="00655485"/>
    <w:rsid w:val="006558B3"/>
    <w:rsid w:val="00660BF0"/>
    <w:rsid w:val="0066189C"/>
    <w:rsid w:val="006630CF"/>
    <w:rsid w:val="00663EFF"/>
    <w:rsid w:val="00664FFB"/>
    <w:rsid w:val="00666F74"/>
    <w:rsid w:val="00667FEA"/>
    <w:rsid w:val="006710D2"/>
    <w:rsid w:val="00671A8B"/>
    <w:rsid w:val="00671F53"/>
    <w:rsid w:val="006725A0"/>
    <w:rsid w:val="00674628"/>
    <w:rsid w:val="0067555E"/>
    <w:rsid w:val="0067557E"/>
    <w:rsid w:val="00677FAD"/>
    <w:rsid w:val="006802DE"/>
    <w:rsid w:val="0068032D"/>
    <w:rsid w:val="0068068C"/>
    <w:rsid w:val="00680F63"/>
    <w:rsid w:val="00681115"/>
    <w:rsid w:val="00683920"/>
    <w:rsid w:val="00685147"/>
    <w:rsid w:val="00685653"/>
    <w:rsid w:val="0068590D"/>
    <w:rsid w:val="00685A89"/>
    <w:rsid w:val="006861B3"/>
    <w:rsid w:val="00686FA2"/>
    <w:rsid w:val="006870C5"/>
    <w:rsid w:val="00690F0E"/>
    <w:rsid w:val="006911C0"/>
    <w:rsid w:val="00691B7C"/>
    <w:rsid w:val="00692ADF"/>
    <w:rsid w:val="00694B73"/>
    <w:rsid w:val="00694DF2"/>
    <w:rsid w:val="00695F80"/>
    <w:rsid w:val="006966CD"/>
    <w:rsid w:val="00696735"/>
    <w:rsid w:val="0069780E"/>
    <w:rsid w:val="006A0AFA"/>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E96"/>
    <w:rsid w:val="006D399F"/>
    <w:rsid w:val="006D4F0C"/>
    <w:rsid w:val="006D5645"/>
    <w:rsid w:val="006D7A15"/>
    <w:rsid w:val="006E0C8A"/>
    <w:rsid w:val="006E2A23"/>
    <w:rsid w:val="006E35E5"/>
    <w:rsid w:val="006E3943"/>
    <w:rsid w:val="006E3C72"/>
    <w:rsid w:val="006E4F20"/>
    <w:rsid w:val="006E649A"/>
    <w:rsid w:val="006F08DC"/>
    <w:rsid w:val="006F1C20"/>
    <w:rsid w:val="006F2474"/>
    <w:rsid w:val="006F3948"/>
    <w:rsid w:val="006F4403"/>
    <w:rsid w:val="006F45EC"/>
    <w:rsid w:val="006F47B8"/>
    <w:rsid w:val="006F47D2"/>
    <w:rsid w:val="006F4B04"/>
    <w:rsid w:val="006F5456"/>
    <w:rsid w:val="006F57F2"/>
    <w:rsid w:val="006F6468"/>
    <w:rsid w:val="006F71FA"/>
    <w:rsid w:val="00700247"/>
    <w:rsid w:val="00701051"/>
    <w:rsid w:val="00701E69"/>
    <w:rsid w:val="007021C2"/>
    <w:rsid w:val="00702502"/>
    <w:rsid w:val="007033A8"/>
    <w:rsid w:val="0070421B"/>
    <w:rsid w:val="007043F0"/>
    <w:rsid w:val="0070482E"/>
    <w:rsid w:val="00704D25"/>
    <w:rsid w:val="00710519"/>
    <w:rsid w:val="00710F6E"/>
    <w:rsid w:val="00711663"/>
    <w:rsid w:val="007116B4"/>
    <w:rsid w:val="007121FB"/>
    <w:rsid w:val="00712580"/>
    <w:rsid w:val="007133E4"/>
    <w:rsid w:val="00713788"/>
    <w:rsid w:val="00713940"/>
    <w:rsid w:val="007151A2"/>
    <w:rsid w:val="00716774"/>
    <w:rsid w:val="0071740A"/>
    <w:rsid w:val="007209DD"/>
    <w:rsid w:val="00722E49"/>
    <w:rsid w:val="00723A08"/>
    <w:rsid w:val="00723B5C"/>
    <w:rsid w:val="00724391"/>
    <w:rsid w:val="00724C18"/>
    <w:rsid w:val="0072537C"/>
    <w:rsid w:val="00725FB1"/>
    <w:rsid w:val="00726630"/>
    <w:rsid w:val="00727F73"/>
    <w:rsid w:val="00730705"/>
    <w:rsid w:val="00730944"/>
    <w:rsid w:val="00731475"/>
    <w:rsid w:val="0073248E"/>
    <w:rsid w:val="00733EE9"/>
    <w:rsid w:val="00735B8E"/>
    <w:rsid w:val="00736651"/>
    <w:rsid w:val="0073673C"/>
    <w:rsid w:val="00736935"/>
    <w:rsid w:val="007378EC"/>
    <w:rsid w:val="00737DD9"/>
    <w:rsid w:val="00741285"/>
    <w:rsid w:val="00743DE7"/>
    <w:rsid w:val="0074509E"/>
    <w:rsid w:val="00745B9F"/>
    <w:rsid w:val="00747119"/>
    <w:rsid w:val="0074726F"/>
    <w:rsid w:val="00752D4F"/>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8A0"/>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85D"/>
    <w:rsid w:val="00794979"/>
    <w:rsid w:val="007956B7"/>
    <w:rsid w:val="00795F1A"/>
    <w:rsid w:val="0079676A"/>
    <w:rsid w:val="00796EDE"/>
    <w:rsid w:val="00797297"/>
    <w:rsid w:val="007974B3"/>
    <w:rsid w:val="00797875"/>
    <w:rsid w:val="007A076C"/>
    <w:rsid w:val="007A2140"/>
    <w:rsid w:val="007A23E2"/>
    <w:rsid w:val="007A31A5"/>
    <w:rsid w:val="007A411B"/>
    <w:rsid w:val="007A45E6"/>
    <w:rsid w:val="007A4B28"/>
    <w:rsid w:val="007A5C2C"/>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915"/>
    <w:rsid w:val="007D5B4F"/>
    <w:rsid w:val="007D5C30"/>
    <w:rsid w:val="007E0660"/>
    <w:rsid w:val="007E1411"/>
    <w:rsid w:val="007E1882"/>
    <w:rsid w:val="007E1BB4"/>
    <w:rsid w:val="007E2077"/>
    <w:rsid w:val="007E3514"/>
    <w:rsid w:val="007E4207"/>
    <w:rsid w:val="007E4AAA"/>
    <w:rsid w:val="007E4BD2"/>
    <w:rsid w:val="007E4C29"/>
    <w:rsid w:val="007E5E44"/>
    <w:rsid w:val="007F0DDA"/>
    <w:rsid w:val="007F1939"/>
    <w:rsid w:val="007F365C"/>
    <w:rsid w:val="007F5066"/>
    <w:rsid w:val="007F621C"/>
    <w:rsid w:val="007F7155"/>
    <w:rsid w:val="00800C28"/>
    <w:rsid w:val="0080245E"/>
    <w:rsid w:val="00802E10"/>
    <w:rsid w:val="00803480"/>
    <w:rsid w:val="0080359C"/>
    <w:rsid w:val="008037AE"/>
    <w:rsid w:val="008037F6"/>
    <w:rsid w:val="008043F4"/>
    <w:rsid w:val="00804BB4"/>
    <w:rsid w:val="00805D9F"/>
    <w:rsid w:val="00807A4D"/>
    <w:rsid w:val="00807F30"/>
    <w:rsid w:val="008103DC"/>
    <w:rsid w:val="0081119F"/>
    <w:rsid w:val="0081134D"/>
    <w:rsid w:val="00811EDA"/>
    <w:rsid w:val="00812403"/>
    <w:rsid w:val="00812FD7"/>
    <w:rsid w:val="00820623"/>
    <w:rsid w:val="00821747"/>
    <w:rsid w:val="008229A3"/>
    <w:rsid w:val="00822DFB"/>
    <w:rsid w:val="00822F64"/>
    <w:rsid w:val="008253A6"/>
    <w:rsid w:val="00825A6B"/>
    <w:rsid w:val="00825C50"/>
    <w:rsid w:val="00826577"/>
    <w:rsid w:val="00827439"/>
    <w:rsid w:val="00827C79"/>
    <w:rsid w:val="00827C9D"/>
    <w:rsid w:val="0083003F"/>
    <w:rsid w:val="00831077"/>
    <w:rsid w:val="00831A4A"/>
    <w:rsid w:val="00832134"/>
    <w:rsid w:val="0083219E"/>
    <w:rsid w:val="008324B3"/>
    <w:rsid w:val="0083497C"/>
    <w:rsid w:val="008352A6"/>
    <w:rsid w:val="00835B5B"/>
    <w:rsid w:val="00835CC2"/>
    <w:rsid w:val="008367AE"/>
    <w:rsid w:val="00836E50"/>
    <w:rsid w:val="00840477"/>
    <w:rsid w:val="0084121D"/>
    <w:rsid w:val="008418E3"/>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12D"/>
    <w:rsid w:val="0086326D"/>
    <w:rsid w:val="00863CC1"/>
    <w:rsid w:val="00865B01"/>
    <w:rsid w:val="00866D7A"/>
    <w:rsid w:val="00866EE3"/>
    <w:rsid w:val="00871F04"/>
    <w:rsid w:val="008746C1"/>
    <w:rsid w:val="00880224"/>
    <w:rsid w:val="0088244C"/>
    <w:rsid w:val="00883367"/>
    <w:rsid w:val="00884C47"/>
    <w:rsid w:val="00885E6F"/>
    <w:rsid w:val="008861AC"/>
    <w:rsid w:val="008868E4"/>
    <w:rsid w:val="00886A60"/>
    <w:rsid w:val="0088759B"/>
    <w:rsid w:val="008909B4"/>
    <w:rsid w:val="008922E8"/>
    <w:rsid w:val="00892E72"/>
    <w:rsid w:val="00893916"/>
    <w:rsid w:val="0089442C"/>
    <w:rsid w:val="00895818"/>
    <w:rsid w:val="008A2585"/>
    <w:rsid w:val="008A2718"/>
    <w:rsid w:val="008A4CF6"/>
    <w:rsid w:val="008A4E42"/>
    <w:rsid w:val="008A51AA"/>
    <w:rsid w:val="008A6A12"/>
    <w:rsid w:val="008B0DC6"/>
    <w:rsid w:val="008B164D"/>
    <w:rsid w:val="008B2B9E"/>
    <w:rsid w:val="008B31F5"/>
    <w:rsid w:val="008B4C79"/>
    <w:rsid w:val="008B5D2D"/>
    <w:rsid w:val="008B6361"/>
    <w:rsid w:val="008C0320"/>
    <w:rsid w:val="008C2A81"/>
    <w:rsid w:val="008C3863"/>
    <w:rsid w:val="008C3B6B"/>
    <w:rsid w:val="008C4396"/>
    <w:rsid w:val="008C4BDC"/>
    <w:rsid w:val="008C50FF"/>
    <w:rsid w:val="008C5435"/>
    <w:rsid w:val="008C6BD1"/>
    <w:rsid w:val="008D2DB5"/>
    <w:rsid w:val="008D3F10"/>
    <w:rsid w:val="008D4656"/>
    <w:rsid w:val="008D611D"/>
    <w:rsid w:val="008E1B6A"/>
    <w:rsid w:val="008E3054"/>
    <w:rsid w:val="008E32FF"/>
    <w:rsid w:val="008E5625"/>
    <w:rsid w:val="008E5C5B"/>
    <w:rsid w:val="008E6A37"/>
    <w:rsid w:val="008F0354"/>
    <w:rsid w:val="008F085A"/>
    <w:rsid w:val="008F1462"/>
    <w:rsid w:val="008F14FF"/>
    <w:rsid w:val="008F2413"/>
    <w:rsid w:val="008F248D"/>
    <w:rsid w:val="008F4B2C"/>
    <w:rsid w:val="008F4C08"/>
    <w:rsid w:val="008F6851"/>
    <w:rsid w:val="008F7BC4"/>
    <w:rsid w:val="009003B8"/>
    <w:rsid w:val="009005FD"/>
    <w:rsid w:val="00900E7A"/>
    <w:rsid w:val="00903E11"/>
    <w:rsid w:val="00903EBE"/>
    <w:rsid w:val="009041DE"/>
    <w:rsid w:val="00905D59"/>
    <w:rsid w:val="009062CA"/>
    <w:rsid w:val="00907631"/>
    <w:rsid w:val="00907776"/>
    <w:rsid w:val="00907865"/>
    <w:rsid w:val="00913401"/>
    <w:rsid w:val="00913567"/>
    <w:rsid w:val="009137B6"/>
    <w:rsid w:val="009142CB"/>
    <w:rsid w:val="00915EBA"/>
    <w:rsid w:val="00917093"/>
    <w:rsid w:val="0092030E"/>
    <w:rsid w:val="009217B1"/>
    <w:rsid w:val="00921A42"/>
    <w:rsid w:val="009223BB"/>
    <w:rsid w:val="00922491"/>
    <w:rsid w:val="00923BCF"/>
    <w:rsid w:val="00925AEC"/>
    <w:rsid w:val="0092751A"/>
    <w:rsid w:val="009305C4"/>
    <w:rsid w:val="00931FAF"/>
    <w:rsid w:val="00932478"/>
    <w:rsid w:val="009360F6"/>
    <w:rsid w:val="009371DC"/>
    <w:rsid w:val="0093759D"/>
    <w:rsid w:val="00940239"/>
    <w:rsid w:val="00942BD6"/>
    <w:rsid w:val="00942DED"/>
    <w:rsid w:val="00944404"/>
    <w:rsid w:val="009452D7"/>
    <w:rsid w:val="00945FD1"/>
    <w:rsid w:val="00946CCC"/>
    <w:rsid w:val="009503E5"/>
    <w:rsid w:val="00950F71"/>
    <w:rsid w:val="00952F2C"/>
    <w:rsid w:val="009532E3"/>
    <w:rsid w:val="00953615"/>
    <w:rsid w:val="00954BAF"/>
    <w:rsid w:val="00955F48"/>
    <w:rsid w:val="009560B3"/>
    <w:rsid w:val="0095745E"/>
    <w:rsid w:val="00957CE0"/>
    <w:rsid w:val="0096002E"/>
    <w:rsid w:val="0096039E"/>
    <w:rsid w:val="00962CEF"/>
    <w:rsid w:val="00963766"/>
    <w:rsid w:val="00963FDF"/>
    <w:rsid w:val="00964C32"/>
    <w:rsid w:val="0096528F"/>
    <w:rsid w:val="009653F2"/>
    <w:rsid w:val="009661DF"/>
    <w:rsid w:val="009667BD"/>
    <w:rsid w:val="00967C2B"/>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87F7A"/>
    <w:rsid w:val="00991276"/>
    <w:rsid w:val="009923E7"/>
    <w:rsid w:val="00992697"/>
    <w:rsid w:val="00992D4E"/>
    <w:rsid w:val="00992F0C"/>
    <w:rsid w:val="009934BB"/>
    <w:rsid w:val="00994621"/>
    <w:rsid w:val="009947FF"/>
    <w:rsid w:val="0099544B"/>
    <w:rsid w:val="009A07A6"/>
    <w:rsid w:val="009A0D56"/>
    <w:rsid w:val="009A31B9"/>
    <w:rsid w:val="009A3405"/>
    <w:rsid w:val="009A4D4F"/>
    <w:rsid w:val="009A53D8"/>
    <w:rsid w:val="009A597F"/>
    <w:rsid w:val="009A7B72"/>
    <w:rsid w:val="009A7F49"/>
    <w:rsid w:val="009B03C4"/>
    <w:rsid w:val="009B0AA2"/>
    <w:rsid w:val="009B1D02"/>
    <w:rsid w:val="009B7133"/>
    <w:rsid w:val="009B7658"/>
    <w:rsid w:val="009B7CD1"/>
    <w:rsid w:val="009B7E22"/>
    <w:rsid w:val="009B7E78"/>
    <w:rsid w:val="009C048D"/>
    <w:rsid w:val="009C10FE"/>
    <w:rsid w:val="009C13BC"/>
    <w:rsid w:val="009C1CA4"/>
    <w:rsid w:val="009C2532"/>
    <w:rsid w:val="009C2BA4"/>
    <w:rsid w:val="009C584B"/>
    <w:rsid w:val="009C6091"/>
    <w:rsid w:val="009C634F"/>
    <w:rsid w:val="009D0219"/>
    <w:rsid w:val="009D0D55"/>
    <w:rsid w:val="009D2295"/>
    <w:rsid w:val="009D2511"/>
    <w:rsid w:val="009D3E7C"/>
    <w:rsid w:val="009D55CA"/>
    <w:rsid w:val="009D5661"/>
    <w:rsid w:val="009D5EF0"/>
    <w:rsid w:val="009D6401"/>
    <w:rsid w:val="009D6E99"/>
    <w:rsid w:val="009E0711"/>
    <w:rsid w:val="009E085F"/>
    <w:rsid w:val="009E1917"/>
    <w:rsid w:val="009E3594"/>
    <w:rsid w:val="009E6B77"/>
    <w:rsid w:val="009E7724"/>
    <w:rsid w:val="009E7D1F"/>
    <w:rsid w:val="009F1D82"/>
    <w:rsid w:val="009F37AA"/>
    <w:rsid w:val="009F544C"/>
    <w:rsid w:val="009F5731"/>
    <w:rsid w:val="009F58FA"/>
    <w:rsid w:val="009F6321"/>
    <w:rsid w:val="009F6378"/>
    <w:rsid w:val="009F7669"/>
    <w:rsid w:val="009F7F45"/>
    <w:rsid w:val="009F7FD5"/>
    <w:rsid w:val="00A005D4"/>
    <w:rsid w:val="00A0083C"/>
    <w:rsid w:val="00A01A90"/>
    <w:rsid w:val="00A02370"/>
    <w:rsid w:val="00A0386B"/>
    <w:rsid w:val="00A04685"/>
    <w:rsid w:val="00A04C57"/>
    <w:rsid w:val="00A06340"/>
    <w:rsid w:val="00A0684F"/>
    <w:rsid w:val="00A06867"/>
    <w:rsid w:val="00A10148"/>
    <w:rsid w:val="00A113FD"/>
    <w:rsid w:val="00A11DDE"/>
    <w:rsid w:val="00A127A7"/>
    <w:rsid w:val="00A129F4"/>
    <w:rsid w:val="00A136F4"/>
    <w:rsid w:val="00A160D3"/>
    <w:rsid w:val="00A16DC9"/>
    <w:rsid w:val="00A20225"/>
    <w:rsid w:val="00A24269"/>
    <w:rsid w:val="00A243E4"/>
    <w:rsid w:val="00A25392"/>
    <w:rsid w:val="00A25ED4"/>
    <w:rsid w:val="00A263DF"/>
    <w:rsid w:val="00A26C5C"/>
    <w:rsid w:val="00A3026E"/>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276D"/>
    <w:rsid w:val="00A4376E"/>
    <w:rsid w:val="00A44D57"/>
    <w:rsid w:val="00A4572B"/>
    <w:rsid w:val="00A46246"/>
    <w:rsid w:val="00A46349"/>
    <w:rsid w:val="00A46D5E"/>
    <w:rsid w:val="00A50847"/>
    <w:rsid w:val="00A512C7"/>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32F0"/>
    <w:rsid w:val="00A74F9F"/>
    <w:rsid w:val="00A750B3"/>
    <w:rsid w:val="00A75559"/>
    <w:rsid w:val="00A7623D"/>
    <w:rsid w:val="00A8217C"/>
    <w:rsid w:val="00A824A7"/>
    <w:rsid w:val="00A83644"/>
    <w:rsid w:val="00A83C07"/>
    <w:rsid w:val="00A83F40"/>
    <w:rsid w:val="00A84945"/>
    <w:rsid w:val="00A85543"/>
    <w:rsid w:val="00A86EDD"/>
    <w:rsid w:val="00A8728B"/>
    <w:rsid w:val="00A91682"/>
    <w:rsid w:val="00A92125"/>
    <w:rsid w:val="00A92E4A"/>
    <w:rsid w:val="00A95314"/>
    <w:rsid w:val="00A958CA"/>
    <w:rsid w:val="00A966B6"/>
    <w:rsid w:val="00A96B46"/>
    <w:rsid w:val="00AA003B"/>
    <w:rsid w:val="00AA016B"/>
    <w:rsid w:val="00AA15DD"/>
    <w:rsid w:val="00AA1C09"/>
    <w:rsid w:val="00AA2F67"/>
    <w:rsid w:val="00AA3569"/>
    <w:rsid w:val="00AA55E8"/>
    <w:rsid w:val="00AA5F4C"/>
    <w:rsid w:val="00AA615C"/>
    <w:rsid w:val="00AA6276"/>
    <w:rsid w:val="00AA6711"/>
    <w:rsid w:val="00AB0A0F"/>
    <w:rsid w:val="00AB2AEC"/>
    <w:rsid w:val="00AB2DC1"/>
    <w:rsid w:val="00AB3102"/>
    <w:rsid w:val="00AB3D9A"/>
    <w:rsid w:val="00AB4824"/>
    <w:rsid w:val="00AB4B1D"/>
    <w:rsid w:val="00AB6B5E"/>
    <w:rsid w:val="00AC047F"/>
    <w:rsid w:val="00AC0DB2"/>
    <w:rsid w:val="00AC3934"/>
    <w:rsid w:val="00AC50C8"/>
    <w:rsid w:val="00AC5581"/>
    <w:rsid w:val="00AC56AD"/>
    <w:rsid w:val="00AC61BE"/>
    <w:rsid w:val="00AC7E8A"/>
    <w:rsid w:val="00AD0C8A"/>
    <w:rsid w:val="00AD0CB4"/>
    <w:rsid w:val="00AD1FF2"/>
    <w:rsid w:val="00AD2A21"/>
    <w:rsid w:val="00AD305B"/>
    <w:rsid w:val="00AD3B43"/>
    <w:rsid w:val="00AD4FF2"/>
    <w:rsid w:val="00AD506C"/>
    <w:rsid w:val="00AD6BE5"/>
    <w:rsid w:val="00AD783E"/>
    <w:rsid w:val="00AE1393"/>
    <w:rsid w:val="00AE2A0A"/>
    <w:rsid w:val="00AE3BC6"/>
    <w:rsid w:val="00AE4D4F"/>
    <w:rsid w:val="00AE627C"/>
    <w:rsid w:val="00AE62B0"/>
    <w:rsid w:val="00AE68A2"/>
    <w:rsid w:val="00AF0029"/>
    <w:rsid w:val="00AF0354"/>
    <w:rsid w:val="00AF1236"/>
    <w:rsid w:val="00AF3C29"/>
    <w:rsid w:val="00AF4401"/>
    <w:rsid w:val="00AF4463"/>
    <w:rsid w:val="00AF502B"/>
    <w:rsid w:val="00AF53CB"/>
    <w:rsid w:val="00AF65C5"/>
    <w:rsid w:val="00AF6BA6"/>
    <w:rsid w:val="00B03CE2"/>
    <w:rsid w:val="00B06544"/>
    <w:rsid w:val="00B105F2"/>
    <w:rsid w:val="00B1099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F86"/>
    <w:rsid w:val="00B248A0"/>
    <w:rsid w:val="00B24B42"/>
    <w:rsid w:val="00B24DC6"/>
    <w:rsid w:val="00B24E30"/>
    <w:rsid w:val="00B258F3"/>
    <w:rsid w:val="00B25E0D"/>
    <w:rsid w:val="00B2659C"/>
    <w:rsid w:val="00B26B13"/>
    <w:rsid w:val="00B26BD2"/>
    <w:rsid w:val="00B26FD7"/>
    <w:rsid w:val="00B270AB"/>
    <w:rsid w:val="00B2725B"/>
    <w:rsid w:val="00B306FC"/>
    <w:rsid w:val="00B309D2"/>
    <w:rsid w:val="00B30E4F"/>
    <w:rsid w:val="00B3124F"/>
    <w:rsid w:val="00B33294"/>
    <w:rsid w:val="00B33657"/>
    <w:rsid w:val="00B34885"/>
    <w:rsid w:val="00B34D68"/>
    <w:rsid w:val="00B36117"/>
    <w:rsid w:val="00B362E3"/>
    <w:rsid w:val="00B37C73"/>
    <w:rsid w:val="00B4009B"/>
    <w:rsid w:val="00B400A1"/>
    <w:rsid w:val="00B40A2B"/>
    <w:rsid w:val="00B420CB"/>
    <w:rsid w:val="00B4401C"/>
    <w:rsid w:val="00B44802"/>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5C57"/>
    <w:rsid w:val="00B57107"/>
    <w:rsid w:val="00B57FAD"/>
    <w:rsid w:val="00B60D27"/>
    <w:rsid w:val="00B619E4"/>
    <w:rsid w:val="00B61CD3"/>
    <w:rsid w:val="00B61D0B"/>
    <w:rsid w:val="00B6351C"/>
    <w:rsid w:val="00B6439A"/>
    <w:rsid w:val="00B6443B"/>
    <w:rsid w:val="00B6517B"/>
    <w:rsid w:val="00B65E71"/>
    <w:rsid w:val="00B66C26"/>
    <w:rsid w:val="00B67829"/>
    <w:rsid w:val="00B71FB3"/>
    <w:rsid w:val="00B73492"/>
    <w:rsid w:val="00B7512A"/>
    <w:rsid w:val="00B75265"/>
    <w:rsid w:val="00B76548"/>
    <w:rsid w:val="00B76BED"/>
    <w:rsid w:val="00B806E6"/>
    <w:rsid w:val="00B82DC1"/>
    <w:rsid w:val="00B835D5"/>
    <w:rsid w:val="00B84028"/>
    <w:rsid w:val="00B84307"/>
    <w:rsid w:val="00B8430D"/>
    <w:rsid w:val="00B85661"/>
    <w:rsid w:val="00B85C8A"/>
    <w:rsid w:val="00B86FBD"/>
    <w:rsid w:val="00B90C16"/>
    <w:rsid w:val="00B91B86"/>
    <w:rsid w:val="00B927CA"/>
    <w:rsid w:val="00B928AE"/>
    <w:rsid w:val="00B93CDA"/>
    <w:rsid w:val="00B942E9"/>
    <w:rsid w:val="00B9433A"/>
    <w:rsid w:val="00B948EE"/>
    <w:rsid w:val="00B94BF3"/>
    <w:rsid w:val="00B94F90"/>
    <w:rsid w:val="00B95DC5"/>
    <w:rsid w:val="00B96E28"/>
    <w:rsid w:val="00B97E34"/>
    <w:rsid w:val="00B97FEF"/>
    <w:rsid w:val="00BA1354"/>
    <w:rsid w:val="00BA24F8"/>
    <w:rsid w:val="00BA31AA"/>
    <w:rsid w:val="00BA45D8"/>
    <w:rsid w:val="00BA4B5A"/>
    <w:rsid w:val="00BA5828"/>
    <w:rsid w:val="00BA64B3"/>
    <w:rsid w:val="00BA754A"/>
    <w:rsid w:val="00BA7820"/>
    <w:rsid w:val="00BA794C"/>
    <w:rsid w:val="00BB09FB"/>
    <w:rsid w:val="00BB1973"/>
    <w:rsid w:val="00BB238D"/>
    <w:rsid w:val="00BB37CC"/>
    <w:rsid w:val="00BB48C4"/>
    <w:rsid w:val="00BB61C2"/>
    <w:rsid w:val="00BB6907"/>
    <w:rsid w:val="00BB7A20"/>
    <w:rsid w:val="00BC15B1"/>
    <w:rsid w:val="00BC3C06"/>
    <w:rsid w:val="00BC4E8B"/>
    <w:rsid w:val="00BC5622"/>
    <w:rsid w:val="00BC6060"/>
    <w:rsid w:val="00BC6A9F"/>
    <w:rsid w:val="00BC7897"/>
    <w:rsid w:val="00BD06D7"/>
    <w:rsid w:val="00BD0F35"/>
    <w:rsid w:val="00BD45A4"/>
    <w:rsid w:val="00BD4A5F"/>
    <w:rsid w:val="00BD59AA"/>
    <w:rsid w:val="00BD65E6"/>
    <w:rsid w:val="00BD6AF7"/>
    <w:rsid w:val="00BD73AA"/>
    <w:rsid w:val="00BE19EF"/>
    <w:rsid w:val="00BE425B"/>
    <w:rsid w:val="00BE51BB"/>
    <w:rsid w:val="00BE6747"/>
    <w:rsid w:val="00BE7595"/>
    <w:rsid w:val="00BE77D3"/>
    <w:rsid w:val="00BF0138"/>
    <w:rsid w:val="00BF114B"/>
    <w:rsid w:val="00BF1620"/>
    <w:rsid w:val="00BF1AC3"/>
    <w:rsid w:val="00BF373A"/>
    <w:rsid w:val="00BF409D"/>
    <w:rsid w:val="00BF47E3"/>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8C1"/>
    <w:rsid w:val="00C2294E"/>
    <w:rsid w:val="00C22A5B"/>
    <w:rsid w:val="00C23412"/>
    <w:rsid w:val="00C264C7"/>
    <w:rsid w:val="00C2682A"/>
    <w:rsid w:val="00C271C4"/>
    <w:rsid w:val="00C274F3"/>
    <w:rsid w:val="00C30A54"/>
    <w:rsid w:val="00C316F7"/>
    <w:rsid w:val="00C31DF0"/>
    <w:rsid w:val="00C33916"/>
    <w:rsid w:val="00C33BCF"/>
    <w:rsid w:val="00C353A0"/>
    <w:rsid w:val="00C368D7"/>
    <w:rsid w:val="00C36FD1"/>
    <w:rsid w:val="00C371A5"/>
    <w:rsid w:val="00C400B0"/>
    <w:rsid w:val="00C413FC"/>
    <w:rsid w:val="00C42424"/>
    <w:rsid w:val="00C43D33"/>
    <w:rsid w:val="00C44407"/>
    <w:rsid w:val="00C456E8"/>
    <w:rsid w:val="00C46630"/>
    <w:rsid w:val="00C47A2F"/>
    <w:rsid w:val="00C50D18"/>
    <w:rsid w:val="00C51179"/>
    <w:rsid w:val="00C5156C"/>
    <w:rsid w:val="00C5282C"/>
    <w:rsid w:val="00C52FBE"/>
    <w:rsid w:val="00C5355E"/>
    <w:rsid w:val="00C535E2"/>
    <w:rsid w:val="00C53FC1"/>
    <w:rsid w:val="00C54034"/>
    <w:rsid w:val="00C551D2"/>
    <w:rsid w:val="00C56438"/>
    <w:rsid w:val="00C570B3"/>
    <w:rsid w:val="00C57114"/>
    <w:rsid w:val="00C6009F"/>
    <w:rsid w:val="00C60417"/>
    <w:rsid w:val="00C6046F"/>
    <w:rsid w:val="00C638C2"/>
    <w:rsid w:val="00C651D4"/>
    <w:rsid w:val="00C6669E"/>
    <w:rsid w:val="00C672B0"/>
    <w:rsid w:val="00C729C7"/>
    <w:rsid w:val="00C751EC"/>
    <w:rsid w:val="00C777AD"/>
    <w:rsid w:val="00C80C53"/>
    <w:rsid w:val="00C81195"/>
    <w:rsid w:val="00C81798"/>
    <w:rsid w:val="00C85387"/>
    <w:rsid w:val="00C85E52"/>
    <w:rsid w:val="00C86471"/>
    <w:rsid w:val="00C8677B"/>
    <w:rsid w:val="00C86F96"/>
    <w:rsid w:val="00C909C6"/>
    <w:rsid w:val="00C923B7"/>
    <w:rsid w:val="00C94D4C"/>
    <w:rsid w:val="00C96C1E"/>
    <w:rsid w:val="00C96CA4"/>
    <w:rsid w:val="00CA012C"/>
    <w:rsid w:val="00CA0AA6"/>
    <w:rsid w:val="00CA2897"/>
    <w:rsid w:val="00CA44F3"/>
    <w:rsid w:val="00CA582C"/>
    <w:rsid w:val="00CA5D2E"/>
    <w:rsid w:val="00CA6077"/>
    <w:rsid w:val="00CA715B"/>
    <w:rsid w:val="00CA7988"/>
    <w:rsid w:val="00CA7BA2"/>
    <w:rsid w:val="00CB0B78"/>
    <w:rsid w:val="00CB12A5"/>
    <w:rsid w:val="00CB17FA"/>
    <w:rsid w:val="00CB23D8"/>
    <w:rsid w:val="00CB2ED9"/>
    <w:rsid w:val="00CB36A5"/>
    <w:rsid w:val="00CB56B4"/>
    <w:rsid w:val="00CB7286"/>
    <w:rsid w:val="00CB7947"/>
    <w:rsid w:val="00CC1783"/>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4EB0"/>
    <w:rsid w:val="00CD512D"/>
    <w:rsid w:val="00CD5831"/>
    <w:rsid w:val="00CD6F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6937"/>
    <w:rsid w:val="00D07AFD"/>
    <w:rsid w:val="00D10F3F"/>
    <w:rsid w:val="00D11749"/>
    <w:rsid w:val="00D117B4"/>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29F6"/>
    <w:rsid w:val="00D33881"/>
    <w:rsid w:val="00D34282"/>
    <w:rsid w:val="00D366B1"/>
    <w:rsid w:val="00D37858"/>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3941"/>
    <w:rsid w:val="00D54050"/>
    <w:rsid w:val="00D56AC0"/>
    <w:rsid w:val="00D6081B"/>
    <w:rsid w:val="00D608FB"/>
    <w:rsid w:val="00D60960"/>
    <w:rsid w:val="00D6240A"/>
    <w:rsid w:val="00D63093"/>
    <w:rsid w:val="00D63599"/>
    <w:rsid w:val="00D63EBD"/>
    <w:rsid w:val="00D67101"/>
    <w:rsid w:val="00D71B45"/>
    <w:rsid w:val="00D71F8A"/>
    <w:rsid w:val="00D75603"/>
    <w:rsid w:val="00D75FEE"/>
    <w:rsid w:val="00D76933"/>
    <w:rsid w:val="00D76D88"/>
    <w:rsid w:val="00D77CC9"/>
    <w:rsid w:val="00D83D4B"/>
    <w:rsid w:val="00D871C6"/>
    <w:rsid w:val="00D91010"/>
    <w:rsid w:val="00D9143D"/>
    <w:rsid w:val="00D920D1"/>
    <w:rsid w:val="00DA0FA7"/>
    <w:rsid w:val="00DA12B0"/>
    <w:rsid w:val="00DA2BA0"/>
    <w:rsid w:val="00DA39AD"/>
    <w:rsid w:val="00DA3DF2"/>
    <w:rsid w:val="00DA5B13"/>
    <w:rsid w:val="00DA6917"/>
    <w:rsid w:val="00DA6926"/>
    <w:rsid w:val="00DB0965"/>
    <w:rsid w:val="00DB0E47"/>
    <w:rsid w:val="00DB2BDD"/>
    <w:rsid w:val="00DB4121"/>
    <w:rsid w:val="00DB46C3"/>
    <w:rsid w:val="00DB55D1"/>
    <w:rsid w:val="00DB5742"/>
    <w:rsid w:val="00DB5EDF"/>
    <w:rsid w:val="00DB6C46"/>
    <w:rsid w:val="00DB72B8"/>
    <w:rsid w:val="00DC16AF"/>
    <w:rsid w:val="00DC2A9A"/>
    <w:rsid w:val="00DC2E2E"/>
    <w:rsid w:val="00DC4D68"/>
    <w:rsid w:val="00DC6463"/>
    <w:rsid w:val="00DC7822"/>
    <w:rsid w:val="00DC7AF1"/>
    <w:rsid w:val="00DD2CDA"/>
    <w:rsid w:val="00DD2D92"/>
    <w:rsid w:val="00DD3026"/>
    <w:rsid w:val="00DD33DC"/>
    <w:rsid w:val="00DD3BB0"/>
    <w:rsid w:val="00DD54B5"/>
    <w:rsid w:val="00DD61F5"/>
    <w:rsid w:val="00DD7418"/>
    <w:rsid w:val="00DE64A6"/>
    <w:rsid w:val="00DE66EB"/>
    <w:rsid w:val="00DE7035"/>
    <w:rsid w:val="00DF12E3"/>
    <w:rsid w:val="00DF2A20"/>
    <w:rsid w:val="00DF3F1D"/>
    <w:rsid w:val="00DF595C"/>
    <w:rsid w:val="00DF7EA7"/>
    <w:rsid w:val="00E04548"/>
    <w:rsid w:val="00E0484E"/>
    <w:rsid w:val="00E063F8"/>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40974"/>
    <w:rsid w:val="00E40AAB"/>
    <w:rsid w:val="00E41205"/>
    <w:rsid w:val="00E41F32"/>
    <w:rsid w:val="00E42608"/>
    <w:rsid w:val="00E43536"/>
    <w:rsid w:val="00E43DA3"/>
    <w:rsid w:val="00E44B80"/>
    <w:rsid w:val="00E45938"/>
    <w:rsid w:val="00E47430"/>
    <w:rsid w:val="00E474BD"/>
    <w:rsid w:val="00E50FB7"/>
    <w:rsid w:val="00E5199F"/>
    <w:rsid w:val="00E526DF"/>
    <w:rsid w:val="00E53C15"/>
    <w:rsid w:val="00E54EE6"/>
    <w:rsid w:val="00E56715"/>
    <w:rsid w:val="00E56C2C"/>
    <w:rsid w:val="00E57F8E"/>
    <w:rsid w:val="00E60B13"/>
    <w:rsid w:val="00E611C8"/>
    <w:rsid w:val="00E6344A"/>
    <w:rsid w:val="00E64E69"/>
    <w:rsid w:val="00E64FB7"/>
    <w:rsid w:val="00E669A1"/>
    <w:rsid w:val="00E679BA"/>
    <w:rsid w:val="00E70243"/>
    <w:rsid w:val="00E70E2E"/>
    <w:rsid w:val="00E72CC6"/>
    <w:rsid w:val="00E73D44"/>
    <w:rsid w:val="00E7494A"/>
    <w:rsid w:val="00E74BE2"/>
    <w:rsid w:val="00E74C66"/>
    <w:rsid w:val="00E75933"/>
    <w:rsid w:val="00E77A1B"/>
    <w:rsid w:val="00E808BE"/>
    <w:rsid w:val="00E81E36"/>
    <w:rsid w:val="00E81E40"/>
    <w:rsid w:val="00E82ECE"/>
    <w:rsid w:val="00E8713B"/>
    <w:rsid w:val="00E87AFB"/>
    <w:rsid w:val="00E90774"/>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4763"/>
    <w:rsid w:val="00EB6CB7"/>
    <w:rsid w:val="00EC078B"/>
    <w:rsid w:val="00EC07A0"/>
    <w:rsid w:val="00EC08E4"/>
    <w:rsid w:val="00EC3086"/>
    <w:rsid w:val="00EC3CB4"/>
    <w:rsid w:val="00EC443E"/>
    <w:rsid w:val="00EC4D83"/>
    <w:rsid w:val="00EC4EEE"/>
    <w:rsid w:val="00EC634F"/>
    <w:rsid w:val="00EC6848"/>
    <w:rsid w:val="00EC6C6E"/>
    <w:rsid w:val="00EC7B97"/>
    <w:rsid w:val="00ED049C"/>
    <w:rsid w:val="00ED07B7"/>
    <w:rsid w:val="00ED19D7"/>
    <w:rsid w:val="00ED206C"/>
    <w:rsid w:val="00ED2167"/>
    <w:rsid w:val="00ED351E"/>
    <w:rsid w:val="00ED4B27"/>
    <w:rsid w:val="00ED543C"/>
    <w:rsid w:val="00ED6BA4"/>
    <w:rsid w:val="00ED7DA7"/>
    <w:rsid w:val="00EE0598"/>
    <w:rsid w:val="00EE311C"/>
    <w:rsid w:val="00EE56FF"/>
    <w:rsid w:val="00EE5886"/>
    <w:rsid w:val="00EE5FBF"/>
    <w:rsid w:val="00EE6472"/>
    <w:rsid w:val="00EE76F2"/>
    <w:rsid w:val="00EF0769"/>
    <w:rsid w:val="00EF0D7C"/>
    <w:rsid w:val="00EF314C"/>
    <w:rsid w:val="00EF383B"/>
    <w:rsid w:val="00EF40D8"/>
    <w:rsid w:val="00EF40E2"/>
    <w:rsid w:val="00EF61C1"/>
    <w:rsid w:val="00EF6E68"/>
    <w:rsid w:val="00EF76DB"/>
    <w:rsid w:val="00F005FD"/>
    <w:rsid w:val="00F016BE"/>
    <w:rsid w:val="00F02C04"/>
    <w:rsid w:val="00F03AF1"/>
    <w:rsid w:val="00F04BCD"/>
    <w:rsid w:val="00F05A8C"/>
    <w:rsid w:val="00F06211"/>
    <w:rsid w:val="00F107EF"/>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44E"/>
    <w:rsid w:val="00F32462"/>
    <w:rsid w:val="00F32FF7"/>
    <w:rsid w:val="00F33EDE"/>
    <w:rsid w:val="00F3568B"/>
    <w:rsid w:val="00F377CD"/>
    <w:rsid w:val="00F40C3B"/>
    <w:rsid w:val="00F40CE0"/>
    <w:rsid w:val="00F42DBC"/>
    <w:rsid w:val="00F4308D"/>
    <w:rsid w:val="00F44012"/>
    <w:rsid w:val="00F44947"/>
    <w:rsid w:val="00F458EF"/>
    <w:rsid w:val="00F469F8"/>
    <w:rsid w:val="00F47121"/>
    <w:rsid w:val="00F4775D"/>
    <w:rsid w:val="00F504DD"/>
    <w:rsid w:val="00F50874"/>
    <w:rsid w:val="00F516C6"/>
    <w:rsid w:val="00F52221"/>
    <w:rsid w:val="00F52B28"/>
    <w:rsid w:val="00F536BB"/>
    <w:rsid w:val="00F53755"/>
    <w:rsid w:val="00F53E59"/>
    <w:rsid w:val="00F5475B"/>
    <w:rsid w:val="00F55960"/>
    <w:rsid w:val="00F574D0"/>
    <w:rsid w:val="00F6031F"/>
    <w:rsid w:val="00F61664"/>
    <w:rsid w:val="00F61B99"/>
    <w:rsid w:val="00F64C45"/>
    <w:rsid w:val="00F6502B"/>
    <w:rsid w:val="00F6612A"/>
    <w:rsid w:val="00F66724"/>
    <w:rsid w:val="00F67F04"/>
    <w:rsid w:val="00F70207"/>
    <w:rsid w:val="00F702CB"/>
    <w:rsid w:val="00F716D4"/>
    <w:rsid w:val="00F71AC2"/>
    <w:rsid w:val="00F71E0E"/>
    <w:rsid w:val="00F739D4"/>
    <w:rsid w:val="00F77D43"/>
    <w:rsid w:val="00F80953"/>
    <w:rsid w:val="00F80B5C"/>
    <w:rsid w:val="00F81312"/>
    <w:rsid w:val="00F81B90"/>
    <w:rsid w:val="00F81E6F"/>
    <w:rsid w:val="00F82FF3"/>
    <w:rsid w:val="00F83468"/>
    <w:rsid w:val="00F8453C"/>
    <w:rsid w:val="00F84D4C"/>
    <w:rsid w:val="00F8657D"/>
    <w:rsid w:val="00F8730F"/>
    <w:rsid w:val="00F87468"/>
    <w:rsid w:val="00F87897"/>
    <w:rsid w:val="00F87DA3"/>
    <w:rsid w:val="00F90004"/>
    <w:rsid w:val="00F90EF4"/>
    <w:rsid w:val="00F917BF"/>
    <w:rsid w:val="00F920B4"/>
    <w:rsid w:val="00F9260D"/>
    <w:rsid w:val="00F92727"/>
    <w:rsid w:val="00F93646"/>
    <w:rsid w:val="00F93CCF"/>
    <w:rsid w:val="00F94307"/>
    <w:rsid w:val="00F9580B"/>
    <w:rsid w:val="00F95F15"/>
    <w:rsid w:val="00F975CA"/>
    <w:rsid w:val="00FA0B60"/>
    <w:rsid w:val="00FA21B1"/>
    <w:rsid w:val="00FA2528"/>
    <w:rsid w:val="00FA4100"/>
    <w:rsid w:val="00FA5524"/>
    <w:rsid w:val="00FA5535"/>
    <w:rsid w:val="00FA7206"/>
    <w:rsid w:val="00FA7EFB"/>
    <w:rsid w:val="00FB0816"/>
    <w:rsid w:val="00FB08C2"/>
    <w:rsid w:val="00FB3DD1"/>
    <w:rsid w:val="00FB51FD"/>
    <w:rsid w:val="00FB5667"/>
    <w:rsid w:val="00FB629B"/>
    <w:rsid w:val="00FB7A97"/>
    <w:rsid w:val="00FB7C12"/>
    <w:rsid w:val="00FC1601"/>
    <w:rsid w:val="00FC1B9B"/>
    <w:rsid w:val="00FC318D"/>
    <w:rsid w:val="00FC36CF"/>
    <w:rsid w:val="00FC40BC"/>
    <w:rsid w:val="00FC41FC"/>
    <w:rsid w:val="00FC4F6E"/>
    <w:rsid w:val="00FC506C"/>
    <w:rsid w:val="00FC578C"/>
    <w:rsid w:val="00FC5A37"/>
    <w:rsid w:val="00FC7836"/>
    <w:rsid w:val="00FD13EA"/>
    <w:rsid w:val="00FD5EC4"/>
    <w:rsid w:val="00FD7858"/>
    <w:rsid w:val="00FD7A8D"/>
    <w:rsid w:val="00FE11A0"/>
    <w:rsid w:val="00FE1330"/>
    <w:rsid w:val="00FE1CE5"/>
    <w:rsid w:val="00FE2832"/>
    <w:rsid w:val="00FE2D38"/>
    <w:rsid w:val="00FE3929"/>
    <w:rsid w:val="00FE3E32"/>
    <w:rsid w:val="00FF097B"/>
    <w:rsid w:val="00FF0B6E"/>
    <w:rsid w:val="00FF1C1B"/>
    <w:rsid w:val="00FF2067"/>
    <w:rsid w:val="00FF3BC4"/>
    <w:rsid w:val="00FF4B66"/>
    <w:rsid w:val="00FF5939"/>
    <w:rsid w:val="00FF688E"/>
    <w:rsid w:val="2D0F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d4491,#283583"/>
    </o:shapedefaults>
    <o:shapelayout v:ext="edit">
      <o:idmap v:ext="edit" data="2"/>
    </o:shapelayout>
  </w:shapeDefaults>
  <w:decimalSymbol w:val=","/>
  <w:listSeparator w:val=","/>
  <w14:docId w14:val="58C3B7DE"/>
  <w15:docId w15:val="{8635646D-F3FD-4B53-9199-E1F8DE9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Heading1">
    <w:name w:val="heading 1"/>
    <w:basedOn w:val="Normal"/>
    <w:next w:val="Normal"/>
    <w:link w:val="Heading1Char"/>
    <w:qFormat/>
    <w:locked/>
    <w:rsid w:val="00BB1973"/>
    <w:pPr>
      <w:keepNext/>
      <w:numPr>
        <w:numId w:val="36"/>
      </w:numPr>
      <w:spacing w:before="240" w:after="60" w:line="360" w:lineRule="auto"/>
      <w:outlineLvl w:val="0"/>
    </w:pPr>
    <w:rPr>
      <w:b/>
      <w:bCs/>
      <w:color w:val="00379F"/>
      <w:kern w:val="32"/>
      <w:sz w:val="28"/>
      <w:szCs w:val="28"/>
    </w:rPr>
  </w:style>
  <w:style w:type="paragraph" w:styleId="Heading2">
    <w:name w:val="heading 2"/>
    <w:basedOn w:val="Normal"/>
    <w:next w:val="Normal"/>
    <w:link w:val="Heading2Char2"/>
    <w:qFormat/>
    <w:locked/>
    <w:rsid w:val="00886A60"/>
    <w:pPr>
      <w:keepNext/>
      <w:keepLines/>
      <w:spacing w:before="200" w:after="120"/>
      <w:outlineLvl w:val="1"/>
    </w:pPr>
    <w:rPr>
      <w:b/>
      <w:bCs/>
      <w:szCs w:val="26"/>
    </w:rPr>
  </w:style>
  <w:style w:type="paragraph" w:styleId="Heading3">
    <w:name w:val="heading 3"/>
    <w:basedOn w:val="Normal"/>
    <w:next w:val="Normal"/>
    <w:link w:val="Heading3Char2"/>
    <w:qFormat/>
    <w:locked/>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uiPriority w:val="9"/>
    <w:qFormat/>
    <w:locked/>
    <w:rsid w:val="00E9344E"/>
    <w:pPr>
      <w:keepNext/>
      <w:keepLines/>
      <w:numPr>
        <w:numId w:val="12"/>
      </w:numPr>
      <w:spacing w:before="200"/>
      <w:outlineLvl w:val="4"/>
    </w:pPr>
    <w:rPr>
      <w:b/>
    </w:rPr>
  </w:style>
  <w:style w:type="paragraph" w:styleId="Heading6">
    <w:name w:val="heading 6"/>
    <w:basedOn w:val="Normal"/>
    <w:next w:val="Normal"/>
    <w:link w:val="Heading6Char"/>
    <w:qFormat/>
    <w:locked/>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locked/>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locked/>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locked/>
    <w:rsid w:val="00A06867"/>
    <w:pPr>
      <w:tabs>
        <w:tab w:val="num" w:pos="1584"/>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locked/>
    <w:rsid w:val="005B64CB"/>
    <w:pPr>
      <w:tabs>
        <w:tab w:val="center" w:pos="4536"/>
        <w:tab w:val="right" w:pos="9072"/>
      </w:tabs>
    </w:pPr>
  </w:style>
  <w:style w:type="paragraph" w:styleId="Footer">
    <w:name w:val="footer"/>
    <w:basedOn w:val="Normal"/>
    <w:link w:val="FooterChar"/>
    <w:uiPriority w:val="99"/>
    <w:locked/>
    <w:rsid w:val="005B64CB"/>
    <w:pPr>
      <w:tabs>
        <w:tab w:val="center" w:pos="4536"/>
        <w:tab w:val="right" w:pos="9072"/>
      </w:tabs>
    </w:pPr>
  </w:style>
  <w:style w:type="table" w:styleId="TableGrid">
    <w:name w:val="Table Grid"/>
    <w:basedOn w:val="TableNormal"/>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locked/>
    <w:rsid w:val="003E3ACA"/>
    <w:pPr>
      <w:spacing w:line="200" w:lineRule="exact"/>
    </w:pPr>
    <w:rPr>
      <w:color w:val="2D4190"/>
      <w:sz w:val="16"/>
    </w:rPr>
  </w:style>
  <w:style w:type="paragraph" w:customStyle="1" w:styleId="05aTitle">
    <w:name w:val="05a_Title"/>
    <w:basedOn w:val="Normal"/>
    <w:locked/>
    <w:rsid w:val="00791EB4"/>
    <w:pPr>
      <w:spacing w:line="340" w:lineRule="exact"/>
    </w:pPr>
    <w:rPr>
      <w:b/>
      <w:color w:val="000000"/>
      <w:sz w:val="28"/>
    </w:rPr>
  </w:style>
  <w:style w:type="paragraph" w:customStyle="1" w:styleId="02Date">
    <w:name w:val="02_Date"/>
    <w:basedOn w:val="Normal"/>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Normal"/>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PageNumber">
    <w:name w:val="page number"/>
    <w:basedOn w:val="DefaultParagraphFon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Hyperlink">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
    <w:basedOn w:val="Normal"/>
    <w:link w:val="FootnoteTextChar"/>
    <w:qFormat/>
    <w:locked/>
    <w:rsid w:val="001725A5"/>
    <w:pPr>
      <w:spacing w:line="200" w:lineRule="exact"/>
    </w:pPr>
    <w:rPr>
      <w:sz w:val="16"/>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uiPriority w:val="99"/>
    <w:qFormat/>
    <w:locked/>
    <w:rsid w:val="00C274F3"/>
    <w:rPr>
      <w:vertAlign w:val="superscript"/>
    </w:rPr>
  </w:style>
  <w:style w:type="paragraph" w:styleId="TOC2">
    <w:name w:val="toc 2"/>
    <w:basedOn w:val="Normal"/>
    <w:next w:val="Normal"/>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Normal"/>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CommentReference">
    <w:name w:val="annotation reference"/>
    <w:locked/>
    <w:rsid w:val="004B1E61"/>
    <w:rPr>
      <w:sz w:val="16"/>
      <w:szCs w:val="16"/>
    </w:rPr>
  </w:style>
  <w:style w:type="paragraph" w:styleId="CommentText">
    <w:name w:val="annotation text"/>
    <w:basedOn w:val="Normal"/>
    <w:link w:val="CommentTextChar"/>
    <w:locked/>
    <w:rsid w:val="004B1E61"/>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locked/>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locked/>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Paragraphe de liste,Normal Nivel 1,List Paragraph Main,List first level,List Paragraph_Sections"/>
    <w:basedOn w:val="Normal"/>
    <w:link w:val="ListParagraphChar"/>
    <w:uiPriority w:val="34"/>
    <w:qFormat/>
    <w:locked/>
    <w:rsid w:val="002A0C82"/>
    <w:pPr>
      <w:ind w:left="720"/>
      <w:contextualSpacing/>
    </w:pPr>
  </w:style>
  <w:style w:type="paragraph" w:styleId="TOCHeading">
    <w:name w:val="TOC Heading"/>
    <w:basedOn w:val="Heading1"/>
    <w:next w:val="Normal"/>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w:link w:val="FootnoteText"/>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locked/>
    <w:rsid w:val="008E1B6A"/>
  </w:style>
  <w:style w:type="paragraph" w:customStyle="1" w:styleId="ManualNumPar1">
    <w:name w:val="Manual NumPar 1"/>
    <w:basedOn w:val="Normal"/>
    <w:next w:val="Normal"/>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Emphasis">
    <w:name w:val="Emphasis"/>
    <w:uiPriority w:val="20"/>
    <w:qFormat/>
    <w:locked/>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styleId="TOC4">
    <w:name w:val="toc 4"/>
    <w:basedOn w:val="Normal"/>
    <w:next w:val="Normal"/>
    <w:autoRedefine/>
    <w:uiPriority w:val="39"/>
    <w:unhideWhenUsed/>
    <w:locked/>
    <w:rsid w:val="00F377CD"/>
    <w:pPr>
      <w:spacing w:after="100"/>
      <w:ind w:left="660"/>
    </w:pPr>
    <w:rPr>
      <w:rFonts w:ascii="Calibri" w:hAnsi="Calibri"/>
      <w:szCs w:val="22"/>
      <w:lang w:eastAsia="en-GB"/>
    </w:rPr>
  </w:style>
  <w:style w:type="paragraph" w:styleId="TOC5">
    <w:name w:val="toc 5"/>
    <w:basedOn w:val="Normal"/>
    <w:next w:val="Normal"/>
    <w:autoRedefine/>
    <w:uiPriority w:val="39"/>
    <w:unhideWhenUsed/>
    <w:locked/>
    <w:rsid w:val="00F377CD"/>
    <w:pPr>
      <w:spacing w:after="100"/>
      <w:ind w:left="880"/>
    </w:pPr>
    <w:rPr>
      <w:rFonts w:ascii="Calibri" w:hAnsi="Calibri"/>
      <w:szCs w:val="22"/>
      <w:lang w:eastAsia="en-GB"/>
    </w:rPr>
  </w:style>
  <w:style w:type="paragraph" w:styleId="TOC6">
    <w:name w:val="toc 6"/>
    <w:basedOn w:val="Normal"/>
    <w:next w:val="Normal"/>
    <w:autoRedefine/>
    <w:uiPriority w:val="39"/>
    <w:unhideWhenUsed/>
    <w:locked/>
    <w:rsid w:val="00F377CD"/>
    <w:pPr>
      <w:spacing w:after="100"/>
      <w:ind w:left="1100"/>
    </w:pPr>
    <w:rPr>
      <w:rFonts w:ascii="Calibri" w:hAnsi="Calibri"/>
      <w:szCs w:val="22"/>
      <w:lang w:eastAsia="en-GB"/>
    </w:rPr>
  </w:style>
  <w:style w:type="paragraph" w:styleId="TOC7">
    <w:name w:val="toc 7"/>
    <w:basedOn w:val="Normal"/>
    <w:next w:val="Normal"/>
    <w:autoRedefine/>
    <w:uiPriority w:val="39"/>
    <w:unhideWhenUsed/>
    <w:locked/>
    <w:rsid w:val="00F377CD"/>
    <w:pPr>
      <w:spacing w:after="100"/>
      <w:ind w:left="1320"/>
    </w:pPr>
    <w:rPr>
      <w:rFonts w:ascii="Calibri" w:hAnsi="Calibri"/>
      <w:szCs w:val="22"/>
      <w:lang w:eastAsia="en-GB"/>
    </w:rPr>
  </w:style>
  <w:style w:type="paragraph" w:styleId="TOC8">
    <w:name w:val="toc 8"/>
    <w:basedOn w:val="Normal"/>
    <w:next w:val="Normal"/>
    <w:autoRedefine/>
    <w:uiPriority w:val="39"/>
    <w:unhideWhenUsed/>
    <w:locked/>
    <w:rsid w:val="00F377CD"/>
    <w:pPr>
      <w:spacing w:after="100"/>
      <w:ind w:left="1540"/>
    </w:pPr>
    <w:rPr>
      <w:rFonts w:ascii="Calibri" w:hAnsi="Calibri"/>
      <w:szCs w:val="22"/>
      <w:lang w:eastAsia="en-GB"/>
    </w:rPr>
  </w:style>
  <w:style w:type="paragraph" w:styleId="TOC9">
    <w:name w:val="toc 9"/>
    <w:basedOn w:val="Normal"/>
    <w:next w:val="Normal"/>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Caption">
    <w:name w:val="caption"/>
    <w:basedOn w:val="Normal"/>
    <w:next w:val="Normal"/>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DocumentMap">
    <w:name w:val="Document Map"/>
    <w:basedOn w:val="Normal"/>
    <w:link w:val="DocumentMapChar"/>
    <w:locked/>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lock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locked/>
    <w:rsid w:val="00AA016B"/>
    <w:pPr>
      <w:numPr>
        <w:numId w:val="7"/>
      </w:numPr>
      <w:spacing w:after="240"/>
    </w:pPr>
    <w:rPr>
      <w:rFonts w:ascii="Times New Roman" w:hAnsi="Times New Roman"/>
      <w:sz w:val="24"/>
      <w:lang w:eastAsia="en-GB"/>
    </w:rPr>
  </w:style>
  <w:style w:type="character" w:customStyle="1" w:styleId="BodyTextChar">
    <w:name w:val="Body Text Char"/>
    <w:link w:val="BodyText"/>
    <w:rsid w:val="00AA016B"/>
    <w:rPr>
      <w:rFonts w:eastAsiaTheme="minorEastAsia" w:cs="Arial"/>
      <w:color w:val="1A1A1A" w:themeColor="background1" w:themeShade="1A"/>
      <w:sz w:val="24"/>
    </w:rPr>
  </w:style>
  <w:style w:type="paragraph" w:customStyle="1" w:styleId="ListParagraph1">
    <w:name w:val="List Paragraph1"/>
    <w:basedOn w:val="Normal"/>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Strong">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Normal"/>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rFonts w:eastAsiaTheme="minorEastAsia" w:cs="Arial"/>
      <w:b/>
      <w:bCs/>
      <w:color w:val="1A1A1A" w:themeColor="background1" w:themeShade="1A"/>
      <w:sz w:val="22"/>
      <w:szCs w:val="22"/>
      <w:lang w:eastAsia="en-US"/>
    </w:rPr>
  </w:style>
  <w:style w:type="character" w:customStyle="1" w:styleId="Heading8Char">
    <w:name w:val="Heading 8 Char"/>
    <w:link w:val="Heading8"/>
    <w:rsid w:val="002D6E1A"/>
    <w:rPr>
      <w:rFonts w:eastAsiaTheme="minorEastAsia" w:cs="Arial"/>
      <w:i/>
      <w:iCs/>
      <w:color w:val="1A1A1A" w:themeColor="background1" w:themeShade="1A"/>
      <w:sz w:val="22"/>
      <w:lang w:eastAsia="en-US"/>
    </w:rPr>
  </w:style>
  <w:style w:type="numbering" w:customStyle="1" w:styleId="NoList1">
    <w:name w:val="No List1"/>
    <w:next w:val="NoList"/>
    <w:uiPriority w:val="99"/>
    <w:semiHidden/>
    <w:unhideWhenUsed/>
    <w:locked/>
    <w:rsid w:val="002D6E1A"/>
  </w:style>
  <w:style w:type="character" w:styleId="FollowedHyperlink">
    <w:name w:val="FollowedHyperlink"/>
    <w:unhideWhenUsed/>
    <w:lock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locked/>
    <w:rsid w:val="002D6E1A"/>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locked/>
    <w:rsid w:val="002D6E1A"/>
    <w:pPr>
      <w:numPr>
        <w:numId w:val="8"/>
      </w:numPr>
      <w:spacing w:before="120" w:after="120"/>
      <w:ind w:left="360" w:hanging="360"/>
    </w:pPr>
    <w:rPr>
      <w:rFonts w:ascii="Times New Roman" w:hAnsi="Times New Roman"/>
      <w:sz w:val="24"/>
    </w:rPr>
  </w:style>
  <w:style w:type="character" w:customStyle="1" w:styleId="ListParagraphChar">
    <w:name w:val="List Paragraph Char"/>
    <w:aliases w:val="Paragraphe EI Char,Paragraphe de liste1 Char,EC Char,Paragraphe de liste Char,Normal Nivel 1 Char,List Paragraph Main Char,List first level Char,List Paragraph_Sections Char"/>
    <w:link w:val="ListParagraph"/>
    <w:uiPriority w:val="34"/>
    <w:locked/>
    <w:rsid w:val="002D6E1A"/>
    <w:rPr>
      <w:rFonts w:ascii="Georgia" w:hAnsi="Georgia"/>
      <w:sz w:val="22"/>
      <w:szCs w:val="24"/>
      <w:lang w:eastAsia="de-DE"/>
    </w:rPr>
  </w:style>
  <w:style w:type="paragraph" w:customStyle="1" w:styleId="04anumbering0">
    <w:name w:val="04anumbering"/>
    <w:basedOn w:val="Normal"/>
    <w:locked/>
    <w:rsid w:val="002D6E1A"/>
    <w:pPr>
      <w:tabs>
        <w:tab w:val="num" w:pos="360"/>
      </w:tabs>
    </w:pPr>
    <w:rPr>
      <w:rFonts w:eastAsia="Calibri"/>
      <w:lang w:eastAsia="en-GB"/>
    </w:rPr>
  </w:style>
  <w:style w:type="paragraph" w:customStyle="1" w:styleId="Tiret1">
    <w:name w:val="Tiret 1"/>
    <w:basedOn w:val="Normal"/>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locked/>
    <w:rsid w:val="002D6E1A"/>
    <w:pPr>
      <w:ind w:left="708"/>
      <w:contextualSpacing w:val="0"/>
    </w:pPr>
    <w:rPr>
      <w:b/>
      <w:u w:val="single"/>
    </w:rPr>
  </w:style>
  <w:style w:type="paragraph" w:customStyle="1" w:styleId="Bullet">
    <w:name w:val="Bullet"/>
    <w:basedOn w:val="Normal"/>
    <w:locked/>
    <w:rsid w:val="002D6E1A"/>
    <w:pPr>
      <w:numPr>
        <w:numId w:val="10"/>
      </w:numPr>
      <w:tabs>
        <w:tab w:val="left" w:pos="708"/>
      </w:tabs>
      <w:spacing w:before="120" w:after="120"/>
    </w:pPr>
    <w:rPr>
      <w:lang w:eastAsia="en-GB"/>
    </w:rPr>
  </w:style>
  <w:style w:type="character" w:styleId="EndnoteReference">
    <w:name w:val="endnote reference"/>
    <w:unhideWhenUsed/>
    <w:locked/>
    <w:rsid w:val="002D6E1A"/>
    <w:rPr>
      <w:vertAlign w:val="superscript"/>
    </w:rPr>
  </w:style>
  <w:style w:type="character" w:styleId="PlaceholderText">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TableNormal"/>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locked/>
    <w:rsid w:val="00952F2C"/>
  </w:style>
  <w:style w:type="paragraph" w:customStyle="1" w:styleId="aStyle">
    <w:name w:val="a) Style"/>
    <w:basedOn w:val="Normal"/>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Heading5Char14">
    <w:name w:val="Heading 5 Char14"/>
    <w:aliases w:val="Questions Char7"/>
    <w:link w:val="Heading5"/>
    <w:uiPriority w:val="9"/>
    <w:rsid w:val="00E9344E"/>
    <w:rPr>
      <w:rFonts w:ascii="Arial" w:eastAsiaTheme="minorEastAsia" w:hAnsi="Arial" w:cs="Arial"/>
      <w:b/>
      <w:color w:val="1A1A1A" w:themeColor="background1" w:themeShade="1A"/>
      <w:sz w:val="22"/>
      <w:lang w:eastAsia="en-US"/>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Normal"/>
    <w:locked/>
    <w:rsid w:val="000D2D0B"/>
    <w:pPr>
      <w:spacing w:line="340" w:lineRule="exact"/>
      <w:ind w:left="397" w:hanging="397"/>
    </w:pPr>
    <w:rPr>
      <w:b/>
      <w:caps/>
      <w:color w:val="2D4190"/>
      <w:sz w:val="28"/>
      <w:lang w:val="de-DE"/>
    </w:rPr>
  </w:style>
  <w:style w:type="paragraph" w:customStyle="1" w:styleId="04RunningText">
    <w:name w:val="04_Running Text"/>
    <w:basedOn w:val="Normal"/>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Heading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Heading1"/>
    <w:next w:val="Normal"/>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locked/>
    <w:rsid w:val="000D2D0B"/>
    <w:pPr>
      <w:tabs>
        <w:tab w:val="num" w:pos="284"/>
      </w:tabs>
      <w:ind w:left="284" w:hanging="284"/>
    </w:pPr>
    <w:rPr>
      <w:rFonts w:eastAsia="Calibri"/>
      <w:lang w:eastAsia="en-GB"/>
    </w:rPr>
  </w:style>
  <w:style w:type="paragraph" w:customStyle="1" w:styleId="Listenabsatz1">
    <w:name w:val="Listenabsatz1"/>
    <w:basedOn w:val="Normal"/>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Normal"/>
    <w:locked/>
    <w:rsid w:val="000D2D0B"/>
    <w:pPr>
      <w:spacing w:line="260" w:lineRule="atLeast"/>
      <w:ind w:left="720"/>
      <w:contextualSpacing/>
    </w:pPr>
    <w:rPr>
      <w:rFonts w:ascii="Verdana" w:hAnsi="Verdana"/>
      <w:kern w:val="10"/>
      <w:lang w:val="de-DE"/>
    </w:rPr>
  </w:style>
  <w:style w:type="paragraph" w:customStyle="1" w:styleId="Considrant">
    <w:name w:val="Considérant"/>
    <w:basedOn w:val="Normal"/>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Normal"/>
    <w:next w:val="Normal"/>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Normal"/>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Normal"/>
    <w:rsid w:val="000D2D0B"/>
  </w:style>
  <w:style w:type="paragraph" w:customStyle="1" w:styleId="Sbuchead">
    <w:name w:val="Sbuchead"/>
    <w:basedOn w:val="Normal"/>
    <w:locked/>
    <w:rsid w:val="000D2D0B"/>
    <w:pPr>
      <w:spacing w:after="360"/>
    </w:pPr>
    <w:rPr>
      <w:rFonts w:ascii="Times New Roman" w:hAnsi="Times New Roman"/>
      <w:b/>
      <w:caps/>
      <w:sz w:val="24"/>
      <w:lang w:eastAsia="en-GB"/>
    </w:rPr>
  </w:style>
  <w:style w:type="paragraph" w:customStyle="1" w:styleId="Applicationdirecte">
    <w:name w:val="Application directe"/>
    <w:basedOn w:val="Normal"/>
    <w:next w:val="Fait"/>
    <w:locked/>
    <w:rsid w:val="000D2D0B"/>
    <w:pPr>
      <w:spacing w:before="480" w:after="120"/>
    </w:pPr>
    <w:rPr>
      <w:rFonts w:ascii="Times New Roman" w:hAnsi="Times New Roman"/>
      <w:sz w:val="24"/>
    </w:rPr>
  </w:style>
  <w:style w:type="paragraph" w:customStyle="1" w:styleId="Fait">
    <w:name w:val="Fait à"/>
    <w:basedOn w:val="Normal"/>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Normal"/>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Normal"/>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Normal"/>
    <w:next w:val="Normal"/>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locked/>
    <w:rsid w:val="000D2D0B"/>
    <w:pPr>
      <w:spacing w:before="360" w:after="360"/>
      <w:jc w:val="center"/>
    </w:pPr>
    <w:rPr>
      <w:rFonts w:ascii="Times New Roman" w:hAnsi="Times New Roman"/>
      <w:b/>
      <w:sz w:val="24"/>
    </w:rPr>
  </w:style>
  <w:style w:type="paragraph" w:customStyle="1" w:styleId="Typedudocument">
    <w:name w:val="Type du document"/>
    <w:basedOn w:val="Normal"/>
    <w:next w:val="Titreobjet"/>
    <w:locked/>
    <w:rsid w:val="000D2D0B"/>
    <w:pPr>
      <w:spacing w:before="360"/>
      <w:jc w:val="center"/>
    </w:pPr>
    <w:rPr>
      <w:rFonts w:ascii="Times New Roman" w:hAnsi="Times New Roman"/>
      <w:b/>
      <w:sz w:val="24"/>
    </w:rPr>
  </w:style>
  <w:style w:type="paragraph" w:customStyle="1" w:styleId="HeaderLandscape">
    <w:name w:val="HeaderLandscape"/>
    <w:basedOn w:val="Normal"/>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Normal"/>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Normal"/>
    <w:locked/>
    <w:rsid w:val="000D2D0B"/>
    <w:pPr>
      <w:spacing w:before="120" w:after="120"/>
      <w:ind w:left="850"/>
    </w:pPr>
    <w:rPr>
      <w:rFonts w:ascii="Times New Roman" w:hAnsi="Times New Roman"/>
      <w:sz w:val="24"/>
    </w:rPr>
  </w:style>
  <w:style w:type="paragraph" w:customStyle="1" w:styleId="Text2">
    <w:name w:val="Text 2"/>
    <w:basedOn w:val="Normal"/>
    <w:locked/>
    <w:rsid w:val="000D2D0B"/>
    <w:pPr>
      <w:spacing w:before="120" w:after="120"/>
      <w:ind w:left="1417"/>
    </w:pPr>
    <w:rPr>
      <w:rFonts w:ascii="Times New Roman" w:hAnsi="Times New Roman"/>
      <w:sz w:val="24"/>
    </w:rPr>
  </w:style>
  <w:style w:type="paragraph" w:customStyle="1" w:styleId="Text3">
    <w:name w:val="Text 3"/>
    <w:basedOn w:val="Normal"/>
    <w:locked/>
    <w:rsid w:val="000D2D0B"/>
    <w:pPr>
      <w:spacing w:before="120" w:after="120"/>
      <w:ind w:left="1984"/>
    </w:pPr>
    <w:rPr>
      <w:rFonts w:ascii="Times New Roman" w:hAnsi="Times New Roman"/>
      <w:sz w:val="24"/>
    </w:rPr>
  </w:style>
  <w:style w:type="paragraph" w:customStyle="1" w:styleId="Text4">
    <w:name w:val="Text 4"/>
    <w:basedOn w:val="Normal"/>
    <w:locked/>
    <w:rsid w:val="000D2D0B"/>
    <w:pPr>
      <w:spacing w:before="120" w:after="120"/>
      <w:ind w:left="2551"/>
    </w:pPr>
    <w:rPr>
      <w:rFonts w:ascii="Times New Roman" w:hAnsi="Times New Roman"/>
      <w:sz w:val="24"/>
    </w:rPr>
  </w:style>
  <w:style w:type="paragraph" w:customStyle="1" w:styleId="NormalCentered">
    <w:name w:val="Normal Centered"/>
    <w:basedOn w:val="Normal"/>
    <w:rsid w:val="000D2D0B"/>
    <w:pPr>
      <w:spacing w:before="120" w:after="120"/>
      <w:jc w:val="center"/>
    </w:pPr>
    <w:rPr>
      <w:rFonts w:ascii="Times New Roman" w:hAnsi="Times New Roman"/>
      <w:sz w:val="24"/>
    </w:rPr>
  </w:style>
  <w:style w:type="paragraph" w:customStyle="1" w:styleId="NormalLeft">
    <w:name w:val="Normal Left"/>
    <w:basedOn w:val="Normal"/>
    <w:rsid w:val="000D2D0B"/>
    <w:pPr>
      <w:spacing w:before="120" w:after="120"/>
    </w:pPr>
    <w:rPr>
      <w:rFonts w:ascii="Times New Roman" w:hAnsi="Times New Roman"/>
      <w:sz w:val="24"/>
    </w:rPr>
  </w:style>
  <w:style w:type="paragraph" w:customStyle="1" w:styleId="NormalRight">
    <w:name w:val="Normal Right"/>
    <w:basedOn w:val="Normal"/>
    <w:rsid w:val="000D2D0B"/>
    <w:pPr>
      <w:spacing w:before="120" w:after="120"/>
      <w:jc w:val="right"/>
    </w:pPr>
    <w:rPr>
      <w:rFonts w:ascii="Times New Roman" w:hAnsi="Times New Roman"/>
      <w:sz w:val="24"/>
    </w:rPr>
  </w:style>
  <w:style w:type="paragraph" w:customStyle="1" w:styleId="QuotedText">
    <w:name w:val="Quoted Text"/>
    <w:basedOn w:val="Normal"/>
    <w:locked/>
    <w:rsid w:val="000D2D0B"/>
    <w:pPr>
      <w:spacing w:before="120" w:after="120"/>
      <w:ind w:left="1417"/>
    </w:pPr>
    <w:rPr>
      <w:rFonts w:ascii="Times New Roman" w:hAnsi="Times New Roman"/>
      <w:sz w:val="24"/>
    </w:rPr>
  </w:style>
  <w:style w:type="paragraph" w:customStyle="1" w:styleId="Point0">
    <w:name w:val="Point 0"/>
    <w:basedOn w:val="Normal"/>
    <w:locked/>
    <w:rsid w:val="000D2D0B"/>
    <w:pPr>
      <w:spacing w:before="120" w:after="120"/>
      <w:ind w:left="850" w:hanging="850"/>
    </w:pPr>
    <w:rPr>
      <w:rFonts w:ascii="Times New Roman" w:hAnsi="Times New Roman"/>
      <w:sz w:val="24"/>
    </w:rPr>
  </w:style>
  <w:style w:type="paragraph" w:customStyle="1" w:styleId="Point1">
    <w:name w:val="Point 1"/>
    <w:basedOn w:val="Normal"/>
    <w:locked/>
    <w:rsid w:val="000D2D0B"/>
    <w:pPr>
      <w:spacing w:before="120" w:after="120"/>
      <w:ind w:left="1417" w:hanging="567"/>
    </w:pPr>
    <w:rPr>
      <w:rFonts w:ascii="Times New Roman" w:hAnsi="Times New Roman"/>
      <w:sz w:val="24"/>
    </w:rPr>
  </w:style>
  <w:style w:type="paragraph" w:customStyle="1" w:styleId="Point2">
    <w:name w:val="Point 2"/>
    <w:basedOn w:val="Normal"/>
    <w:locked/>
    <w:rsid w:val="000D2D0B"/>
    <w:pPr>
      <w:spacing w:before="120" w:after="120"/>
      <w:ind w:left="1984" w:hanging="567"/>
    </w:pPr>
    <w:rPr>
      <w:rFonts w:ascii="Times New Roman" w:hAnsi="Times New Roman"/>
      <w:sz w:val="24"/>
    </w:rPr>
  </w:style>
  <w:style w:type="paragraph" w:customStyle="1" w:styleId="Point3">
    <w:name w:val="Point 3"/>
    <w:basedOn w:val="Normal"/>
    <w:locked/>
    <w:rsid w:val="000D2D0B"/>
    <w:pPr>
      <w:spacing w:before="120" w:after="120"/>
      <w:ind w:left="2551" w:hanging="567"/>
    </w:pPr>
    <w:rPr>
      <w:rFonts w:ascii="Times New Roman" w:hAnsi="Times New Roman"/>
      <w:sz w:val="24"/>
    </w:rPr>
  </w:style>
  <w:style w:type="paragraph" w:customStyle="1" w:styleId="Point4">
    <w:name w:val="Point 4"/>
    <w:basedOn w:val="Normal"/>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Normal"/>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Normal"/>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Normal"/>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Normal"/>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Normal"/>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Normal"/>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Normal"/>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Normal"/>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Normal"/>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Normal"/>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Normal"/>
    <w:next w:val="Text1"/>
    <w:locked/>
    <w:rsid w:val="000D2D0B"/>
    <w:pPr>
      <w:numPr>
        <w:numId w:val="20"/>
      </w:numPr>
      <w:spacing w:before="120" w:after="120"/>
    </w:pPr>
    <w:rPr>
      <w:rFonts w:ascii="Times New Roman" w:hAnsi="Times New Roman"/>
      <w:sz w:val="24"/>
    </w:rPr>
  </w:style>
  <w:style w:type="paragraph" w:customStyle="1" w:styleId="NumPar2">
    <w:name w:val="NumPar 2"/>
    <w:basedOn w:val="Normal"/>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Normal"/>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Normal"/>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Normal"/>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Normal"/>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Normal"/>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Normal"/>
    <w:locked/>
    <w:rsid w:val="000D2D0B"/>
    <w:pPr>
      <w:spacing w:before="120" w:after="120"/>
      <w:ind w:left="1417" w:hanging="567"/>
    </w:pPr>
    <w:rPr>
      <w:rFonts w:ascii="Times New Roman" w:hAnsi="Times New Roman"/>
      <w:sz w:val="24"/>
    </w:rPr>
  </w:style>
  <w:style w:type="paragraph" w:customStyle="1" w:styleId="ManualHeading1">
    <w:name w:val="Manual Heading 1"/>
    <w:basedOn w:val="Normal"/>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Normal"/>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Normal"/>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Normal"/>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Normal"/>
    <w:next w:val="Normal"/>
    <w:locked/>
    <w:rsid w:val="000D2D0B"/>
    <w:pPr>
      <w:keepNext/>
      <w:spacing w:before="120" w:after="360"/>
      <w:jc w:val="center"/>
    </w:pPr>
    <w:rPr>
      <w:rFonts w:ascii="Times New Roman" w:hAnsi="Times New Roman"/>
      <w:b/>
      <w:sz w:val="32"/>
    </w:rPr>
  </w:style>
  <w:style w:type="paragraph" w:customStyle="1" w:styleId="PartTitle">
    <w:name w:val="PartTitle"/>
    <w:basedOn w:val="Normal"/>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Normal"/>
    <w:next w:val="Heading1"/>
    <w:locked/>
    <w:rsid w:val="000D2D0B"/>
    <w:pPr>
      <w:keepNext/>
      <w:spacing w:before="120" w:after="360"/>
      <w:jc w:val="center"/>
    </w:pPr>
    <w:rPr>
      <w:rFonts w:ascii="Times New Roman" w:hAnsi="Times New Roman"/>
      <w:b/>
      <w:smallCaps/>
      <w:sz w:val="28"/>
    </w:rPr>
  </w:style>
  <w:style w:type="paragraph" w:customStyle="1" w:styleId="TableTitle">
    <w:name w:val="Table Title"/>
    <w:basedOn w:val="Normal"/>
    <w:next w:val="Normal"/>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Normal"/>
    <w:locked/>
    <w:rsid w:val="000D2D0B"/>
    <w:pPr>
      <w:numPr>
        <w:numId w:val="27"/>
      </w:numPr>
      <w:spacing w:before="120" w:after="120"/>
    </w:pPr>
    <w:rPr>
      <w:rFonts w:ascii="Times New Roman" w:hAnsi="Times New Roman"/>
      <w:sz w:val="24"/>
    </w:rPr>
  </w:style>
  <w:style w:type="paragraph" w:customStyle="1" w:styleId="Point1number">
    <w:name w:val="Point 1 (number)"/>
    <w:basedOn w:val="Normal"/>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Normal"/>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Normal"/>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Normal"/>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Normal"/>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Normal"/>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Normal"/>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Normal"/>
    <w:locked/>
    <w:rsid w:val="000D2D0B"/>
    <w:pPr>
      <w:numPr>
        <w:ilvl w:val="8"/>
        <w:numId w:val="27"/>
      </w:numPr>
      <w:spacing w:before="120" w:after="120"/>
    </w:pPr>
    <w:rPr>
      <w:rFonts w:ascii="Times New Roman" w:hAnsi="Times New Roman"/>
      <w:sz w:val="24"/>
    </w:rPr>
  </w:style>
  <w:style w:type="paragraph" w:customStyle="1" w:styleId="Bullet0">
    <w:name w:val="Bullet 0"/>
    <w:basedOn w:val="Normal"/>
    <w:locked/>
    <w:rsid w:val="000D2D0B"/>
    <w:pPr>
      <w:numPr>
        <w:numId w:val="21"/>
      </w:numPr>
      <w:spacing w:before="120" w:after="120"/>
    </w:pPr>
    <w:rPr>
      <w:rFonts w:ascii="Times New Roman" w:hAnsi="Times New Roman"/>
      <w:sz w:val="24"/>
    </w:rPr>
  </w:style>
  <w:style w:type="paragraph" w:customStyle="1" w:styleId="Bullet1">
    <w:name w:val="Bullet 1"/>
    <w:basedOn w:val="Normal"/>
    <w:locked/>
    <w:rsid w:val="000D2D0B"/>
    <w:pPr>
      <w:numPr>
        <w:numId w:val="22"/>
      </w:numPr>
      <w:spacing w:before="120" w:after="120"/>
    </w:pPr>
    <w:rPr>
      <w:rFonts w:ascii="Times New Roman" w:hAnsi="Times New Roman"/>
      <w:sz w:val="24"/>
    </w:rPr>
  </w:style>
  <w:style w:type="paragraph" w:customStyle="1" w:styleId="Bullet2">
    <w:name w:val="Bullet 2"/>
    <w:basedOn w:val="Normal"/>
    <w:locked/>
    <w:rsid w:val="000D2D0B"/>
    <w:pPr>
      <w:numPr>
        <w:numId w:val="23"/>
      </w:numPr>
      <w:spacing w:before="120" w:after="120"/>
    </w:pPr>
    <w:rPr>
      <w:rFonts w:ascii="Times New Roman" w:hAnsi="Times New Roman"/>
      <w:sz w:val="24"/>
    </w:rPr>
  </w:style>
  <w:style w:type="paragraph" w:customStyle="1" w:styleId="Bullet3">
    <w:name w:val="Bullet 3"/>
    <w:basedOn w:val="Normal"/>
    <w:locked/>
    <w:rsid w:val="000D2D0B"/>
    <w:pPr>
      <w:numPr>
        <w:numId w:val="24"/>
      </w:numPr>
      <w:spacing w:before="120" w:after="120"/>
    </w:pPr>
    <w:rPr>
      <w:rFonts w:ascii="Times New Roman" w:hAnsi="Times New Roman"/>
      <w:sz w:val="24"/>
    </w:rPr>
  </w:style>
  <w:style w:type="paragraph" w:customStyle="1" w:styleId="Bullet4">
    <w:name w:val="Bullet 4"/>
    <w:basedOn w:val="Normal"/>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Normal"/>
    <w:next w:val="Normal"/>
    <w:locked/>
    <w:rsid w:val="000D2D0B"/>
    <w:pPr>
      <w:spacing w:before="120" w:after="120"/>
      <w:jc w:val="center"/>
    </w:pPr>
    <w:rPr>
      <w:rFonts w:ascii="Times New Roman" w:hAnsi="Times New Roman"/>
      <w:b/>
      <w:sz w:val="24"/>
      <w:u w:val="single"/>
    </w:rPr>
  </w:style>
  <w:style w:type="paragraph" w:customStyle="1" w:styleId="Annexetitre">
    <w:name w:val="Annexe titre"/>
    <w:basedOn w:val="Normal"/>
    <w:next w:val="Normal"/>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Normal"/>
    <w:next w:val="Normal"/>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Normal"/>
    <w:next w:val="Normal"/>
    <w:locked/>
    <w:rsid w:val="000D2D0B"/>
    <w:pPr>
      <w:keepNext/>
      <w:spacing w:before="480" w:after="120"/>
    </w:pPr>
    <w:rPr>
      <w:rFonts w:ascii="Times New Roman" w:hAnsi="Times New Roman"/>
      <w:sz w:val="24"/>
      <w:u w:val="single"/>
    </w:rPr>
  </w:style>
  <w:style w:type="paragraph" w:customStyle="1" w:styleId="Confidence">
    <w:name w:val="Confidence"/>
    <w:basedOn w:val="Normal"/>
    <w:next w:val="Normal"/>
    <w:locked/>
    <w:rsid w:val="000D2D0B"/>
    <w:pPr>
      <w:spacing w:before="360" w:after="120"/>
      <w:jc w:val="center"/>
    </w:pPr>
    <w:rPr>
      <w:rFonts w:ascii="Times New Roman" w:hAnsi="Times New Roman"/>
      <w:sz w:val="24"/>
    </w:rPr>
  </w:style>
  <w:style w:type="paragraph" w:customStyle="1" w:styleId="Confidentialit">
    <w:name w:val="Confidentialité"/>
    <w:basedOn w:val="Normal"/>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Normal"/>
    <w:next w:val="Normal"/>
    <w:locked/>
    <w:rsid w:val="000D2D0B"/>
    <w:pPr>
      <w:spacing w:after="240"/>
    </w:pPr>
    <w:rPr>
      <w:rFonts w:ascii="Times New Roman" w:hAnsi="Times New Roman"/>
      <w:sz w:val="24"/>
    </w:rPr>
  </w:style>
  <w:style w:type="paragraph" w:customStyle="1" w:styleId="Datedadoption">
    <w:name w:val="Date d'adoption"/>
    <w:basedOn w:val="Normal"/>
    <w:next w:val="Titreobjet"/>
    <w:locked/>
    <w:rsid w:val="000D2D0B"/>
    <w:pPr>
      <w:spacing w:before="360"/>
      <w:jc w:val="center"/>
    </w:pPr>
    <w:rPr>
      <w:rFonts w:ascii="Times New Roman" w:hAnsi="Times New Roman"/>
      <w:b/>
      <w:sz w:val="24"/>
    </w:rPr>
  </w:style>
  <w:style w:type="paragraph" w:customStyle="1" w:styleId="Emission">
    <w:name w:val="Emission"/>
    <w:basedOn w:val="Normal"/>
    <w:next w:val="Rfrenceinstitutionnelle"/>
    <w:locked/>
    <w:rsid w:val="000D2D0B"/>
    <w:pPr>
      <w:ind w:left="5103"/>
    </w:pPr>
    <w:rPr>
      <w:rFonts w:ascii="Times New Roman" w:hAnsi="Times New Roman"/>
      <w:sz w:val="24"/>
    </w:rPr>
  </w:style>
  <w:style w:type="paragraph" w:customStyle="1" w:styleId="Exposdesmotifstitre">
    <w:name w:val="Exposé des motifs titre"/>
    <w:basedOn w:val="Normal"/>
    <w:next w:val="Normal"/>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Normal"/>
    <w:next w:val="Normal"/>
    <w:locked/>
    <w:rsid w:val="000D2D0B"/>
    <w:pPr>
      <w:keepNext/>
      <w:spacing w:before="600" w:after="120"/>
    </w:pPr>
    <w:rPr>
      <w:rFonts w:ascii="Times New Roman" w:hAnsi="Times New Roman"/>
      <w:sz w:val="24"/>
    </w:rPr>
  </w:style>
  <w:style w:type="paragraph" w:customStyle="1" w:styleId="Langue">
    <w:name w:val="Langue"/>
    <w:basedOn w:val="Normal"/>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Normal"/>
    <w:locked/>
    <w:rsid w:val="000D2D0B"/>
    <w:pPr>
      <w:spacing w:before="120" w:after="120"/>
      <w:ind w:left="709" w:hanging="709"/>
    </w:pPr>
    <w:rPr>
      <w:rFonts w:ascii="Times New Roman" w:hAnsi="Times New Roman"/>
      <w:sz w:val="24"/>
    </w:rPr>
  </w:style>
  <w:style w:type="paragraph" w:customStyle="1" w:styleId="Nomdelinstitution">
    <w:name w:val="Nom de l'institution"/>
    <w:basedOn w:val="Normal"/>
    <w:next w:val="Emission"/>
    <w:locked/>
    <w:rsid w:val="000D2D0B"/>
    <w:rPr>
      <w:sz w:val="24"/>
    </w:rPr>
  </w:style>
  <w:style w:type="paragraph" w:customStyle="1" w:styleId="Rfrenceinstitutionnelle">
    <w:name w:val="Référence institutionnelle"/>
    <w:basedOn w:val="Normal"/>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Normal"/>
    <w:next w:val="Statut"/>
    <w:locked/>
    <w:rsid w:val="000D2D0B"/>
    <w:pPr>
      <w:ind w:left="5103"/>
    </w:pPr>
    <w:rPr>
      <w:rFonts w:ascii="Times New Roman" w:hAnsi="Times New Roman"/>
      <w:sz w:val="24"/>
    </w:rPr>
  </w:style>
  <w:style w:type="paragraph" w:customStyle="1" w:styleId="Rfrenceinterne">
    <w:name w:val="Référence interne"/>
    <w:basedOn w:val="Normal"/>
    <w:next w:val="Rfrenceinterinstitutionnelle"/>
    <w:locked/>
    <w:rsid w:val="000D2D0B"/>
    <w:pPr>
      <w:ind w:left="5103"/>
    </w:pPr>
    <w:rPr>
      <w:rFonts w:ascii="Times New Roman" w:hAnsi="Times New Roman"/>
      <w:sz w:val="24"/>
    </w:rPr>
  </w:style>
  <w:style w:type="paragraph" w:customStyle="1" w:styleId="Sous-titreobjet">
    <w:name w:val="Sous-titre objet"/>
    <w:basedOn w:val="Normal"/>
    <w:locked/>
    <w:rsid w:val="000D2D0B"/>
    <w:pPr>
      <w:jc w:val="center"/>
    </w:pPr>
    <w:rPr>
      <w:rFonts w:ascii="Times New Roman" w:hAnsi="Times New Roman"/>
      <w:b/>
      <w:sz w:val="24"/>
    </w:rPr>
  </w:style>
  <w:style w:type="paragraph" w:customStyle="1" w:styleId="Statut">
    <w:name w:val="Statut"/>
    <w:basedOn w:val="Normal"/>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Normal"/>
    <w:next w:val="Normal"/>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Normal"/>
    <w:next w:val="Normal"/>
    <w:locked/>
    <w:rsid w:val="000D2D0B"/>
    <w:pPr>
      <w:spacing w:before="120" w:after="120"/>
    </w:pPr>
    <w:rPr>
      <w:rFonts w:ascii="Times New Roman" w:hAnsi="Times New Roman"/>
      <w:i/>
      <w:caps/>
      <w:sz w:val="24"/>
    </w:rPr>
  </w:style>
  <w:style w:type="paragraph" w:customStyle="1" w:styleId="Pagedecouverture">
    <w:name w:val="Page de couverture"/>
    <w:basedOn w:val="Normal"/>
    <w:next w:val="Normal"/>
    <w:locked/>
    <w:rsid w:val="000D2D0B"/>
    <w:pPr>
      <w:spacing w:before="120" w:after="120"/>
    </w:pPr>
    <w:rPr>
      <w:rFonts w:ascii="Times New Roman" w:hAnsi="Times New Roman"/>
      <w:sz w:val="24"/>
    </w:rPr>
  </w:style>
  <w:style w:type="paragraph" w:customStyle="1" w:styleId="Supertitre">
    <w:name w:val="Supertitre"/>
    <w:basedOn w:val="Normal"/>
    <w:next w:val="Normal"/>
    <w:locked/>
    <w:rsid w:val="000D2D0B"/>
    <w:pPr>
      <w:spacing w:after="600"/>
      <w:jc w:val="center"/>
    </w:pPr>
    <w:rPr>
      <w:rFonts w:ascii="Times New Roman" w:hAnsi="Times New Roman"/>
      <w:b/>
      <w:sz w:val="24"/>
    </w:rPr>
  </w:style>
  <w:style w:type="paragraph" w:customStyle="1" w:styleId="Languesfaisantfoi">
    <w:name w:val="Langues faisant foi"/>
    <w:basedOn w:val="Normal"/>
    <w:next w:val="Normal"/>
    <w:locked/>
    <w:rsid w:val="000D2D0B"/>
    <w:pPr>
      <w:spacing w:before="360"/>
      <w:jc w:val="center"/>
    </w:pPr>
    <w:rPr>
      <w:rFonts w:ascii="Times New Roman" w:hAnsi="Times New Roman"/>
      <w:sz w:val="24"/>
    </w:rPr>
  </w:style>
  <w:style w:type="paragraph" w:customStyle="1" w:styleId="Rfrencecroise">
    <w:name w:val="Référence croisée"/>
    <w:basedOn w:val="Normal"/>
    <w:locked/>
    <w:rsid w:val="000D2D0B"/>
    <w:pPr>
      <w:jc w:val="center"/>
    </w:pPr>
    <w:rPr>
      <w:rFonts w:ascii="Times New Roman" w:hAnsi="Times New Roman"/>
      <w:sz w:val="24"/>
    </w:rPr>
  </w:style>
  <w:style w:type="paragraph" w:customStyle="1" w:styleId="Fichefinanciretitre">
    <w:name w:val="Fiche financière titre"/>
    <w:basedOn w:val="Normal"/>
    <w:next w:val="Normal"/>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Normal"/>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Normal"/>
    <w:locked/>
    <w:rsid w:val="000D2D0B"/>
    <w:pPr>
      <w:spacing w:after="240"/>
    </w:pPr>
  </w:style>
  <w:style w:type="paragraph" w:customStyle="1" w:styleId="Accompagnant">
    <w:name w:val="Accompagnant"/>
    <w:basedOn w:val="Normal"/>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Normal"/>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Normal"/>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Normal"/>
    <w:next w:val="Normal"/>
    <w:locked/>
    <w:rsid w:val="000D2D0B"/>
    <w:pPr>
      <w:spacing w:before="360"/>
      <w:jc w:val="center"/>
    </w:pPr>
    <w:rPr>
      <w:rFonts w:ascii="Times New Roman" w:hAnsi="Times New Roman"/>
      <w:sz w:val="24"/>
    </w:rPr>
  </w:style>
  <w:style w:type="paragraph" w:styleId="ListNumber2">
    <w:name w:val="List Number 2"/>
    <w:basedOn w:val="Normal"/>
    <w:locked/>
    <w:rsid w:val="000D2D0B"/>
    <w:pPr>
      <w:tabs>
        <w:tab w:val="num" w:pos="643"/>
      </w:tabs>
      <w:spacing w:before="120" w:after="120"/>
      <w:ind w:left="643" w:hanging="360"/>
    </w:pPr>
    <w:rPr>
      <w:rFonts w:ascii="Times New Roman" w:hAnsi="Times New Roman"/>
      <w:sz w:val="24"/>
    </w:rPr>
  </w:style>
  <w:style w:type="paragraph" w:styleId="ListNumber3">
    <w:name w:val="List Number 3"/>
    <w:basedOn w:val="Normal"/>
    <w:locked/>
    <w:rsid w:val="000D2D0B"/>
    <w:pPr>
      <w:tabs>
        <w:tab w:val="num" w:pos="926"/>
      </w:tabs>
      <w:spacing w:before="120" w:after="120"/>
      <w:ind w:left="926" w:hanging="360"/>
    </w:pPr>
    <w:rPr>
      <w:rFonts w:ascii="Times New Roman" w:hAnsi="Times New Roman"/>
      <w:sz w:val="24"/>
    </w:rPr>
  </w:style>
  <w:style w:type="paragraph" w:styleId="ListNumber4">
    <w:name w:val="List Number 4"/>
    <w:basedOn w:val="Normal"/>
    <w:locked/>
    <w:rsid w:val="000D2D0B"/>
    <w:pPr>
      <w:tabs>
        <w:tab w:val="num" w:pos="1209"/>
        <w:tab w:val="num" w:pos="1417"/>
      </w:tabs>
      <w:spacing w:before="120" w:after="120"/>
      <w:ind w:left="1209" w:hanging="360"/>
    </w:pPr>
    <w:rPr>
      <w:rFonts w:ascii="Times New Roman" w:hAnsi="Times New Roman"/>
      <w:sz w:val="24"/>
    </w:rPr>
  </w:style>
  <w:style w:type="paragraph" w:styleId="ListBullet">
    <w:name w:val="List Bullet"/>
    <w:basedOn w:val="Normal"/>
    <w:locked/>
    <w:rsid w:val="000D2D0B"/>
    <w:pPr>
      <w:numPr>
        <w:numId w:val="13"/>
      </w:numPr>
      <w:tabs>
        <w:tab w:val="num" w:pos="360"/>
      </w:tabs>
      <w:spacing w:before="120" w:after="120"/>
      <w:ind w:left="360" w:hanging="360"/>
    </w:pPr>
    <w:rPr>
      <w:rFonts w:ascii="Times New Roman" w:hAnsi="Times New Roman"/>
      <w:sz w:val="24"/>
    </w:rPr>
  </w:style>
  <w:style w:type="paragraph" w:styleId="ListBullet2">
    <w:name w:val="List Bullet 2"/>
    <w:basedOn w:val="Normal"/>
    <w:locked/>
    <w:rsid w:val="000D2D0B"/>
    <w:pPr>
      <w:tabs>
        <w:tab w:val="num" w:pos="643"/>
        <w:tab w:val="num" w:pos="851"/>
      </w:tabs>
      <w:spacing w:before="120" w:after="120"/>
      <w:ind w:left="643" w:hanging="360"/>
    </w:pPr>
    <w:rPr>
      <w:rFonts w:ascii="Times New Roman" w:hAnsi="Times New Roman"/>
      <w:sz w:val="24"/>
    </w:rPr>
  </w:style>
  <w:style w:type="paragraph" w:styleId="ListBullet3">
    <w:name w:val="List Bullet 3"/>
    <w:basedOn w:val="Normal"/>
    <w:locked/>
    <w:rsid w:val="000D2D0B"/>
    <w:pPr>
      <w:numPr>
        <w:numId w:val="15"/>
      </w:numPr>
      <w:tabs>
        <w:tab w:val="num" w:pos="926"/>
      </w:tabs>
      <w:spacing w:before="120" w:after="120"/>
      <w:ind w:left="926"/>
    </w:pPr>
    <w:rPr>
      <w:rFonts w:ascii="Times New Roman" w:hAnsi="Times New Roman"/>
      <w:sz w:val="24"/>
    </w:rPr>
  </w:style>
  <w:style w:type="paragraph" w:styleId="ListBullet4">
    <w:name w:val="List Bullet 4"/>
    <w:basedOn w:val="Normal"/>
    <w:locked/>
    <w:rsid w:val="000D2D0B"/>
    <w:pPr>
      <w:numPr>
        <w:numId w:val="16"/>
      </w:numPr>
      <w:tabs>
        <w:tab w:val="num" w:pos="1209"/>
      </w:tabs>
      <w:spacing w:before="120" w:after="120"/>
      <w:ind w:left="1209"/>
    </w:pPr>
    <w:rPr>
      <w:rFonts w:ascii="Times New Roman" w:hAnsi="Times New Roman"/>
      <w:sz w:val="24"/>
    </w:rPr>
  </w:style>
  <w:style w:type="paragraph" w:styleId="TableofFigures">
    <w:name w:val="table of figures"/>
    <w:basedOn w:val="Normal"/>
    <w:next w:val="Normal"/>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locked/>
    <w:rsid w:val="000D2D0B"/>
    <w:pPr>
      <w:ind w:left="720"/>
      <w:contextualSpacing/>
    </w:pPr>
    <w:rPr>
      <w:rFonts w:ascii="Cambria" w:hAnsi="Cambria"/>
      <w:sz w:val="24"/>
      <w:lang w:val="en-US"/>
    </w:rPr>
  </w:style>
  <w:style w:type="paragraph" w:customStyle="1" w:styleId="Listeavsnitt1">
    <w:name w:val="Listeavsnitt1"/>
    <w:basedOn w:val="Normal"/>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Normal"/>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Normal"/>
    <w:uiPriority w:val="99"/>
    <w:locked/>
    <w:rsid w:val="000D2D0B"/>
    <w:pPr>
      <w:ind w:left="720"/>
      <w:contextualSpacing/>
    </w:pPr>
    <w:rPr>
      <w:rFonts w:ascii="Cambria" w:hAnsi="Cambria"/>
      <w:sz w:val="24"/>
      <w:lang w:val="en-US"/>
    </w:rPr>
  </w:style>
  <w:style w:type="paragraph" w:customStyle="1" w:styleId="ListParagraph2">
    <w:name w:val="List Paragraph2"/>
    <w:basedOn w:val="Normal"/>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Heading1"/>
    <w:next w:val="Normal"/>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Normal"/>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Normal"/>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Normal"/>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Title">
    <w:name w:val="Title"/>
    <w:basedOn w:val="Normal"/>
    <w:next w:val="Normal"/>
    <w:link w:val="TitleChar"/>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locked/>
    <w:rsid w:val="000D2D0B"/>
    <w:pPr>
      <w:spacing w:before="320" w:line="260" w:lineRule="exact"/>
    </w:pPr>
    <w:rPr>
      <w:rFonts w:ascii="Myriad Pro Light" w:hAnsi="Myriad Pro Light"/>
      <w:b/>
      <w:sz w:val="21"/>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
    <w:uiPriority w:val="19"/>
    <w:qFormat/>
    <w:locked/>
    <w:rsid w:val="003A6E9A"/>
    <w:rPr>
      <w:b/>
      <w:i w:val="0"/>
      <w:iCs/>
      <w:sz w:val="20"/>
    </w:rPr>
  </w:style>
  <w:style w:type="paragraph" w:customStyle="1" w:styleId="NEW-Paragraph-Level1">
    <w:name w:val="NEW-Paragraph-Level1"/>
    <w:basedOn w:val="Normal"/>
    <w:locked/>
    <w:rsid w:val="003A6E9A"/>
    <w:pPr>
      <w:tabs>
        <w:tab w:val="num" w:pos="284"/>
      </w:tabs>
      <w:ind w:left="284" w:hanging="284"/>
    </w:pPr>
  </w:style>
  <w:style w:type="paragraph" w:customStyle="1" w:styleId="NEW-Paragraph-level2">
    <w:name w:val="NEW-Paragraph-level2"/>
    <w:basedOn w:val="Normal"/>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Normal"/>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Normal"/>
    <w:locked/>
    <w:rsid w:val="003A6E9A"/>
    <w:pPr>
      <w:keepNext/>
      <w:numPr>
        <w:numId w:val="29"/>
      </w:numPr>
      <w:spacing w:before="240"/>
      <w:outlineLvl w:val="0"/>
    </w:pPr>
    <w:rPr>
      <w:b/>
      <w:bCs/>
      <w:kern w:val="32"/>
      <w:sz w:val="28"/>
      <w:szCs w:val="28"/>
    </w:rPr>
  </w:style>
  <w:style w:type="paragraph" w:customStyle="1" w:styleId="NEW-Level1">
    <w:name w:val="NEW-Level1"/>
    <w:basedOn w:val="Normal"/>
    <w:locked/>
    <w:rsid w:val="003A6E9A"/>
    <w:pPr>
      <w:keepNext/>
      <w:numPr>
        <w:ilvl w:val="1"/>
        <w:numId w:val="29"/>
      </w:numPr>
      <w:spacing w:before="240"/>
      <w:outlineLvl w:val="0"/>
    </w:pPr>
    <w:rPr>
      <w:b/>
      <w:bCs/>
      <w:kern w:val="32"/>
      <w:sz w:val="24"/>
      <w:szCs w:val="32"/>
    </w:rPr>
  </w:style>
  <w:style w:type="paragraph" w:customStyle="1" w:styleId="NEW-Level2">
    <w:name w:val="NEW-Level2"/>
    <w:basedOn w:val="Normal"/>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Normal"/>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Normal"/>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Normal"/>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locked/>
    <w:rsid w:val="00EF0769"/>
    <w:pPr>
      <w:numPr>
        <w:numId w:val="31"/>
      </w:numPr>
      <w:spacing w:before="250"/>
    </w:pPr>
    <w:rPr>
      <w:rFonts w:cstheme="minorBidi"/>
      <w:b/>
    </w:rPr>
  </w:style>
  <w:style w:type="character" w:customStyle="1" w:styleId="CPQuestionsChar">
    <w:name w:val="CP_Questions Char"/>
    <w:basedOn w:val="DefaultParagraphFon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IntenseEmphasis">
    <w:name w:val="Intense Emphasis"/>
    <w:basedOn w:val="DefaultParagraphFont"/>
    <w:uiPriority w:val="21"/>
    <w:qFormat/>
    <w:locked/>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Heading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Normal"/>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Normal"/>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Normal"/>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Normal"/>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Normal"/>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Normal"/>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Normal"/>
    <w:next w:val="Normal"/>
    <w:link w:val="QuestionstyleChar"/>
    <w:autoRedefine/>
    <w:qFormat/>
    <w:rsid w:val="00A732F0"/>
    <w:pPr>
      <w:numPr>
        <w:numId w:val="34"/>
      </w:numPr>
      <w:contextualSpacing/>
    </w:pPr>
    <w:rPr>
      <w:b/>
      <w:szCs w:val="22"/>
    </w:rPr>
  </w:style>
  <w:style w:type="character" w:customStyle="1" w:styleId="QuestionstyleChar">
    <w:name w:val="Question style Char"/>
    <w:basedOn w:val="DefaultParagraphFon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Strong"/>
    <w:uiPriority w:val="1"/>
    <w:qFormat/>
    <w:rsid w:val="00F87468"/>
    <w:rPr>
      <w:b w:val="0"/>
      <w:bCs/>
      <w:caps/>
      <w:smallCaps w:val="0"/>
      <w:color w:val="F79646" w:themeColor="accent6"/>
      <w:sz w:val="22"/>
    </w:rPr>
  </w:style>
  <w:style w:type="paragraph" w:styleId="Subtitle">
    <w:name w:val="Subtitle"/>
    <w:basedOn w:val="Normal"/>
    <w:next w:val="Normal"/>
    <w:link w:val="SubtitleChar"/>
    <w:uiPriority w:val="11"/>
    <w:qFormat/>
    <w:locked/>
    <w:rsid w:val="00E70E2E"/>
    <w:pPr>
      <w:numPr>
        <w:ilvl w:val="1"/>
      </w:numPr>
    </w:pPr>
    <w:rPr>
      <w:rFonts w:eastAsiaTheme="majorEastAsia"/>
      <w:b/>
      <w:bCs/>
      <w:sz w:val="28"/>
    </w:rPr>
  </w:style>
  <w:style w:type="character" w:customStyle="1" w:styleId="SubtitleChar">
    <w:name w:val="Subtitle Char"/>
    <w:basedOn w:val="DefaultParagraphFont"/>
    <w:link w:val="Subtitle"/>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Normal"/>
    <w:link w:val="HeaderFootChar"/>
    <w:qFormat/>
    <w:rsid w:val="00F716D4"/>
    <w:pPr>
      <w:spacing w:after="0"/>
      <w:jc w:val="right"/>
    </w:pPr>
    <w:rPr>
      <w:color w:val="001B4F"/>
      <w:sz w:val="16"/>
      <w:szCs w:val="16"/>
    </w:rPr>
  </w:style>
  <w:style w:type="character" w:styleId="UnresolvedMention">
    <w:name w:val="Unresolved Mention"/>
    <w:basedOn w:val="DefaultParagraphFont"/>
    <w:uiPriority w:val="99"/>
    <w:semiHidden/>
    <w:unhideWhenUsed/>
    <w:rsid w:val="0034374F"/>
    <w:rPr>
      <w:color w:val="605E5C"/>
      <w:shd w:val="clear" w:color="auto" w:fill="E1DFDD"/>
    </w:rPr>
  </w:style>
  <w:style w:type="character" w:customStyle="1" w:styleId="HeaderFootChar">
    <w:name w:val="HeaderFoot Char"/>
    <w:basedOn w:val="DefaultParagraphFon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Normal"/>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DefaultParagraphFont"/>
    <w:link w:val="Sectionreplyform"/>
    <w:rsid w:val="00BB1973"/>
    <w:rPr>
      <w:rFonts w:ascii="Arial" w:eastAsiaTheme="minorEastAsia" w:hAnsi="Arial" w:cs="Arial"/>
      <w:b/>
      <w:color w:val="000000" w:themeColor="text1"/>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esma.europa.eu/about-esma/data-protection"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hyperlink" Target="http://www.esma.europa.eu"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Year xmlns="62b49f8a-93cb-41ed-9049-83dd3778eb03">2024</Year>
    <TaxCatchAll xmlns="ffa9d2f0-5494-45f9-9eb8-ec0cdb4a63ce" xsi:nil="true"/>
    <lcf76f155ced4ddcb4097134ff3c332f xmlns="62b49f8a-93cb-41ed-9049-83dd3778eb03">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7D3BF85F438F9428F780F786D44EB96" ma:contentTypeVersion="19" ma:contentTypeDescription="Create a new document." ma:contentTypeScope="" ma:versionID="072f32968dc7784b360fb932858eee40">
  <xsd:schema xmlns:xsd="http://www.w3.org/2001/XMLSchema" xmlns:xs="http://www.w3.org/2001/XMLSchema" xmlns:p="http://schemas.microsoft.com/office/2006/metadata/properties" xmlns:ns2="62b49f8a-93cb-41ed-9049-83dd3778eb03" xmlns:ns3="ffa9d2f0-5494-45f9-9eb8-ec0cdb4a63ce" targetNamespace="http://schemas.microsoft.com/office/2006/metadata/properties" ma:root="true" ma:fieldsID="ab56b5ac859772da6a5608ef1b3f9c2d" ns2:_="" ns3:_="">
    <xsd:import namespace="62b49f8a-93cb-41ed-9049-83dd3778eb03"/>
    <xsd:import namespace="ffa9d2f0-5494-45f9-9eb8-ec0cdb4a63ce"/>
    <xsd:element name="properties">
      <xsd:complexType>
        <xsd:sequence>
          <xsd:element name="documentManagement">
            <xsd:complexType>
              <xsd:all>
                <xsd:element ref="ns2:Year" minOccurs="0"/>
                <xsd:element ref="ns3:SharedWithUsers" minOccurs="0"/>
                <xsd:element ref="ns3:SharedWithDetails" minOccurs="0"/>
                <xsd:element ref="ns3:LastSharedByUser" minOccurs="0"/>
                <xsd:element ref="ns3:LastSharedByTime"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49f8a-93cb-41ed-9049-83dd3778eb03" elementFormDefault="qualified">
    <xsd:import namespace="http://schemas.microsoft.com/office/2006/documentManagement/types"/>
    <xsd:import namespace="http://schemas.microsoft.com/office/infopath/2007/PartnerControls"/>
    <xsd:element name="Year" ma:index="8" nillable="true" ma:displayName="Year" ma:default="2021" ma:format="Dropdown" ma:internalName="Year">
      <xsd:simpleType>
        <xsd:restriction base="dms:Choice">
          <xsd:enumeration value="1998"/>
          <xsd:enumeration value="1999"/>
          <xsd:enumeration value="2000"/>
          <xsd:enumeration value="2001"/>
          <xsd:enumeration value="2002"/>
          <xsd:enumeration value="2003"/>
          <xsd:enumeration value="2004"/>
          <xsd:enumeration value="2005"/>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f3cf72-83e0-44b3-b65b-73f0c9f2447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a9d2f0-5494-45f9-9eb8-ec0cdb4a63ce"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f1f7e5ad-aad9-40c1-94cd-46b7c44645a0}" ma:internalName="TaxCatchAll" ma:showField="CatchAllData" ma:web="ffa9d2f0-5494-45f9-9eb8-ec0cdb4a63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30FA8-3D72-457A-9AB5-7BB1703E604A}">
  <ds:schemaRefs>
    <ds:schemaRef ds:uri="http://schemas.microsoft.com/sharepoint/v3/contenttype/forms"/>
  </ds:schemaRefs>
</ds:datastoreItem>
</file>

<file path=customXml/itemProps2.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customXml/itemProps3.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customXml/itemProps4.xml><?xml version="1.0" encoding="utf-8"?>
<ds:datastoreItem xmlns:ds="http://schemas.openxmlformats.org/officeDocument/2006/customXml" ds:itemID="{3F37C169-B082-42D7-95A8-39DCDC7C43D3}">
  <ds:schemaRefs>
    <ds:schemaRef ds:uri="http://schemas.microsoft.com/office/2006/metadata/properties"/>
    <ds:schemaRef ds:uri="http://schemas.microsoft.com/office/infopath/2007/PartnerControls"/>
    <ds:schemaRef ds:uri="62b49f8a-93cb-41ed-9049-83dd3778eb03"/>
    <ds:schemaRef ds:uri="ffa9d2f0-5494-45f9-9eb8-ec0cdb4a63ce"/>
  </ds:schemaRefs>
</ds:datastoreItem>
</file>

<file path=customXml/itemProps5.xml><?xml version="1.0" encoding="utf-8"?>
<ds:datastoreItem xmlns:ds="http://schemas.openxmlformats.org/officeDocument/2006/customXml" ds:itemID="{E62280E3-0B70-4428-946B-BF607F9D8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49f8a-93cb-41ed-9049-83dd3778eb03"/>
    <ds:schemaRef ds:uri="ffa9d2f0-5494-45f9-9eb8-ec0cdb4a6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2357</Words>
  <Characters>13440</Characters>
  <Application>Microsoft Office Word</Application>
  <DocSecurity>8</DocSecurity>
  <Lines>112</Lines>
  <Paragraphs>31</Paragraphs>
  <ScaleCrop>false</ScaleCrop>
  <Company>ESMA</Company>
  <LinksUpToDate>false</LinksUpToDate>
  <CharactersWithSpaces>15766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creator>ESMA</dc:creator>
  <cp:lastModifiedBy>Veronika Bondarenko</cp:lastModifiedBy>
  <cp:revision>18</cp:revision>
  <cp:lastPrinted>2015-02-18T11:01:00Z</cp:lastPrinted>
  <dcterms:created xsi:type="dcterms:W3CDTF">2025-07-02T09:23:00Z</dcterms:created>
  <dcterms:modified xsi:type="dcterms:W3CDTF">2025-07-02T09:43:00Z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021bef87-c38c-48f3-9580-ec2ba1200e48</vt:lpwstr>
  </property>
  <property fmtid="{D5CDD505-2E9C-101B-9397-08002B2CF9AE}" pid="3" name="TeamName">
    <vt:lpwstr>8</vt:lpwstr>
  </property>
  <property fmtid="{D5CDD505-2E9C-101B-9397-08002B2CF9AE}" pid="4" name="Topic">
    <vt:lpwstr>895</vt:lpwstr>
  </property>
  <property fmtid="{D5CDD505-2E9C-101B-9397-08002B2CF9AE}" pid="5" name="ConfidentialityLevel">
    <vt:lpwstr>6;#Regular|07f1e362-856b-423d-bea6-a14079762141</vt:lpwstr>
  </property>
  <property fmtid="{D5CDD505-2E9C-101B-9397-08002B2CF9AE}" pid="6" name="DocumentType">
    <vt:lpwstr>103;#Form / Request|efe27f23-61a2-47e7-916e-544dd02c80f4</vt:lpwstr>
  </property>
  <property fmtid="{D5CDD505-2E9C-101B-9397-08002B2CF9AE}" pid="7" name="SubTopic">
    <vt:lpwstr>934</vt:lpwstr>
  </property>
  <property fmtid="{D5CDD505-2E9C-101B-9397-08002B2CF9AE}" pid="8" name="mf50acab3f6949599688191e8740e810">
    <vt:lpwstr>Regular|07f1e362-856b-423d-bea6-a14079762141</vt:lpwstr>
  </property>
  <property fmtid="{D5CDD505-2E9C-101B-9397-08002B2CF9AE}" pid="9" name="ESMATemplatesConfidentialityLevel">
    <vt:lpwstr>8;#Public|a0c619ff-bd46-48f0-b213-6b7c03fe156d</vt:lpwstr>
  </property>
  <property fmtid="{D5CDD505-2E9C-101B-9397-08002B2CF9AE}" pid="10" name="ESMATemplatesTopic">
    <vt:lpwstr>105;#Report|6152310e-8bc8-447a-92f1-7d43d5ef86b8</vt:lpwstr>
  </property>
  <property fmtid="{D5CDD505-2E9C-101B-9397-08002B2CF9AE}" pid="11" name="n84bf37b4eaf4fd99e887816221de8a8">
    <vt:lpwstr>EN|f7e7f686-dfa7-4032-a218-a5881e990598</vt:lpwstr>
  </property>
  <property fmtid="{D5CDD505-2E9C-101B-9397-08002B2CF9AE}" pid="12" name="DocumentSetDescription">
    <vt:lpwstr/>
  </property>
  <property fmtid="{D5CDD505-2E9C-101B-9397-08002B2CF9AE}" pid="13" name="_ExtendedDescription">
    <vt:lpwstr/>
  </property>
  <property fmtid="{D5CDD505-2E9C-101B-9397-08002B2CF9AE}" pid="14" name="URL">
    <vt:lpwstr/>
  </property>
  <property fmtid="{D5CDD505-2E9C-101B-9397-08002B2CF9AE}" pid="15" name="MediaServiceImageTags">
    <vt:lpwstr/>
  </property>
  <property fmtid="{D5CDD505-2E9C-101B-9397-08002B2CF9AE}" pid="16" name="ContentTypeId">
    <vt:lpwstr>0x01010017D3BF85F438F9428F780F786D44EB96</vt:lpwstr>
  </property>
</Properties>
</file>