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Content>
        <w:p w14:paraId="3B41FE3C"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6F85FCB5"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68819715"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01438AE1" w14:textId="023C9089" w:rsidR="00563C1F" w:rsidRDefault="00EC6066" w:rsidP="00F72D28">
          <w:pPr>
            <w:pStyle w:val="Title"/>
          </w:pPr>
          <w:r>
            <w:t xml:space="preserve">Reply </w:t>
          </w:r>
          <w:r w:rsidR="00DD03DC">
            <w:t>F</w:t>
          </w:r>
          <w:r>
            <w:t>orm</w:t>
          </w:r>
        </w:p>
        <w:p w14:paraId="031F2108" w14:textId="6A062872" w:rsidR="007E7997" w:rsidRPr="007216D3" w:rsidRDefault="00113E80" w:rsidP="007216D3">
          <w:pPr>
            <w:pStyle w:val="Subtitle"/>
            <w:rPr>
              <w:rFonts w:ascii="Arial" w:hAnsi="Arial" w:cs="Arial"/>
              <w:color w:val="181818"/>
              <w:szCs w:val="28"/>
              <w:bdr w:val="none" w:sz="0" w:space="0" w:color="auto" w:frame="1"/>
            </w:rPr>
          </w:pPr>
          <w:r>
            <w:rPr>
              <w:rStyle w:val="normaltextrun"/>
              <w:rFonts w:ascii="Arial" w:hAnsi="Arial" w:cs="Arial"/>
              <w:color w:val="181818"/>
              <w:szCs w:val="28"/>
              <w:bdr w:val="none" w:sz="0" w:space="0" w:color="auto" w:frame="1"/>
            </w:rPr>
            <w:t xml:space="preserve">Consultation Paper on the </w:t>
          </w:r>
          <w:r w:rsidR="007216D3" w:rsidRPr="007216D3">
            <w:rPr>
              <w:rStyle w:val="normaltextrun"/>
              <w:rFonts w:ascii="Arial" w:hAnsi="Arial" w:cs="Arial"/>
              <w:color w:val="181818"/>
              <w:szCs w:val="28"/>
              <w:bdr w:val="none" w:sz="0" w:space="0" w:color="auto" w:frame="1"/>
            </w:rPr>
            <w:t>Guidelines for the criteria on the assessment of knowledge and</w:t>
          </w:r>
          <w:r w:rsidR="007216D3">
            <w:rPr>
              <w:rStyle w:val="normaltextrun"/>
              <w:rFonts w:ascii="Arial" w:hAnsi="Arial" w:cs="Arial"/>
              <w:color w:val="181818"/>
              <w:szCs w:val="28"/>
              <w:bdr w:val="none" w:sz="0" w:space="0" w:color="auto" w:frame="1"/>
            </w:rPr>
            <w:t xml:space="preserve"> </w:t>
          </w:r>
          <w:r w:rsidR="007216D3" w:rsidRPr="007216D3">
            <w:rPr>
              <w:rStyle w:val="normaltextrun"/>
              <w:rFonts w:ascii="Arial" w:hAnsi="Arial" w:cs="Arial"/>
              <w:color w:val="181818"/>
              <w:szCs w:val="28"/>
              <w:bdr w:val="none" w:sz="0" w:space="0" w:color="auto" w:frame="1"/>
            </w:rPr>
            <w:t>competence under the Markets in Crypto Assets Regulation (MiCA)</w:t>
          </w:r>
          <w:r w:rsidR="00D77369"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03C18"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Paragraph"/>
            <w:rPr>
              <w:lang w:val="en-GB"/>
            </w:rPr>
          </w:pPr>
          <w:r w:rsidRPr="00DB2FD6">
            <w:rPr>
              <w:lang w:val="en-GB"/>
            </w:rPr>
            <w:t>respond to the question stated;</w:t>
          </w:r>
        </w:p>
        <w:p w14:paraId="72FD40F6" w14:textId="77777777" w:rsidR="002533FC" w:rsidRPr="00DB2FD6" w:rsidRDefault="002533FC" w:rsidP="00EC6066">
          <w:pPr>
            <w:pStyle w:val="ListParagraph"/>
            <w:rPr>
              <w:lang w:val="en-GB"/>
            </w:rPr>
          </w:pPr>
          <w:r w:rsidRPr="00DB2FD6">
            <w:rPr>
              <w:lang w:val="en-GB"/>
            </w:rPr>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DB2FD6" w:rsidRDefault="002533FC" w:rsidP="00EC6066">
          <w:pPr>
            <w:pStyle w:val="ListParagraph"/>
            <w:rPr>
              <w:lang w:val="en-GB"/>
            </w:rPr>
          </w:pPr>
          <w:r w:rsidRPr="00DB2FD6">
            <w:rPr>
              <w:lang w:val="en-GB"/>
            </w:rPr>
            <w:t>describe any alternatives ESMA should consider.</w:t>
          </w:r>
        </w:p>
        <w:p w14:paraId="219225AC" w14:textId="34C6C124" w:rsidR="002533FC" w:rsidRPr="005B6B12" w:rsidRDefault="002533FC" w:rsidP="002533FC">
          <w:r w:rsidRPr="005B6B12">
            <w:t xml:space="preserve">ESMA will consider all comments received by </w:t>
          </w:r>
          <w:r w:rsidR="00AA5EBC">
            <w:rPr>
              <w:b/>
            </w:rPr>
            <w:t>22</w:t>
          </w:r>
          <w:r w:rsidR="00113E80">
            <w:rPr>
              <w:b/>
            </w:rPr>
            <w:t xml:space="preserve"> April 2025</w:t>
          </w:r>
          <w:r w:rsidRPr="005B6B12">
            <w:rPr>
              <w:b/>
            </w:rPr>
            <w:t xml:space="preserve">. </w:t>
          </w:r>
        </w:p>
        <w:p w14:paraId="7EBC0542" w14:textId="0CD5B31D" w:rsidR="002533FC" w:rsidRDefault="002533FC" w:rsidP="002533FC">
          <w:r w:rsidRPr="005B6B12">
            <w:t xml:space="preserve">All contributions should be submitted online at </w:t>
          </w:r>
          <w:hyperlink r:id="rId20"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258DE607"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ED603F">
            <w:rPr>
              <w:bCs/>
            </w:rPr>
            <w:t>MIKC</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496C6D19"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ESMA_CP_</w:t>
          </w:r>
          <w:r w:rsidR="00DB2FD6" w:rsidRPr="00DB2FD6">
            <w:rPr>
              <w:bCs/>
            </w:rPr>
            <w:t xml:space="preserve"> </w:t>
          </w:r>
          <w:r w:rsidR="00ED603F">
            <w:rPr>
              <w:bCs/>
            </w:rPr>
            <w:t>MIKC</w:t>
          </w:r>
          <w:r w:rsidRPr="00C5469A">
            <w:rPr>
              <w:bCs/>
            </w:rPr>
            <w:t xml:space="preserve">_nameofrespondent. </w:t>
          </w:r>
        </w:p>
        <w:p w14:paraId="210BE93A" w14:textId="6CDE5FFA"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ESMA_CP_</w:t>
          </w:r>
          <w:r w:rsidR="00DB2FD6" w:rsidRPr="00DB2FD6">
            <w:rPr>
              <w:bCs/>
            </w:rPr>
            <w:t xml:space="preserve"> </w:t>
          </w:r>
          <w:r w:rsidR="00ED603F">
            <w:rPr>
              <w:bCs/>
            </w:rPr>
            <w:t>MIKC</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21" w:history="1">
            <w:r w:rsidRPr="005B6B12">
              <w:rPr>
                <w:rStyle w:val="Hyperlink"/>
              </w:rPr>
              <w:t>www.esma.europa.eu</w:t>
            </w:r>
          </w:hyperlink>
          <w:r w:rsidRPr="005B6B12">
            <w:t xml:space="preserve"> under the heading </w:t>
          </w:r>
          <w:r w:rsidRPr="00025A7F">
            <w:rPr>
              <w:rStyle w:val="Hyperlink"/>
            </w:rPr>
            <w:t>‘</w:t>
          </w:r>
          <w:hyperlink r:id="rId22" w:history="1">
            <w:r>
              <w:rPr>
                <w:rStyle w:val="Hyperlink"/>
              </w:rPr>
              <w:t>Data protection</w:t>
            </w:r>
          </w:hyperlink>
          <w:r>
            <w:rPr>
              <w:rStyle w:val="Hyperlink"/>
            </w:rPr>
            <w:t>’</w:t>
          </w:r>
          <w:r w:rsidRPr="005B6B12">
            <w:t>.</w:t>
          </w:r>
        </w:p>
        <w:p w14:paraId="57A67DA5" w14:textId="77777777" w:rsidR="00EC6066" w:rsidRPr="005B6B12" w:rsidRDefault="00EC6066" w:rsidP="00EC6066">
          <w:pPr>
            <w:rPr>
              <w:b/>
            </w:rPr>
          </w:pPr>
          <w:r w:rsidRPr="005B6B12">
            <w:rPr>
              <w:b/>
            </w:rPr>
            <w:t>Who should read this paper?</w:t>
          </w:r>
        </w:p>
        <w:p w14:paraId="39BF27F5" w14:textId="38D83063" w:rsidR="00EC6066" w:rsidRDefault="00D66F37" w:rsidP="00D66F37">
          <w:r>
            <w:t>All interested stakeholders are invited to respond to this Consultation Paper. In particular, ESMA invites crypto-asset service providers, investors and their associations, financial entities dealing with crypto-assets and any other stakeholders that have an interest in the market for crypto-assets.</w:t>
          </w:r>
        </w:p>
      </w:sdtContent>
    </w:sdt>
    <w:p w14:paraId="4690CAFC" w14:textId="77777777" w:rsidR="00EC6066" w:rsidRDefault="00EC6066" w:rsidP="00EC6066"/>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87A8108" w14:textId="18C0BEFD" w:rsidR="00635BCA" w:rsidRPr="00E40D2C"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E40D2C" w:rsidRPr="00557BD2" w14:paraId="44F115DF" w14:textId="77777777" w:rsidTr="00743CD9">
        <w:tc>
          <w:tcPr>
            <w:tcW w:w="4531" w:type="dxa"/>
          </w:tcPr>
          <w:p w14:paraId="2E826C88" w14:textId="77777777" w:rsidR="00E40D2C" w:rsidRPr="00557BD2" w:rsidRDefault="00E40D2C" w:rsidP="00743CD9">
            <w:pPr>
              <w:rPr>
                <w:color w:val="00379F" w:themeColor="text1"/>
                <w:sz w:val="24"/>
                <w:szCs w:val="22"/>
              </w:rPr>
            </w:pPr>
            <w:r w:rsidRPr="00557BD2">
              <w:rPr>
                <w:color w:val="00379F" w:themeColor="text1"/>
                <w:sz w:val="24"/>
                <w:szCs w:val="22"/>
              </w:rPr>
              <w:t>Name of the company / organisation</w:t>
            </w:r>
          </w:p>
        </w:tc>
        <w:permStart w:id="289486921" w:edGrp="everyone" w:displacedByCustomXml="next"/>
        <w:sdt>
          <w:sdtPr>
            <w:id w:val="925615268"/>
            <w:placeholder>
              <w:docPart w:val="BB304192735D4F2E9B95179F2819F853"/>
            </w:placeholder>
          </w:sdtPr>
          <w:sdtEndPr/>
          <w:sdtContent>
            <w:tc>
              <w:tcPr>
                <w:tcW w:w="4531" w:type="dxa"/>
              </w:tcPr>
              <w:p w14:paraId="5C8A6928" w14:textId="12591F0D" w:rsidR="00E40D2C" w:rsidRPr="00557BD2" w:rsidRDefault="00971EFD" w:rsidP="00743CD9">
                <w:r w:rsidRPr="00E71AF8">
                  <w:t>ABBL</w:t>
                </w:r>
                <w:r w:rsidRPr="00E71AF8">
                  <w:t xml:space="preserve"> </w:t>
                </w:r>
                <w:r w:rsidRPr="00E71AF8">
                  <w:t>- The Luxembourg Bankers' Association</w:t>
                </w:r>
              </w:p>
            </w:tc>
          </w:sdtContent>
        </w:sdt>
      </w:tr>
      <w:tr w:rsidR="00E40D2C" w:rsidRPr="00557BD2" w14:paraId="749BD8C2" w14:textId="77777777" w:rsidTr="00743CD9">
        <w:tc>
          <w:tcPr>
            <w:tcW w:w="4531" w:type="dxa"/>
          </w:tcPr>
          <w:p w14:paraId="6FE0ECE4" w14:textId="77777777" w:rsidR="00E40D2C" w:rsidRDefault="00E40D2C" w:rsidP="00743CD9">
            <w:pPr>
              <w:rPr>
                <w:color w:val="00379F" w:themeColor="text1"/>
                <w:sz w:val="24"/>
                <w:szCs w:val="22"/>
              </w:rPr>
            </w:pPr>
            <w:permStart w:id="1501374178" w:edGrp="everyone" w:colFirst="1" w:colLast="1"/>
            <w:permEnd w:id="289486921"/>
            <w:r>
              <w:rPr>
                <w:color w:val="00379F" w:themeColor="text1"/>
                <w:sz w:val="24"/>
                <w:szCs w:val="22"/>
              </w:rPr>
              <w:t>Activity</w:t>
            </w:r>
          </w:p>
        </w:tc>
        <w:sdt>
          <w:sdtPr>
            <w:alias w:val="Select an activity"/>
            <w:tag w:val="Select an activity"/>
            <w:id w:val="1608545486"/>
            <w:placeholder>
              <w:docPart w:val="01EE1C7859204274A669423EC64EE100"/>
            </w:placeholder>
            <w:comboBox>
              <w:listItem w:value="Choose an item."/>
              <w:listItem w:displayText="CSD" w:value="CSD"/>
              <w:listItem w:displayText="Investment firm" w:value="Investment firm"/>
              <w:listItem w:displayText="Credit institution" w:value="Credit institution"/>
              <w:listItem w:displayText="Asset management company" w:value="Asset management company"/>
              <w:listItem w:displayText="Issuer" w:value="Issuer"/>
              <w:listItem w:displayText="Retail investor" w:value="Retail investor"/>
              <w:listItem w:displayText="Public authority" w:value="Public authority"/>
              <w:listItem w:displayText="Other" w:value="Other"/>
            </w:comboBox>
          </w:sdtPr>
          <w:sdtContent>
            <w:tc>
              <w:tcPr>
                <w:tcW w:w="4531" w:type="dxa"/>
              </w:tcPr>
              <w:p w14:paraId="22ECE1B6" w14:textId="6D96F831" w:rsidR="00E40D2C" w:rsidRDefault="00971EFD" w:rsidP="00743CD9">
                <w:r>
                  <w:t>Other</w:t>
                </w:r>
              </w:p>
            </w:tc>
          </w:sdtContent>
        </w:sdt>
      </w:tr>
      <w:permEnd w:id="1501374178"/>
      <w:tr w:rsidR="00E40D2C" w:rsidRPr="00557BD2" w14:paraId="431B28C6" w14:textId="77777777" w:rsidTr="00743CD9">
        <w:tc>
          <w:tcPr>
            <w:tcW w:w="4531" w:type="dxa"/>
          </w:tcPr>
          <w:p w14:paraId="19D77BEC" w14:textId="77777777" w:rsidR="00E40D2C" w:rsidRPr="00557BD2" w:rsidRDefault="00E40D2C" w:rsidP="00743CD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Content>
            <w:permStart w:id="996560612" w:edGrp="everyone" w:displacedByCustomXml="prev"/>
            <w:tc>
              <w:tcPr>
                <w:tcW w:w="4531" w:type="dxa"/>
              </w:tcPr>
              <w:p w14:paraId="7AB9C082" w14:textId="7B5333E0" w:rsidR="00E40D2C" w:rsidRDefault="00971EFD" w:rsidP="00743CD9">
                <w:r>
                  <w:rPr>
                    <w:rFonts w:ascii="MS Gothic" w:eastAsia="MS Gothic" w:hAnsi="MS Gothic" w:hint="eastAsia"/>
                  </w:rPr>
                  <w:t>☒</w:t>
                </w:r>
              </w:p>
            </w:tc>
            <w:permEnd w:id="996560612" w:displacedByCustomXml="next"/>
          </w:sdtContent>
        </w:sdt>
      </w:tr>
      <w:tr w:rsidR="00E40D2C" w:rsidRPr="00557BD2" w14:paraId="3720260B" w14:textId="77777777" w:rsidTr="00743CD9">
        <w:tc>
          <w:tcPr>
            <w:tcW w:w="4531" w:type="dxa"/>
          </w:tcPr>
          <w:p w14:paraId="03F7FCFD" w14:textId="77777777" w:rsidR="00E40D2C" w:rsidRPr="00557BD2" w:rsidRDefault="00E40D2C" w:rsidP="00743CD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466400774"/>
            <w:placeholder>
              <w:docPart w:val="D404D71EE61B44F68217F5015889DA1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922924511" w:edGrp="everyone" w:displacedByCustomXml="prev"/>
            <w:tc>
              <w:tcPr>
                <w:tcW w:w="4531" w:type="dxa"/>
              </w:tcPr>
              <w:p w14:paraId="5BB12D35" w14:textId="2F20FEE2" w:rsidR="00E40D2C" w:rsidRPr="00557BD2" w:rsidRDefault="00971EFD" w:rsidP="00743CD9">
                <w:r>
                  <w:t>Luxembourg</w:t>
                </w:r>
              </w:p>
            </w:tc>
            <w:permEnd w:id="1922924511" w:displacedByCustomXml="next"/>
          </w:sdtContent>
        </w:sdt>
      </w:tr>
    </w:tbl>
    <w:p w14:paraId="4B3A6DDF" w14:textId="77777777" w:rsidR="00E40D2C" w:rsidRPr="00053B66" w:rsidRDefault="00E40D2C" w:rsidP="00635BCA"/>
    <w:p w14:paraId="5D0F86B1" w14:textId="49DACBB9" w:rsidR="00413D4F" w:rsidRDefault="00635BCA" w:rsidP="00635BCA">
      <w:pPr>
        <w:pStyle w:val="Heading1"/>
        <w:rPr>
          <w:lang w:val="fr-BE"/>
        </w:rPr>
      </w:pPr>
      <w:r w:rsidRPr="00557BD2">
        <w:rPr>
          <w:lang w:val="fr-BE"/>
        </w:rPr>
        <w:t>Questions</w:t>
      </w:r>
    </w:p>
    <w:p w14:paraId="453DE570" w14:textId="3594F8C5" w:rsidR="00D66F37" w:rsidRDefault="00113E80" w:rsidP="00D66F37">
      <w:pPr>
        <w:spacing w:after="120" w:line="264" w:lineRule="auto"/>
        <w:jc w:val="left"/>
      </w:pPr>
      <w:r>
        <w:br w:type="page"/>
      </w:r>
    </w:p>
    <w:p w14:paraId="109733F4" w14:textId="77777777" w:rsidR="00D66F37" w:rsidRPr="009B2F87" w:rsidRDefault="00D66F37" w:rsidP="00D66F37">
      <w:pPr>
        <w:pStyle w:val="Questionstyle"/>
        <w:numPr>
          <w:ilvl w:val="0"/>
          <w:numId w:val="16"/>
        </w:numPr>
        <w:tabs>
          <w:tab w:val="clear" w:pos="567"/>
        </w:tabs>
        <w:spacing w:after="240" w:line="259" w:lineRule="auto"/>
        <w:ind w:left="851" w:hanging="851"/>
        <w:contextualSpacing w:val="0"/>
      </w:pPr>
      <w:r w:rsidRPr="00C22517">
        <w:rPr>
          <w:bCs/>
        </w:rPr>
        <w:lastRenderedPageBreak/>
        <w:t>Do you agree with the minimum requirements regarding qualification, experience and continuous professional development of staff giving information on crypto-assets and crypto-asset services to clients included in paragraphs 19 to 21 of draft Guideline 2? If not, what would, in your view, be adequate minimum requirements? Please state the reasons for your answer.</w:t>
      </w:r>
    </w:p>
    <w:p w14:paraId="13B0C55A" w14:textId="77777777" w:rsidR="00D66F37" w:rsidRDefault="00D66F37" w:rsidP="00D66F37">
      <w:r>
        <w:t>&lt;ESMA_QUESTION_MIKC_1&gt;</w:t>
      </w:r>
    </w:p>
    <w:p w14:paraId="4EFD7905" w14:textId="06456C57" w:rsidR="00971EFD" w:rsidRPr="00467C7E" w:rsidRDefault="00971EFD" w:rsidP="00971EFD">
      <w:pPr>
        <w:rPr>
          <w:rFonts w:cstheme="minorHAnsi"/>
          <w:szCs w:val="22"/>
        </w:rPr>
      </w:pPr>
      <w:permStart w:id="22165056" w:edGrp="everyone"/>
      <w:r>
        <w:rPr>
          <w:rFonts w:cstheme="minorHAnsi"/>
          <w:szCs w:val="22"/>
        </w:rPr>
        <w:t xml:space="preserve">Partially. </w:t>
      </w:r>
      <w:r w:rsidRPr="00467C7E">
        <w:rPr>
          <w:rFonts w:cstheme="minorHAnsi"/>
          <w:szCs w:val="22"/>
        </w:rPr>
        <w:t>We believe the current proposal follows a "one-size-fits-all" approach and does not sufficiently reflect the diversity of crypto-asset service providers (CASPs), their business models, or their client base. In particular, the proposed requirements do not adequately account for CASPs whose services are limited to institutional-grade custody, transfer, and reception and transmission of orders (RTO) — and who exclusively serve institutional clients.</w:t>
      </w:r>
    </w:p>
    <w:p w14:paraId="60BE44DE" w14:textId="2BF9233A" w:rsidR="00971EFD" w:rsidRPr="00467C7E" w:rsidRDefault="00971EFD" w:rsidP="00971EFD">
      <w:pPr>
        <w:rPr>
          <w:rFonts w:cstheme="minorHAnsi"/>
          <w:szCs w:val="22"/>
        </w:rPr>
      </w:pPr>
      <w:r w:rsidRPr="00467C7E">
        <w:rPr>
          <w:rFonts w:cstheme="minorHAnsi"/>
          <w:szCs w:val="22"/>
        </w:rPr>
        <w:t xml:space="preserve">Such institutional clients, typically classified as eligible counterparties under the MiFID framework, are not subject to the same level of investor protection rules as retail clients. These </w:t>
      </w:r>
      <w:r w:rsidR="00C27595">
        <w:rPr>
          <w:rFonts w:cstheme="minorHAnsi"/>
          <w:szCs w:val="22"/>
        </w:rPr>
        <w:t xml:space="preserve">institutional </w:t>
      </w:r>
      <w:r w:rsidRPr="00467C7E">
        <w:rPr>
          <w:rFonts w:cstheme="minorHAnsi"/>
          <w:szCs w:val="22"/>
        </w:rPr>
        <w:t>clients are sophisticated, make their own investment decisions, and generally do not require product-level information or recommendations from the CASP.</w:t>
      </w:r>
    </w:p>
    <w:p w14:paraId="7F52FB67" w14:textId="05F7B4D7" w:rsidR="00971EFD" w:rsidRPr="00467C7E" w:rsidRDefault="00971EFD" w:rsidP="00971EFD">
      <w:pPr>
        <w:rPr>
          <w:rFonts w:cstheme="minorHAnsi"/>
          <w:szCs w:val="22"/>
        </w:rPr>
      </w:pPr>
      <w:r w:rsidRPr="00467C7E">
        <w:rPr>
          <w:rFonts w:cstheme="minorHAnsi"/>
          <w:szCs w:val="22"/>
        </w:rPr>
        <w:t>In this context, we note that several knowledge elements outlined in paragraph 18 — particularly points (d), (e), (f), and (j) — are more relevant for staff involved in execution services or in serving retail clients. These requirements seem disproportionate for staff working in a purely technical or infrastructure role focused on custody and settlement for institutional clients.</w:t>
      </w:r>
    </w:p>
    <w:p w14:paraId="2D690B83" w14:textId="0AE15295" w:rsidR="00971EFD" w:rsidRPr="00467C7E" w:rsidRDefault="00971EFD" w:rsidP="00971EFD">
      <w:pPr>
        <w:rPr>
          <w:rFonts w:cstheme="minorHAnsi"/>
          <w:szCs w:val="22"/>
        </w:rPr>
      </w:pPr>
      <w:r w:rsidRPr="00467C7E">
        <w:rPr>
          <w:rFonts w:cstheme="minorHAnsi"/>
          <w:szCs w:val="22"/>
        </w:rPr>
        <w:t xml:space="preserve">Accordingly, we recommend a more </w:t>
      </w:r>
      <w:r w:rsidRPr="001E2C52">
        <w:rPr>
          <w:rFonts w:cstheme="minorHAnsi"/>
          <w:szCs w:val="22"/>
        </w:rPr>
        <w:t>proportionate and risk-based approach</w:t>
      </w:r>
      <w:r w:rsidRPr="00467C7E">
        <w:rPr>
          <w:rFonts w:cstheme="minorHAnsi"/>
          <w:szCs w:val="22"/>
        </w:rPr>
        <w:t xml:space="preserve"> in paragraph 19. Specifically, for CASPs whose services are limited to custody, transfer, and RTO for institutional clients, we propose a reduced threshold of at least 20 hours of professional qualification, rather than the 80-hour minimum currently foreseen.</w:t>
      </w:r>
    </w:p>
    <w:p w14:paraId="7F8FB986" w14:textId="530F7BE5" w:rsidR="00D66F37" w:rsidRDefault="00971EFD" w:rsidP="00971EFD">
      <w:r w:rsidRPr="00467C7E">
        <w:rPr>
          <w:rFonts w:cstheme="minorHAnsi"/>
          <w:szCs w:val="22"/>
        </w:rPr>
        <w:t xml:space="preserve">This calibrated approach would better reflect the risk profile of the services provided and the sophistication </w:t>
      </w:r>
      <w:r w:rsidR="00C27595">
        <w:rPr>
          <w:rFonts w:cstheme="minorHAnsi"/>
          <w:szCs w:val="22"/>
        </w:rPr>
        <w:t xml:space="preserve">level </w:t>
      </w:r>
      <w:r w:rsidRPr="00467C7E">
        <w:rPr>
          <w:rFonts w:cstheme="minorHAnsi"/>
          <w:szCs w:val="22"/>
        </w:rPr>
        <w:t>of the client base, while remaining consistent with the principle of proportionality outlined in Guideline 1.</w:t>
      </w:r>
    </w:p>
    <w:permEnd w:id="22165056"/>
    <w:p w14:paraId="47CD53D9" w14:textId="77777777" w:rsidR="00D66F37" w:rsidRDefault="00D66F37" w:rsidP="00D66F37">
      <w:r>
        <w:t>&lt;ESMA_QUESTION_MIKC_1&gt;</w:t>
      </w:r>
    </w:p>
    <w:p w14:paraId="2B168393" w14:textId="77777777" w:rsidR="00D66F37" w:rsidRDefault="00D66F37" w:rsidP="00D66F37"/>
    <w:p w14:paraId="19C26CC8" w14:textId="77777777" w:rsidR="00D66F37" w:rsidRPr="00890AC0" w:rsidRDefault="00D66F37" w:rsidP="00D66F37">
      <w:pPr>
        <w:pStyle w:val="Questionstyle"/>
        <w:numPr>
          <w:ilvl w:val="0"/>
          <w:numId w:val="16"/>
        </w:numPr>
        <w:tabs>
          <w:tab w:val="clear" w:pos="567"/>
        </w:tabs>
        <w:spacing w:after="240" w:line="259" w:lineRule="auto"/>
        <w:ind w:left="851" w:hanging="851"/>
        <w:contextualSpacing w:val="0"/>
      </w:pPr>
      <w:r w:rsidRPr="008C39A7">
        <w:rPr>
          <w:bCs/>
        </w:rPr>
        <w:t xml:space="preserve">Do you agree with the minimum requirements regarding qualification, experience and continuous professional development of staff giving advice on crypto-assets and crypto-asset services to clients included in paragraphs </w:t>
      </w:r>
      <w:r>
        <w:rPr>
          <w:bCs/>
        </w:rPr>
        <w:t>24</w:t>
      </w:r>
      <w:r w:rsidRPr="008C39A7">
        <w:rPr>
          <w:bCs/>
        </w:rPr>
        <w:t xml:space="preserve"> to 2</w:t>
      </w:r>
      <w:r>
        <w:rPr>
          <w:bCs/>
        </w:rPr>
        <w:t>6</w:t>
      </w:r>
      <w:r w:rsidRPr="008C39A7">
        <w:rPr>
          <w:bCs/>
        </w:rPr>
        <w:t xml:space="preserve"> of draft Guideline </w:t>
      </w:r>
      <w:r>
        <w:rPr>
          <w:bCs/>
        </w:rPr>
        <w:t>3</w:t>
      </w:r>
      <w:r w:rsidRPr="008C39A7">
        <w:rPr>
          <w:bCs/>
        </w:rPr>
        <w:t>? If not, what would, in your view, be adequate minimum requirements? Please state the reasons for your answer.</w:t>
      </w:r>
    </w:p>
    <w:p w14:paraId="52D3E7FB" w14:textId="77777777" w:rsidR="00D66F37" w:rsidRDefault="00D66F37" w:rsidP="00D66F37">
      <w:r>
        <w:lastRenderedPageBreak/>
        <w:t>&lt;ESMA_QUESTION_MIKC_2&gt;</w:t>
      </w:r>
    </w:p>
    <w:p w14:paraId="26777249" w14:textId="77777777" w:rsidR="00D66F37" w:rsidRDefault="00D66F37" w:rsidP="00D66F37">
      <w:permStart w:id="1041127921" w:edGrp="everyone"/>
      <w:r>
        <w:t>TYPE YOUR TEXT HERE</w:t>
      </w:r>
    </w:p>
    <w:permEnd w:id="1041127921"/>
    <w:p w14:paraId="4F6815CA" w14:textId="77777777" w:rsidR="00D66F37" w:rsidRDefault="00D66F37" w:rsidP="00D66F37">
      <w:r>
        <w:t>&lt;ESMA_QUESTION_MIKC_2&gt;</w:t>
      </w:r>
    </w:p>
    <w:p w14:paraId="6718B3DB" w14:textId="77777777" w:rsidR="00D66F37" w:rsidRDefault="00D66F37" w:rsidP="00D66F37"/>
    <w:p w14:paraId="39B8D1B8" w14:textId="77777777" w:rsidR="00D66F37" w:rsidRPr="009B2F87" w:rsidRDefault="00D66F37" w:rsidP="00D66F37">
      <w:pPr>
        <w:pStyle w:val="Questionstyle"/>
        <w:numPr>
          <w:ilvl w:val="0"/>
          <w:numId w:val="16"/>
        </w:numPr>
        <w:tabs>
          <w:tab w:val="clear" w:pos="567"/>
        </w:tabs>
        <w:spacing w:after="240" w:line="259" w:lineRule="auto"/>
        <w:ind w:left="851" w:hanging="851"/>
        <w:contextualSpacing w:val="0"/>
      </w:pPr>
      <w:r w:rsidRPr="008C39A7">
        <w:rPr>
          <w:bCs/>
        </w:rPr>
        <w:t>Do you agree that with the proposed draft guidelines? Please state the reasons for your answer.</w:t>
      </w:r>
    </w:p>
    <w:p w14:paraId="02524EAC" w14:textId="77777777" w:rsidR="00D66F37" w:rsidRDefault="00D66F37" w:rsidP="00D66F37">
      <w:r>
        <w:t>&lt;ESMA_QUESTION_MIKC_3&gt;</w:t>
      </w:r>
    </w:p>
    <w:p w14:paraId="501DBB0E" w14:textId="3C6A60EC" w:rsidR="00971EFD" w:rsidRPr="00000CA8" w:rsidRDefault="00971EFD" w:rsidP="00971EFD">
      <w:pPr>
        <w:rPr>
          <w:rFonts w:cstheme="minorHAnsi"/>
          <w:szCs w:val="22"/>
        </w:rPr>
      </w:pPr>
      <w:permStart w:id="232349005" w:edGrp="everyone"/>
      <w:r w:rsidRPr="00000CA8">
        <w:rPr>
          <w:rFonts w:cstheme="minorHAnsi"/>
          <w:szCs w:val="22"/>
        </w:rPr>
        <w:t xml:space="preserve">We broadly support the intent of the draft </w:t>
      </w:r>
      <w:r w:rsidR="00514D80">
        <w:rPr>
          <w:rFonts w:cstheme="minorHAnsi"/>
          <w:szCs w:val="22"/>
        </w:rPr>
        <w:t>G</w:t>
      </w:r>
      <w:r w:rsidRPr="00000CA8">
        <w:rPr>
          <w:rFonts w:cstheme="minorHAnsi"/>
          <w:szCs w:val="22"/>
        </w:rPr>
        <w:t>uidelines — namely, to promote convergence and ensure that staff involved in the provision of crypto-asset services possess adequate knowledge and competence.</w:t>
      </w:r>
      <w:r>
        <w:rPr>
          <w:rFonts w:cstheme="minorHAnsi"/>
          <w:szCs w:val="22"/>
        </w:rPr>
        <w:t xml:space="preserve"> </w:t>
      </w:r>
      <w:r w:rsidR="00FB5B31">
        <w:rPr>
          <w:rFonts w:cstheme="minorHAnsi"/>
          <w:szCs w:val="22"/>
        </w:rPr>
        <w:t>Meanwhile</w:t>
      </w:r>
      <w:r w:rsidRPr="00000CA8">
        <w:rPr>
          <w:rFonts w:cstheme="minorHAnsi"/>
          <w:szCs w:val="22"/>
        </w:rPr>
        <w:t xml:space="preserve">, we believe that certain aspects of the </w:t>
      </w:r>
      <w:r w:rsidR="00C82C1F">
        <w:rPr>
          <w:rFonts w:cstheme="minorHAnsi"/>
          <w:szCs w:val="22"/>
        </w:rPr>
        <w:t>G</w:t>
      </w:r>
      <w:r w:rsidRPr="00000CA8">
        <w:rPr>
          <w:rFonts w:cstheme="minorHAnsi"/>
          <w:szCs w:val="22"/>
        </w:rPr>
        <w:t>uidelines would benefit from greater proportionality and differentiation, particularly with regard to:</w:t>
      </w:r>
    </w:p>
    <w:p w14:paraId="1F9DE826" w14:textId="77777777" w:rsidR="00971EFD" w:rsidRPr="00000CA8" w:rsidRDefault="00971EFD" w:rsidP="00971EFD">
      <w:pPr>
        <w:numPr>
          <w:ilvl w:val="0"/>
          <w:numId w:val="17"/>
        </w:numPr>
        <w:spacing w:after="0" w:line="240" w:lineRule="auto"/>
        <w:jc w:val="left"/>
        <w:rPr>
          <w:rFonts w:cstheme="minorHAnsi"/>
          <w:szCs w:val="22"/>
        </w:rPr>
      </w:pPr>
      <w:r w:rsidRPr="00000CA8">
        <w:rPr>
          <w:rFonts w:cstheme="minorHAnsi"/>
          <w:szCs w:val="22"/>
        </w:rPr>
        <w:t>The type of services provided (e.g. execution vs. custody),</w:t>
      </w:r>
    </w:p>
    <w:p w14:paraId="07DFB381" w14:textId="77777777" w:rsidR="00971EFD" w:rsidRPr="00000CA8" w:rsidRDefault="00971EFD" w:rsidP="00971EFD">
      <w:pPr>
        <w:numPr>
          <w:ilvl w:val="0"/>
          <w:numId w:val="17"/>
        </w:numPr>
        <w:spacing w:after="0" w:line="240" w:lineRule="auto"/>
        <w:jc w:val="left"/>
        <w:rPr>
          <w:rFonts w:cstheme="minorHAnsi"/>
          <w:szCs w:val="22"/>
        </w:rPr>
      </w:pPr>
      <w:r w:rsidRPr="00000CA8">
        <w:rPr>
          <w:rFonts w:cstheme="minorHAnsi"/>
          <w:szCs w:val="22"/>
        </w:rPr>
        <w:t>The nature of the clients served (e.g. retail vs. professional),</w:t>
      </w:r>
    </w:p>
    <w:p w14:paraId="2BF60A18" w14:textId="77777777" w:rsidR="00971EFD" w:rsidRPr="00000CA8" w:rsidRDefault="00971EFD" w:rsidP="00971EFD">
      <w:pPr>
        <w:numPr>
          <w:ilvl w:val="0"/>
          <w:numId w:val="17"/>
        </w:numPr>
        <w:spacing w:after="0" w:line="240" w:lineRule="auto"/>
        <w:jc w:val="left"/>
        <w:rPr>
          <w:rFonts w:cstheme="minorHAnsi"/>
          <w:b/>
          <w:bCs/>
          <w:szCs w:val="22"/>
        </w:rPr>
      </w:pPr>
      <w:r w:rsidRPr="00000CA8">
        <w:rPr>
          <w:rFonts w:cstheme="minorHAnsi"/>
          <w:szCs w:val="22"/>
        </w:rPr>
        <w:t>The complexity and risk profile of the crypto-assets or services offered.</w:t>
      </w:r>
    </w:p>
    <w:p w14:paraId="2AA0D342" w14:textId="015FB7E0" w:rsidR="00D66F37" w:rsidRDefault="00D66F37" w:rsidP="00D66F37"/>
    <w:permEnd w:id="232349005"/>
    <w:p w14:paraId="76D55C59" w14:textId="77777777" w:rsidR="00D66F37" w:rsidRDefault="00D66F37" w:rsidP="00D66F37">
      <w:r>
        <w:t>&lt;ESMA_QUESTION_MIKC_3&gt;</w:t>
      </w:r>
    </w:p>
    <w:p w14:paraId="7244BD36" w14:textId="77777777" w:rsidR="00D66F37" w:rsidRDefault="00D66F37" w:rsidP="00D66F37"/>
    <w:p w14:paraId="521BBC9F" w14:textId="77777777" w:rsidR="00D66F37" w:rsidRPr="00243C8C" w:rsidRDefault="00D66F37" w:rsidP="00D66F37">
      <w:pPr>
        <w:pStyle w:val="Questionstyle"/>
        <w:numPr>
          <w:ilvl w:val="0"/>
          <w:numId w:val="16"/>
        </w:numPr>
        <w:tabs>
          <w:tab w:val="clear" w:pos="567"/>
        </w:tabs>
        <w:spacing w:after="240" w:line="259" w:lineRule="auto"/>
        <w:ind w:left="851" w:hanging="851"/>
        <w:contextualSpacing w:val="0"/>
      </w:pPr>
      <w:r w:rsidRPr="008C39A7">
        <w:rPr>
          <w:bCs/>
        </w:rPr>
        <w:t>Are there any additional comments that you would like to raise and/or information that you would like to provide?</w:t>
      </w:r>
    </w:p>
    <w:p w14:paraId="0D201148" w14:textId="77777777" w:rsidR="00D66F37" w:rsidRDefault="00D66F37" w:rsidP="00D66F37">
      <w:r>
        <w:t>&lt;ESMA_QUESTION_MIKC_4&gt;</w:t>
      </w:r>
    </w:p>
    <w:p w14:paraId="2243B1C1" w14:textId="3E261328" w:rsidR="00D66F37" w:rsidRPr="00971EFD" w:rsidRDefault="00971EFD" w:rsidP="00D66F37">
      <w:pPr>
        <w:rPr>
          <w:rFonts w:cstheme="minorHAnsi"/>
          <w:szCs w:val="22"/>
          <w:lang w:val="en-US"/>
        </w:rPr>
      </w:pPr>
      <w:permStart w:id="420242248" w:edGrp="everyone"/>
      <w:r w:rsidRPr="00D578B6">
        <w:rPr>
          <w:rFonts w:cstheme="minorHAnsi"/>
          <w:szCs w:val="22"/>
        </w:rPr>
        <w:t xml:space="preserve">It would be helpful for ESMA to more explicitly define which roles and functions fall within the scope of “staff giving information”— particularly in contexts where services </w:t>
      </w:r>
      <w:r w:rsidRPr="00D549D2">
        <w:rPr>
          <w:rFonts w:cstheme="minorHAnsi"/>
          <w:szCs w:val="22"/>
          <w:lang w:val="en-US"/>
        </w:rPr>
        <w:t>b</w:t>
      </w:r>
      <w:r>
        <w:rPr>
          <w:rFonts w:cstheme="minorHAnsi"/>
          <w:szCs w:val="22"/>
          <w:lang w:val="en-US"/>
        </w:rPr>
        <w:t xml:space="preserve">ecome more and more </w:t>
      </w:r>
      <w:r w:rsidRPr="00D578B6">
        <w:rPr>
          <w:rFonts w:cstheme="minorHAnsi"/>
          <w:szCs w:val="22"/>
        </w:rPr>
        <w:t>automated</w:t>
      </w:r>
      <w:r w:rsidR="00EB6AD5">
        <w:rPr>
          <w:rFonts w:cstheme="minorHAnsi"/>
          <w:szCs w:val="22"/>
        </w:rPr>
        <w:t xml:space="preserve"> and digitalised</w:t>
      </w:r>
      <w:r w:rsidRPr="00D578B6">
        <w:rPr>
          <w:rFonts w:cstheme="minorHAnsi"/>
          <w:szCs w:val="22"/>
        </w:rPr>
        <w:t xml:space="preserve">, or where staff </w:t>
      </w:r>
      <w:r w:rsidR="00687C87">
        <w:rPr>
          <w:rFonts w:cstheme="minorHAnsi"/>
          <w:szCs w:val="22"/>
        </w:rPr>
        <w:t xml:space="preserve">may not be </w:t>
      </w:r>
      <w:r w:rsidRPr="00D578B6">
        <w:rPr>
          <w:rFonts w:cstheme="minorHAnsi"/>
          <w:szCs w:val="22"/>
        </w:rPr>
        <w:t xml:space="preserve">in </w:t>
      </w:r>
      <w:r w:rsidR="00687C87">
        <w:rPr>
          <w:rFonts w:cstheme="minorHAnsi"/>
          <w:szCs w:val="22"/>
        </w:rPr>
        <w:t xml:space="preserve">a </w:t>
      </w:r>
      <w:r w:rsidRPr="00D578B6">
        <w:rPr>
          <w:rFonts w:cstheme="minorHAnsi"/>
          <w:szCs w:val="22"/>
        </w:rPr>
        <w:t>direct contact with clients.</w:t>
      </w:r>
      <w:r w:rsidRPr="00D578B6">
        <w:rPr>
          <w:rFonts w:cstheme="minorHAnsi"/>
          <w:szCs w:val="22"/>
          <w:lang w:val="en-US"/>
        </w:rPr>
        <w:br/>
      </w:r>
      <w:r w:rsidRPr="00D578B6">
        <w:rPr>
          <w:rFonts w:cstheme="minorHAnsi"/>
          <w:szCs w:val="22"/>
          <w:lang w:val="en-US"/>
        </w:rPr>
        <w:br/>
      </w:r>
      <w:r w:rsidRPr="00D578B6">
        <w:rPr>
          <w:rFonts w:cstheme="minorHAnsi"/>
          <w:szCs w:val="22"/>
        </w:rPr>
        <w:t>As MiCA is implemented across jurisdictions, we</w:t>
      </w:r>
      <w:r w:rsidRPr="005A0C51">
        <w:rPr>
          <w:rFonts w:cstheme="minorHAnsi"/>
          <w:szCs w:val="22"/>
          <w:lang w:val="en-US"/>
        </w:rPr>
        <w:t xml:space="preserve"> would like</w:t>
      </w:r>
      <w:r w:rsidR="00C52FD3">
        <w:rPr>
          <w:rFonts w:cstheme="minorHAnsi"/>
          <w:szCs w:val="22"/>
          <w:lang w:val="en-US"/>
        </w:rPr>
        <w:t xml:space="preserve"> also</w:t>
      </w:r>
      <w:r w:rsidRPr="005A0C51">
        <w:rPr>
          <w:rFonts w:cstheme="minorHAnsi"/>
          <w:szCs w:val="22"/>
          <w:lang w:val="en-US"/>
        </w:rPr>
        <w:t xml:space="preserve"> </w:t>
      </w:r>
      <w:r>
        <w:rPr>
          <w:rFonts w:cstheme="minorHAnsi"/>
          <w:szCs w:val="22"/>
          <w:lang w:val="en-US"/>
        </w:rPr>
        <w:t xml:space="preserve">to </w:t>
      </w:r>
      <w:r w:rsidR="00C52FD3">
        <w:rPr>
          <w:rFonts w:cstheme="minorHAnsi"/>
          <w:szCs w:val="22"/>
          <w:lang w:val="en-US"/>
        </w:rPr>
        <w:t xml:space="preserve">highlight </w:t>
      </w:r>
      <w:r w:rsidRPr="00D578B6">
        <w:rPr>
          <w:rFonts w:cstheme="minorHAnsi"/>
          <w:szCs w:val="22"/>
        </w:rPr>
        <w:t>the importance of supervisory convergence</w:t>
      </w:r>
      <w:r>
        <w:rPr>
          <w:rFonts w:cstheme="minorHAnsi"/>
          <w:szCs w:val="22"/>
          <w:lang w:val="en-US"/>
        </w:rPr>
        <w:t>.</w:t>
      </w:r>
      <w:r w:rsidRPr="00D578B6">
        <w:rPr>
          <w:rFonts w:cstheme="minorHAnsi"/>
          <w:szCs w:val="22"/>
        </w:rPr>
        <w:t xml:space="preserve"> </w:t>
      </w:r>
      <w:r w:rsidR="003042F5">
        <w:rPr>
          <w:rFonts w:cstheme="minorHAnsi"/>
          <w:szCs w:val="22"/>
        </w:rPr>
        <w:t xml:space="preserve">In this regard, </w:t>
      </w:r>
      <w:r w:rsidR="005B307F">
        <w:rPr>
          <w:rFonts w:cstheme="minorHAnsi"/>
          <w:szCs w:val="22"/>
        </w:rPr>
        <w:t>further</w:t>
      </w:r>
      <w:r w:rsidRPr="00D578B6">
        <w:rPr>
          <w:rFonts w:cstheme="minorHAnsi"/>
          <w:szCs w:val="22"/>
        </w:rPr>
        <w:t xml:space="preserve"> guidance on mutual recognition of qualifications and training standards would </w:t>
      </w:r>
      <w:r>
        <w:rPr>
          <w:rFonts w:cstheme="minorHAnsi"/>
          <w:szCs w:val="22"/>
        </w:rPr>
        <w:t xml:space="preserve">be </w:t>
      </w:r>
      <w:r w:rsidRPr="00D578B6">
        <w:rPr>
          <w:rFonts w:cstheme="minorHAnsi"/>
          <w:szCs w:val="22"/>
        </w:rPr>
        <w:t>benefic</w:t>
      </w:r>
      <w:r>
        <w:rPr>
          <w:rFonts w:cstheme="minorHAnsi"/>
          <w:szCs w:val="22"/>
        </w:rPr>
        <w:t>ial</w:t>
      </w:r>
      <w:r w:rsidRPr="00D578B6">
        <w:rPr>
          <w:rFonts w:cstheme="minorHAnsi"/>
          <w:szCs w:val="22"/>
        </w:rPr>
        <w:t>.</w:t>
      </w:r>
    </w:p>
    <w:permEnd w:id="420242248"/>
    <w:p w14:paraId="1A06EE3D" w14:textId="77777777" w:rsidR="00D66F37" w:rsidRDefault="00D66F37" w:rsidP="00D66F37">
      <w:r>
        <w:t>&lt;ESMA_QUESTION_MIKC_4&gt;</w:t>
      </w:r>
    </w:p>
    <w:p w14:paraId="44E2BBFE" w14:textId="77777777" w:rsidR="00D66F37" w:rsidRDefault="00D66F37" w:rsidP="00113E80"/>
    <w:p w14:paraId="099C8801" w14:textId="77777777" w:rsidR="00D66F37" w:rsidRDefault="00D66F37" w:rsidP="00113E80"/>
    <w:p w14:paraId="6D0BD360" w14:textId="77777777" w:rsidR="00D66F37" w:rsidRDefault="00D66F37" w:rsidP="00113E80"/>
    <w:p w14:paraId="4A0C7B4A" w14:textId="77777777" w:rsidR="00D66F37" w:rsidRDefault="00D66F37" w:rsidP="00113E80"/>
    <w:p w14:paraId="205B4AC7" w14:textId="77777777" w:rsidR="00D66F37" w:rsidRDefault="00D66F37" w:rsidP="00113E80"/>
    <w:p w14:paraId="4F056714" w14:textId="77777777" w:rsidR="00D66F37" w:rsidRDefault="00D66F37" w:rsidP="00113E80"/>
    <w:sectPr w:rsidR="00D66F37" w:rsidSect="00AD0B10">
      <w:headerReference w:type="default" r:id="rId23"/>
      <w:footerReference w:type="default" r:id="rId24"/>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3DFAF" w14:textId="77777777" w:rsidR="00B13574" w:rsidRDefault="00B13574" w:rsidP="007E7997">
      <w:pPr>
        <w:spacing w:line="240" w:lineRule="auto"/>
      </w:pPr>
      <w:r>
        <w:separator/>
      </w:r>
    </w:p>
  </w:endnote>
  <w:endnote w:type="continuationSeparator" w:id="0">
    <w:p w14:paraId="63B96352" w14:textId="77777777" w:rsidR="00B13574" w:rsidRDefault="00B13574" w:rsidP="007E7997">
      <w:pPr>
        <w:spacing w:line="240" w:lineRule="auto"/>
      </w:pPr>
      <w:r>
        <w:continuationSeparator/>
      </w:r>
    </w:p>
  </w:endnote>
  <w:endnote w:type="continuationNotice" w:id="1">
    <w:p w14:paraId="3AC46E9F" w14:textId="77777777" w:rsidR="00B13574" w:rsidRDefault="00B135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26DB" w14:textId="77777777" w:rsidR="00B00CD6" w:rsidRDefault="00B00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46AE" w14:textId="77777777" w:rsidR="00B00CD6" w:rsidRDefault="00B00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38CA" w14:textId="77777777" w:rsidR="00B00CD6" w:rsidRDefault="00B00C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19258" w14:textId="77777777" w:rsidR="00B13574" w:rsidRDefault="00B13574" w:rsidP="007E7997">
      <w:pPr>
        <w:spacing w:line="240" w:lineRule="auto"/>
      </w:pPr>
      <w:r>
        <w:separator/>
      </w:r>
    </w:p>
  </w:footnote>
  <w:footnote w:type="continuationSeparator" w:id="0">
    <w:p w14:paraId="093BB8D1" w14:textId="77777777" w:rsidR="00B13574" w:rsidRDefault="00B13574" w:rsidP="007E7997">
      <w:pPr>
        <w:spacing w:line="240" w:lineRule="auto"/>
      </w:pPr>
      <w:r>
        <w:continuationSeparator/>
      </w:r>
    </w:p>
  </w:footnote>
  <w:footnote w:type="continuationNotice" w:id="1">
    <w:p w14:paraId="1F6BA2EC" w14:textId="77777777" w:rsidR="00B13574" w:rsidRDefault="00B135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2E98" w14:textId="77777777" w:rsidR="00B00CD6" w:rsidRDefault="00B00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808F" w14:textId="77777777" w:rsidR="00B00CD6" w:rsidRDefault="00B00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2F328D30" w:rsidR="00D77369" w:rsidRPr="00DB2FD6" w:rsidRDefault="00D77369" w:rsidP="008858FE">
    <w:pPr>
      <w:pStyle w:val="Header"/>
      <w:rPr>
        <w:bCs/>
        <w:caps/>
        <w:color w:val="FF0000" w:themeColor="accent6"/>
        <w:sz w:val="22"/>
        <w:highlight w:val="yellow"/>
      </w:rPr>
    </w:pPr>
    <w:r w:rsidRPr="00C008C4">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D93D74">
      <w:t>1</w:t>
    </w:r>
    <w:r w:rsidR="007216D3">
      <w:t>9</w:t>
    </w:r>
    <w:r w:rsidR="00D93D74">
      <w:t xml:space="preserve"> February 2025</w:t>
    </w:r>
  </w:p>
  <w:p w14:paraId="10BD5565" w14:textId="52ABB9DB" w:rsidR="008858FE" w:rsidRPr="000C70F0" w:rsidRDefault="00B00CD6" w:rsidP="009C6AE0">
    <w:pPr>
      <w:jc w:val="right"/>
      <w:rPr>
        <w:sz w:val="16"/>
        <w:szCs w:val="16"/>
      </w:rPr>
    </w:pPr>
    <w:r w:rsidRPr="00B00CD6">
      <w:rPr>
        <w:sz w:val="16"/>
        <w:szCs w:val="16"/>
      </w:rPr>
      <w:t>ESMA35-1872330276-2281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B0143F"/>
    <w:multiLevelType w:val="multilevel"/>
    <w:tmpl w:val="F0B8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52232B"/>
    <w:multiLevelType w:val="hybridMultilevel"/>
    <w:tmpl w:val="E474F29A"/>
    <w:lvl w:ilvl="0" w:tplc="91A4A3F4">
      <w:start w:val="1"/>
      <w:numFmt w:val="decimal"/>
      <w:lvlText w:val="Q%1"/>
      <w:lvlJc w:val="left"/>
      <w:pPr>
        <w:ind w:left="2629"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9"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2"/>
  </w:num>
  <w:num w:numId="2" w16cid:durableId="270287514">
    <w:abstractNumId w:val="5"/>
  </w:num>
  <w:num w:numId="3" w16cid:durableId="1675497260">
    <w:abstractNumId w:val="10"/>
  </w:num>
  <w:num w:numId="4" w16cid:durableId="1146706333">
    <w:abstractNumId w:val="3"/>
  </w:num>
  <w:num w:numId="5" w16cid:durableId="1502348752">
    <w:abstractNumId w:val="0"/>
  </w:num>
  <w:num w:numId="6" w16cid:durableId="1544101585">
    <w:abstractNumId w:val="6"/>
  </w:num>
  <w:num w:numId="7" w16cid:durableId="896626050">
    <w:abstractNumId w:val="13"/>
  </w:num>
  <w:num w:numId="8" w16cid:durableId="806780153">
    <w:abstractNumId w:val="2"/>
  </w:num>
  <w:num w:numId="9" w16cid:durableId="1677002603">
    <w:abstractNumId w:val="11"/>
  </w:num>
  <w:num w:numId="10" w16cid:durableId="22487393">
    <w:abstractNumId w:val="9"/>
  </w:num>
  <w:num w:numId="11" w16cid:durableId="270942799">
    <w:abstractNumId w:val="8"/>
  </w:num>
  <w:num w:numId="12" w16cid:durableId="10230698">
    <w:abstractNumId w:val="8"/>
    <w:lvlOverride w:ilvl="0">
      <w:startOverride w:val="1"/>
    </w:lvlOverride>
  </w:num>
  <w:num w:numId="13" w16cid:durableId="1914856611">
    <w:abstractNumId w:val="1"/>
  </w:num>
  <w:num w:numId="14" w16cid:durableId="2976140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7"/>
  </w:num>
  <w:num w:numId="17" w16cid:durableId="199494688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j+Ps5Rsbvpvmf/oKKFW/du4/I/lAA5f+NnU1GhGAg0d5Pu8jew5gMCW3cDmNqNG3+PvdXZ+Ij0IC8ftxcEPqQ==" w:salt="OWt9Q3qRPVfyZlIpMNjDj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6"/>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707"/>
    <w:rsid w:val="0009498D"/>
    <w:rsid w:val="00094C24"/>
    <w:rsid w:val="00095712"/>
    <w:rsid w:val="0009597A"/>
    <w:rsid w:val="00095E39"/>
    <w:rsid w:val="000968A1"/>
    <w:rsid w:val="00096AAC"/>
    <w:rsid w:val="00096B28"/>
    <w:rsid w:val="00096D55"/>
    <w:rsid w:val="00096D57"/>
    <w:rsid w:val="00096F0E"/>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48E8"/>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0F0"/>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010"/>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3E80"/>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1D7E"/>
    <w:rsid w:val="00162033"/>
    <w:rsid w:val="00162660"/>
    <w:rsid w:val="0016289B"/>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6C4"/>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2F5"/>
    <w:rsid w:val="00304A15"/>
    <w:rsid w:val="00304BDC"/>
    <w:rsid w:val="00304CD4"/>
    <w:rsid w:val="00304ED0"/>
    <w:rsid w:val="00305609"/>
    <w:rsid w:val="0030562A"/>
    <w:rsid w:val="003057A5"/>
    <w:rsid w:val="00305D1F"/>
    <w:rsid w:val="00305E9C"/>
    <w:rsid w:val="0030622B"/>
    <w:rsid w:val="00306780"/>
    <w:rsid w:val="00306B81"/>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95"/>
    <w:rsid w:val="003519DA"/>
    <w:rsid w:val="00351BE3"/>
    <w:rsid w:val="00352A2C"/>
    <w:rsid w:val="00352DA9"/>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212"/>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B98"/>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0A02"/>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6F0"/>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02"/>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4D80"/>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C7"/>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1F08"/>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5CA"/>
    <w:rsid w:val="005A3640"/>
    <w:rsid w:val="005A4B5B"/>
    <w:rsid w:val="005A4CE2"/>
    <w:rsid w:val="005A5012"/>
    <w:rsid w:val="005A5116"/>
    <w:rsid w:val="005A554D"/>
    <w:rsid w:val="005A59EB"/>
    <w:rsid w:val="005A5D59"/>
    <w:rsid w:val="005A601B"/>
    <w:rsid w:val="005A6830"/>
    <w:rsid w:val="005A6CA3"/>
    <w:rsid w:val="005A6F5C"/>
    <w:rsid w:val="005A795F"/>
    <w:rsid w:val="005A7EDB"/>
    <w:rsid w:val="005B0195"/>
    <w:rsid w:val="005B08A7"/>
    <w:rsid w:val="005B09B3"/>
    <w:rsid w:val="005B11CF"/>
    <w:rsid w:val="005B12C1"/>
    <w:rsid w:val="005B1BB5"/>
    <w:rsid w:val="005B1D17"/>
    <w:rsid w:val="005B1EFA"/>
    <w:rsid w:val="005B2269"/>
    <w:rsid w:val="005B22E8"/>
    <w:rsid w:val="005B2828"/>
    <w:rsid w:val="005B2D1C"/>
    <w:rsid w:val="005B307F"/>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5C54"/>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AE"/>
    <w:rsid w:val="005E33FB"/>
    <w:rsid w:val="005E3428"/>
    <w:rsid w:val="005E3E68"/>
    <w:rsid w:val="005E3ED1"/>
    <w:rsid w:val="005E3FD9"/>
    <w:rsid w:val="005E412D"/>
    <w:rsid w:val="005E4732"/>
    <w:rsid w:val="005E4D29"/>
    <w:rsid w:val="005E5E9E"/>
    <w:rsid w:val="005E6387"/>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87C87"/>
    <w:rsid w:val="006902D1"/>
    <w:rsid w:val="0069049F"/>
    <w:rsid w:val="00690530"/>
    <w:rsid w:val="00690682"/>
    <w:rsid w:val="00690879"/>
    <w:rsid w:val="00690E34"/>
    <w:rsid w:val="00691610"/>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ABA"/>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69C"/>
    <w:rsid w:val="007216D3"/>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4C6F"/>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373F"/>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48FD"/>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87C1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60E2"/>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90"/>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D3E"/>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1EFD"/>
    <w:rsid w:val="00972413"/>
    <w:rsid w:val="00972940"/>
    <w:rsid w:val="00972B99"/>
    <w:rsid w:val="00972D81"/>
    <w:rsid w:val="00972E4C"/>
    <w:rsid w:val="00973372"/>
    <w:rsid w:val="009739A1"/>
    <w:rsid w:val="00973CFF"/>
    <w:rsid w:val="00974B81"/>
    <w:rsid w:val="00974C56"/>
    <w:rsid w:val="009757FB"/>
    <w:rsid w:val="00975981"/>
    <w:rsid w:val="00975AB2"/>
    <w:rsid w:val="00975B8D"/>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A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9A"/>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4D2"/>
    <w:rsid w:val="00AA3F8F"/>
    <w:rsid w:val="00AA410B"/>
    <w:rsid w:val="00AA489F"/>
    <w:rsid w:val="00AA57EE"/>
    <w:rsid w:val="00AA5D9A"/>
    <w:rsid w:val="00AA5EBC"/>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CD6"/>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3574"/>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6BE"/>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08C4"/>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595"/>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D3"/>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929"/>
    <w:rsid w:val="00C64E25"/>
    <w:rsid w:val="00C65438"/>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2C1F"/>
    <w:rsid w:val="00C83F8E"/>
    <w:rsid w:val="00C84820"/>
    <w:rsid w:val="00C84A0F"/>
    <w:rsid w:val="00C84FA0"/>
    <w:rsid w:val="00C85513"/>
    <w:rsid w:val="00C859F9"/>
    <w:rsid w:val="00C85E79"/>
    <w:rsid w:val="00C85F26"/>
    <w:rsid w:val="00C860B7"/>
    <w:rsid w:val="00C87077"/>
    <w:rsid w:val="00C8748F"/>
    <w:rsid w:val="00C8761A"/>
    <w:rsid w:val="00C8789F"/>
    <w:rsid w:val="00C90244"/>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BF3"/>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3DBC"/>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93D"/>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17C"/>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5EC"/>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5F8"/>
    <w:rsid w:val="00D46972"/>
    <w:rsid w:val="00D46BCA"/>
    <w:rsid w:val="00D46D76"/>
    <w:rsid w:val="00D470B7"/>
    <w:rsid w:val="00D4758C"/>
    <w:rsid w:val="00D477AC"/>
    <w:rsid w:val="00D47CCF"/>
    <w:rsid w:val="00D47E56"/>
    <w:rsid w:val="00D47FBF"/>
    <w:rsid w:val="00D50C23"/>
    <w:rsid w:val="00D50D0C"/>
    <w:rsid w:val="00D50E8B"/>
    <w:rsid w:val="00D52095"/>
    <w:rsid w:val="00D52334"/>
    <w:rsid w:val="00D5278C"/>
    <w:rsid w:val="00D52831"/>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6F37"/>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74"/>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4EA6"/>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838"/>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2C"/>
    <w:rsid w:val="00E40D9D"/>
    <w:rsid w:val="00E4101D"/>
    <w:rsid w:val="00E41188"/>
    <w:rsid w:val="00E425DC"/>
    <w:rsid w:val="00E42696"/>
    <w:rsid w:val="00E4287B"/>
    <w:rsid w:val="00E43112"/>
    <w:rsid w:val="00E43749"/>
    <w:rsid w:val="00E438B8"/>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700"/>
    <w:rsid w:val="00E558E9"/>
    <w:rsid w:val="00E55BB9"/>
    <w:rsid w:val="00E55E8A"/>
    <w:rsid w:val="00E56436"/>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AF8"/>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6AD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03F"/>
    <w:rsid w:val="00ED65A6"/>
    <w:rsid w:val="00ED6B63"/>
    <w:rsid w:val="00ED6CB5"/>
    <w:rsid w:val="00ED6E0C"/>
    <w:rsid w:val="00ED6EBD"/>
    <w:rsid w:val="00ED7149"/>
    <w:rsid w:val="00ED7358"/>
    <w:rsid w:val="00ED7364"/>
    <w:rsid w:val="00ED74D7"/>
    <w:rsid w:val="00ED75A2"/>
    <w:rsid w:val="00ED7E48"/>
    <w:rsid w:val="00EE0009"/>
    <w:rsid w:val="00EE0983"/>
    <w:rsid w:val="00EE1A96"/>
    <w:rsid w:val="00EE1B99"/>
    <w:rsid w:val="00EE1C5E"/>
    <w:rsid w:val="00EE1DEE"/>
    <w:rsid w:val="00EE219C"/>
    <w:rsid w:val="00EE232B"/>
    <w:rsid w:val="00EE236B"/>
    <w:rsid w:val="00EE29A9"/>
    <w:rsid w:val="00EE2CC4"/>
    <w:rsid w:val="00EE3254"/>
    <w:rsid w:val="00EE3D34"/>
    <w:rsid w:val="00EE40A4"/>
    <w:rsid w:val="00EE41B4"/>
    <w:rsid w:val="00EE48DD"/>
    <w:rsid w:val="00EE4906"/>
    <w:rsid w:val="00EE4C62"/>
    <w:rsid w:val="00EE5DD9"/>
    <w:rsid w:val="00EE5ED8"/>
    <w:rsid w:val="00EE5F75"/>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040"/>
    <w:rsid w:val="00F60620"/>
    <w:rsid w:val="00F609CF"/>
    <w:rsid w:val="00F615DC"/>
    <w:rsid w:val="00F61687"/>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A7F1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5B31"/>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DDC"/>
    <w:rsid w:val="00FE2071"/>
    <w:rsid w:val="00FE2356"/>
    <w:rsid w:val="00FE2578"/>
    <w:rsid w:val="00FE2F18"/>
    <w:rsid w:val="00FE3C32"/>
    <w:rsid w:val="00FE4207"/>
    <w:rsid w:val="00FE4306"/>
    <w:rsid w:val="00FE4A62"/>
    <w:rsid w:val="00FE4BCA"/>
    <w:rsid w:val="00FE526A"/>
    <w:rsid w:val="00FE5E65"/>
    <w:rsid w:val="00FE5EDF"/>
    <w:rsid w:val="00FE6973"/>
    <w:rsid w:val="00FE7651"/>
    <w:rsid w:val="00FE7728"/>
    <w:rsid w:val="00FE7B7B"/>
    <w:rsid w:val="00FE7D2C"/>
    <w:rsid w:val="00FE7F60"/>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F03B3FEF-66D7-422F-8EB5-87E962B0C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
    <w:name w:val="para"/>
    <w:basedOn w:val="ListParagraph"/>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DefaultParagraphFont"/>
    <w:link w:val="para"/>
    <w:rsid w:val="00641F03"/>
    <w:rPr>
      <w:bCs/>
      <w:iCs/>
      <w:color w:val="181818" w:themeColor="background1" w:themeShade="1A"/>
      <w:sz w:val="22"/>
      <w:lang w:val="en-GB"/>
    </w:rPr>
  </w:style>
  <w:style w:type="character" w:customStyle="1" w:styleId="normaltextrun">
    <w:name w:val="normaltextrun"/>
    <w:basedOn w:val="DefaultParagraphFont"/>
    <w:rsid w:val="00F60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14531115">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50421945">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34544113">
      <w:bodyDiv w:val="1"/>
      <w:marLeft w:val="0"/>
      <w:marRight w:val="0"/>
      <w:marTop w:val="0"/>
      <w:marBottom w:val="0"/>
      <w:divBdr>
        <w:top w:val="none" w:sz="0" w:space="0" w:color="auto"/>
        <w:left w:val="none" w:sz="0" w:space="0" w:color="auto"/>
        <w:bottom w:val="none" w:sz="0" w:space="0" w:color="auto"/>
        <w:right w:val="none" w:sz="0" w:space="0" w:color="auto"/>
      </w:divBdr>
    </w:div>
    <w:div w:id="587158233">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66757400">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esma.europa.eu/about-esma/data-protection"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304192735D4F2E9B95179F2819F853"/>
        <w:category>
          <w:name w:val="General"/>
          <w:gallery w:val="placeholder"/>
        </w:category>
        <w:types>
          <w:type w:val="bbPlcHdr"/>
        </w:types>
        <w:behaviors>
          <w:behavior w:val="content"/>
        </w:behaviors>
        <w:guid w:val="{9DB6FAE4-1871-4E9F-B9AA-DA225D5E24BD}"/>
      </w:docPartPr>
      <w:docPartBody>
        <w:p w:rsidR="002536E7" w:rsidRDefault="006954E6" w:rsidP="006954E6">
          <w:pPr>
            <w:pStyle w:val="BB304192735D4F2E9B95179F2819F853"/>
          </w:pPr>
          <w:r w:rsidRPr="00DA1A90">
            <w:rPr>
              <w:rStyle w:val="PlaceholderText"/>
            </w:rPr>
            <w:t>Click or tap here to enter text.</w:t>
          </w:r>
        </w:p>
      </w:docPartBody>
    </w:docPart>
    <w:docPart>
      <w:docPartPr>
        <w:name w:val="01EE1C7859204274A669423EC64EE100"/>
        <w:category>
          <w:name w:val="General"/>
          <w:gallery w:val="placeholder"/>
        </w:category>
        <w:types>
          <w:type w:val="bbPlcHdr"/>
        </w:types>
        <w:behaviors>
          <w:behavior w:val="content"/>
        </w:behaviors>
        <w:guid w:val="{757FA870-D7B8-4D07-B038-E1E8D580F7D7}"/>
      </w:docPartPr>
      <w:docPartBody>
        <w:p w:rsidR="002536E7" w:rsidRDefault="006954E6" w:rsidP="006954E6">
          <w:pPr>
            <w:pStyle w:val="01EE1C7859204274A669423EC64EE100"/>
          </w:pPr>
          <w:r w:rsidRPr="00DA1A90">
            <w:rPr>
              <w:rStyle w:val="PlaceholderText"/>
            </w:rPr>
            <w:t>Choose an item.</w:t>
          </w:r>
        </w:p>
      </w:docPartBody>
    </w:docPart>
    <w:docPart>
      <w:docPartPr>
        <w:name w:val="D404D71EE61B44F68217F5015889DA12"/>
        <w:category>
          <w:name w:val="General"/>
          <w:gallery w:val="placeholder"/>
        </w:category>
        <w:types>
          <w:type w:val="bbPlcHdr"/>
        </w:types>
        <w:behaviors>
          <w:behavior w:val="content"/>
        </w:behaviors>
        <w:guid w:val="{A0BB575F-9042-4C4F-B22F-EEA879E69A3D}"/>
      </w:docPartPr>
      <w:docPartBody>
        <w:p w:rsidR="002536E7" w:rsidRDefault="006954E6" w:rsidP="006954E6">
          <w:pPr>
            <w:pStyle w:val="D404D71EE61B44F68217F5015889DA12"/>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0C0B68"/>
    <w:rsid w:val="0015768C"/>
    <w:rsid w:val="002536E7"/>
    <w:rsid w:val="00254E75"/>
    <w:rsid w:val="0034145D"/>
    <w:rsid w:val="00372212"/>
    <w:rsid w:val="004E4CF9"/>
    <w:rsid w:val="005A795F"/>
    <w:rsid w:val="005D66AB"/>
    <w:rsid w:val="006954E6"/>
    <w:rsid w:val="006D3543"/>
    <w:rsid w:val="00701E25"/>
    <w:rsid w:val="00813189"/>
    <w:rsid w:val="008222A0"/>
    <w:rsid w:val="00836D47"/>
    <w:rsid w:val="009B6B9C"/>
    <w:rsid w:val="00B07345"/>
    <w:rsid w:val="00B22006"/>
    <w:rsid w:val="00B46CAE"/>
    <w:rsid w:val="00C90244"/>
    <w:rsid w:val="00CB3340"/>
    <w:rsid w:val="00D52831"/>
    <w:rsid w:val="00DC3796"/>
    <w:rsid w:val="00DC4211"/>
    <w:rsid w:val="00EE3D34"/>
    <w:rsid w:val="00F81463"/>
    <w:rsid w:val="00FD76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54E6"/>
    <w:rPr>
      <w:color w:val="808080"/>
    </w:rPr>
  </w:style>
  <w:style w:type="paragraph" w:customStyle="1" w:styleId="BB304192735D4F2E9B95179F2819F853">
    <w:name w:val="BB304192735D4F2E9B95179F2819F853"/>
    <w:rsid w:val="006954E6"/>
    <w:rPr>
      <w:kern w:val="2"/>
      <w14:ligatures w14:val="standardContextual"/>
    </w:rPr>
  </w:style>
  <w:style w:type="paragraph" w:customStyle="1" w:styleId="01EE1C7859204274A669423EC64EE100">
    <w:name w:val="01EE1C7859204274A669423EC64EE100"/>
    <w:rsid w:val="006954E6"/>
    <w:rPr>
      <w:kern w:val="2"/>
      <w14:ligatures w14:val="standardContextual"/>
    </w:rPr>
  </w:style>
  <w:style w:type="paragraph" w:customStyle="1" w:styleId="D404D71EE61B44F68217F5015889DA12">
    <w:name w:val="D404D71EE61B44F68217F5015889DA12"/>
    <w:rsid w:val="006954E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Other Work PowerPoint Document" ma:contentTypeID="0x0101008EBA8196C37CB64493F8A334AEA81B190106005163DBCAC2819549AD8818B6C00ED114" ma:contentTypeVersion="20" ma:contentTypeDescription="" ma:contentTypeScope="" ma:versionID="89f3821cf41f23b26cebd0b9bb5c273d">
  <xsd:schema xmlns:xsd="http://www.w3.org/2001/XMLSchema" xmlns:xs="http://www.w3.org/2001/XMLSchema" xmlns:p="http://schemas.microsoft.com/office/2006/metadata/properties" xmlns:ns2="d0fb0f98-34f9-4d57-9559-eb8efd17aa5e" xmlns:ns3="3bb54ca2-4b2e-4244-be4d-a1b948814b6e" targetNamespace="http://schemas.microsoft.com/office/2006/metadata/properties" ma:root="true" ma:fieldsID="890263672bb10ead717ec61bacf962d9" ns2:_="" ns3:_="">
    <xsd:import namespace="d0fb0f98-34f9-4d57-9559-eb8efd17aa5e"/>
    <xsd:import namespace="3bb54ca2-4b2e-4244-be4d-a1b948814b6e"/>
    <xsd:element name="properties">
      <xsd:complexType>
        <xsd:sequence>
          <xsd:element name="documentManagement">
            <xsd:complexType>
              <xsd:all>
                <xsd:element ref="ns2:Year"/>
                <xsd:element ref="ns2:MeetingDate" minOccurs="0"/>
                <xsd:element ref="ns2:TaxCatchAll" minOccurs="0"/>
                <xsd:element ref="ns2:ldf822d702374457a75b2650fd19956f" minOccurs="0"/>
                <xsd:element ref="ns2:i5ab60d4d76744fa8f19029305834a0f" minOccurs="0"/>
                <xsd:element ref="ns2:b1f7cdd549a8454fb97376e5c37040fc" minOccurs="0"/>
                <xsd:element ref="ns2:ja89261ff8244daf864530e8b7973c66" minOccurs="0"/>
                <xsd:element ref="ns2:TaxCatchAllLabel" minOccurs="0"/>
                <xsd:element ref="ns2:nd85f6bbfc564f3fa1f39842b48e85f3" minOccurs="0"/>
                <xsd:element ref="ns2:f926fd9ddf4e43dc9baf43a17188d082" minOccurs="0"/>
                <xsd:element ref="ns2:_dlc_DocId" minOccurs="0"/>
                <xsd:element ref="ns2:_dlc_DocIdUrl" minOccurs="0"/>
                <xsd:element ref="ns2:_dlc_DocIdPersistI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4" nillable="true" ma:displayName="Taxonomy Catch All Column" ma:hidden="true" ma:list="{05974136-d146-49b7-9751-ef130a8e22e0}"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ldf822d702374457a75b2650fd19956f" ma:index="17" nillable="true" ma:taxonomy="true" ma:internalName="ldf822d702374457a75b2650fd19956f" ma:taxonomyFieldName="EsmaAudience" ma:displayName="Audience" ma:readOnly="false" ma:fieldId="{5df822d7-0237-4457-a75b-2650fd19956f}"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i5ab60d4d76744fa8f19029305834a0f" ma:index="18" ma:taxonomy="true" ma:internalName="i5ab60d4d76744fa8f19029305834a0f" ma:taxonomyFieldName="TeamName" ma:displayName="Team Name" ma:readOnly="false" ma:default="5;#Investor Protection and Intermediaries|98c55de3-414a-4dc7-97ca-58b003cd9a35" ma:fieldId="{25ab60d4-d767-44fa-8f19-029305834a0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b1f7cdd549a8454fb97376e5c37040fc" ma:index="19" ma:taxonomy="true" ma:internalName="b1f7cdd549a8454fb97376e5c37040fc" ma:taxonomyFieldName="DocumentType" ma:displayName="Document Type" ma:readOnly="false" ma:fieldId="{b1f7cdd5-49a8-454f-b973-76e5c37040fc}"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a89261ff8244daf864530e8b7973c66" ma:index="20" ma:taxonomy="true" ma:internalName="ja89261ff8244daf864530e8b7973c66" ma:taxonomyFieldName="ConfidentialityLevel" ma:displayName="Confidentiality Level" ma:readOnly="false" ma:default="6;#Regular|07f1e362-856b-423d-bea6-a14079762141" ma:fieldId="{3a89261f-f824-4daf-8645-30e8b7973c66}"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TaxCatchAllLabel" ma:index="21" nillable="true" ma:displayName="Taxonomy Catch All Column1" ma:hidden="true" ma:list="{05974136-d146-49b7-9751-ef130a8e22e0}"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nd85f6bbfc564f3fa1f39842b48e85f3" ma:index="22" nillable="true" ma:taxonomy="true" ma:internalName="nd85f6bbfc564f3fa1f39842b48e85f3" ma:taxonomyFieldName="TeamTopic" ma:displayName="Team Topic" ma:readOnly="false" ma:default="77;#Other Work|8e467236-62cb-4258-b359-81b56229d8cf" ma:fieldId="{7d85f6bb-fc56-4f3f-a1f3-9842b48e85f3}" ma:taxonomyMulti="true" ma:sspId="d4b01e31-ead0-4f68-a8e9-2aaca35f2e62" ma:termSetId="850502f9-36b0-41fb-966b-d9fcd2f00296" ma:anchorId="00000000-0000-0000-0000-000000000000" ma:open="false" ma:isKeyword="false">
      <xsd:complexType>
        <xsd:sequence>
          <xsd:element ref="pc:Terms" minOccurs="0" maxOccurs="1"/>
        </xsd:sequence>
      </xsd:complexType>
    </xsd:element>
    <xsd:element name="f926fd9ddf4e43dc9baf43a17188d082" ma:index="23" nillable="true" ma:taxonomy="true" ma:internalName="f926fd9ddf4e43dc9baf43a17188d082" ma:taxonomyFieldName="Topic" ma:displayName="Topic" ma:readOnly="false" ma:fieldId="{f926fd9d-df4e-43dc-9baf-43a17188d082}" ma:sspId="d4b01e31-ead0-4f68-a8e9-2aaca35f2e62" ma:termSetId="1204d773-6b06-4d02-bc01-ea5b5466ecfd" ma:anchorId="00000000-0000-0000-0000-000000000000" ma:open="tru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b54ca2-4b2e-4244-be4d-a1b948814b6e" elementFormDefault="qualified">
    <xsd:import namespace="http://schemas.microsoft.com/office/2006/documentManagement/types"/>
    <xsd:import namespace="http://schemas.microsoft.com/office/infopath/2007/PartnerControls"/>
    <xsd:element name="lcf76f155ced4ddcb4097134ff3c332f" ma:index="2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82</Value>
      <Value>5</Value>
      <Value>77</Value>
    </TaxCatchAll>
    <_dlc_DocId xmlns="d0fb0f98-34f9-4d57-9559-eb8efd17aa5e">ESMA35-1872330276-2281</_dlc_DocId>
    <_dlc_DocIdUrl xmlns="d0fb0f98-34f9-4d57-9559-eb8efd17aa5e">
      <Url>https://securitiesandmarketsauth.sharepoint.com/sites/sherpa-ipi/_layouts/15/DocIdRedir.aspx?ID=ESMA35-1872330276-2281</Url>
      <Description>ESMA35-1872330276-2281</Description>
    </_dlc_DocIdUrl>
    <_dlc_DocIdPersistId xmlns="d0fb0f98-34f9-4d57-9559-eb8efd17aa5e" xsi:nil="true"/>
    <MeetingDate xmlns="d0fb0f98-34f9-4d57-9559-eb8efd17aa5e" xsi:nil="true"/>
    <Year xmlns="d0fb0f98-34f9-4d57-9559-eb8efd17aa5e">2024</Year>
    <ja89261ff8244daf864530e8b7973c66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a89261ff8244daf864530e8b7973c66>
    <i5ab60d4d76744fa8f19029305834a0f xmlns="d0fb0f98-34f9-4d57-9559-eb8efd17aa5e">
      <Terms xmlns="http://schemas.microsoft.com/office/infopath/2007/PartnerControls">
        <TermInfo xmlns="http://schemas.microsoft.com/office/infopath/2007/PartnerControls">
          <TermName xmlns="http://schemas.microsoft.com/office/infopath/2007/PartnerControls">Investor Protection and Intermediaries</TermName>
          <TermId xmlns="http://schemas.microsoft.com/office/infopath/2007/PartnerControls">98c55de3-414a-4dc7-97ca-58b003cd9a35</TermId>
        </TermInfo>
      </Terms>
    </i5ab60d4d76744fa8f19029305834a0f>
    <lcf76f155ced4ddcb4097134ff3c332f xmlns="3bb54ca2-4b2e-4244-be4d-a1b948814b6e" xsi:nil="true"/>
    <ldf822d702374457a75b2650fd19956f xmlns="d0fb0f98-34f9-4d57-9559-eb8efd17aa5e">
      <Terms xmlns="http://schemas.microsoft.com/office/infopath/2007/PartnerControls"/>
    </ldf822d702374457a75b2650fd19956f>
    <nd85f6bbfc564f3fa1f39842b48e85f3 xmlns="d0fb0f98-34f9-4d57-9559-eb8efd17aa5e">
      <Terms xmlns="http://schemas.microsoft.com/office/infopath/2007/PartnerControls">
        <TermInfo xmlns="http://schemas.microsoft.com/office/infopath/2007/PartnerControls">
          <TermName xmlns="http://schemas.microsoft.com/office/infopath/2007/PartnerControls">Other Work</TermName>
          <TermId xmlns="http://schemas.microsoft.com/office/infopath/2007/PartnerControls">8e467236-62cb-4258-b359-81b56229d8cf</TermId>
        </TermInfo>
      </Terms>
    </nd85f6bbfc564f3fa1f39842b48e85f3>
    <f926fd9ddf4e43dc9baf43a17188d082 xmlns="d0fb0f98-34f9-4d57-9559-eb8efd17aa5e">
      <Terms xmlns="http://schemas.microsoft.com/office/infopath/2007/PartnerControls"/>
    </f926fd9ddf4e43dc9baf43a17188d082>
    <b1f7cdd549a8454fb97376e5c37040fc xmlns="d0fb0f98-34f9-4d57-9559-eb8efd17aa5e">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b1f7cdd549a8454fb97376e5c37040fc>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2.xml><?xml version="1.0" encoding="utf-8"?>
<ds:datastoreItem xmlns:ds="http://schemas.openxmlformats.org/officeDocument/2006/customXml" ds:itemID="{BDBC8EF1-613F-4498-9108-AA7000822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3bb54ca2-4b2e-4244-be4d-a1b948814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4.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 ds:uri="3bb54ca2-4b2e-4244-be4d-a1b948814b6e"/>
  </ds:schemaRefs>
</ds:datastoreItem>
</file>

<file path=customXml/itemProps5.xml><?xml version="1.0" encoding="utf-8"?>
<ds:datastoreItem xmlns:ds="http://schemas.openxmlformats.org/officeDocument/2006/customXml" ds:itemID="{92F8F2DF-DA9D-4E3B-AF8A-ABDFC91351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1081</Words>
  <Characters>6167</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ABBL</cp:lastModifiedBy>
  <cp:revision>19</cp:revision>
  <cp:lastPrinted>2023-09-09T00:53:00Z</cp:lastPrinted>
  <dcterms:created xsi:type="dcterms:W3CDTF">2025-04-22T19:09:00Z</dcterms:created>
  <dcterms:modified xsi:type="dcterms:W3CDTF">2025-04-22T19:20:00Z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0x0101008EBA8196C37CB64493F8A334AEA81B190106005163DBCAC2819549AD8818B6C00ED114</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b6771d8d-ad15-493e-8947-ba7e3a16ec48</vt:lpwstr>
  </property>
  <property fmtid="{D5CDD505-2E9C-101B-9397-08002B2CF9AE}" pid="8" name="Topic">
    <vt:lpwstr/>
  </property>
  <property fmtid="{D5CDD505-2E9C-101B-9397-08002B2CF9AE}" pid="9" name="ConfidentialityLevel">
    <vt:lpwstr>6;#Regular|07f1e362-856b-423d-bea6-a14079762141</vt:lpwstr>
  </property>
  <property fmtid="{D5CDD505-2E9C-101B-9397-08002B2CF9AE}" pid="10" name="DocumentType">
    <vt:lpwstr>82;#Consultation Paper|c6238baf-c3d7-4bb8-8cf2-f28a89601f52</vt:lpwstr>
  </property>
  <property fmtid="{D5CDD505-2E9C-101B-9397-08002B2CF9AE}" pid="11" name="Order">
    <vt:r8>52000</vt:r8>
  </property>
  <property fmtid="{D5CDD505-2E9C-101B-9397-08002B2CF9AE}" pid="12" name="DocumentSetDescription">
    <vt:lpwstr/>
  </property>
  <property fmtid="{D5CDD505-2E9C-101B-9397-08002B2CF9AE}" pid="13" name="TeamName">
    <vt:lpwstr>5</vt:lpwstr>
  </property>
  <property fmtid="{D5CDD505-2E9C-101B-9397-08002B2CF9AE}" pid="14" name="MediaServiceImageTags">
    <vt:lpwstr/>
  </property>
  <property fmtid="{D5CDD505-2E9C-101B-9397-08002B2CF9AE}" pid="15" name="SubTopic">
    <vt:lpwstr>307</vt:lpwstr>
  </property>
  <property fmtid="{D5CDD505-2E9C-101B-9397-08002B2CF9AE}" pid="16" name="TeamTopic">
    <vt:lpwstr>77;#Other Work|8e467236-62cb-4258-b359-81b56229d8cf</vt:lpwstr>
  </property>
  <property fmtid="{D5CDD505-2E9C-101B-9397-08002B2CF9AE}" pid="17" name="EsmaAudience">
    <vt:lpwstr/>
  </property>
</Properties>
</file>