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3B41FE3C"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01438AE1" w14:textId="023C9089" w:rsidR="00563C1F" w:rsidRDefault="00EC6066" w:rsidP="00F72D28">
          <w:pPr>
            <w:pStyle w:val="Ttulo"/>
          </w:pPr>
          <w:r>
            <w:t xml:space="preserve">Reply </w:t>
          </w:r>
          <w:r w:rsidR="00DD03DC">
            <w:t>F</w:t>
          </w:r>
          <w:r>
            <w:t>orm</w:t>
          </w:r>
        </w:p>
        <w:p w14:paraId="031F2108" w14:textId="6A062872" w:rsidR="007E7997" w:rsidRPr="007216D3" w:rsidRDefault="00113E80" w:rsidP="007216D3">
          <w:pPr>
            <w:pStyle w:val="Subttulo"/>
            <w:rPr>
              <w:rFonts w:ascii="Arial" w:hAnsi="Arial" w:cs="Arial"/>
              <w:color w:val="181818"/>
              <w:szCs w:val="28"/>
              <w:bdr w:val="none" w:sz="0" w:space="0" w:color="auto" w:frame="1"/>
            </w:rPr>
          </w:pPr>
          <w:r>
            <w:rPr>
              <w:rStyle w:val="normaltextrun"/>
              <w:rFonts w:ascii="Arial" w:hAnsi="Arial" w:cs="Arial"/>
              <w:color w:val="181818"/>
              <w:szCs w:val="28"/>
              <w:bdr w:val="none" w:sz="0" w:space="0" w:color="auto" w:frame="1"/>
            </w:rPr>
            <w:t xml:space="preserve">Consultation Paper on the </w:t>
          </w:r>
          <w:r w:rsidR="007216D3" w:rsidRPr="007216D3">
            <w:rPr>
              <w:rStyle w:val="normaltextrun"/>
              <w:rFonts w:ascii="Arial" w:hAnsi="Arial" w:cs="Arial"/>
              <w:color w:val="181818"/>
              <w:szCs w:val="28"/>
              <w:bdr w:val="none" w:sz="0" w:space="0" w:color="auto" w:frame="1"/>
            </w:rPr>
            <w:t>Guidelines for the criteria on the assessment of knowledge and</w:t>
          </w:r>
          <w:r w:rsidR="007216D3">
            <w:rPr>
              <w:rStyle w:val="normaltextrun"/>
              <w:rFonts w:ascii="Arial" w:hAnsi="Arial" w:cs="Arial"/>
              <w:color w:val="181818"/>
              <w:szCs w:val="28"/>
              <w:bdr w:val="none" w:sz="0" w:space="0" w:color="auto" w:frame="1"/>
            </w:rPr>
            <w:t xml:space="preserve"> </w:t>
          </w:r>
          <w:r w:rsidR="007216D3" w:rsidRPr="007216D3">
            <w:rPr>
              <w:rStyle w:val="normaltextrun"/>
              <w:rFonts w:ascii="Arial" w:hAnsi="Arial" w:cs="Arial"/>
              <w:color w:val="181818"/>
              <w:szCs w:val="28"/>
              <w:bdr w:val="none" w:sz="0" w:space="0" w:color="auto" w:frame="1"/>
            </w:rPr>
            <w:t>competence under the Markets in Crypto Assets Regulation (MiCA)</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3C18"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tul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rrafodelista"/>
            <w:rPr>
              <w:lang w:val="en-GB"/>
            </w:rPr>
          </w:pPr>
          <w:r w:rsidRPr="00DB2FD6">
            <w:rPr>
              <w:lang w:val="en-GB"/>
            </w:rPr>
            <w:t>respond to the question stated;</w:t>
          </w:r>
        </w:p>
        <w:p w14:paraId="72FD40F6" w14:textId="77777777" w:rsidR="002533FC" w:rsidRPr="00DB2FD6" w:rsidRDefault="002533FC" w:rsidP="00EC6066">
          <w:pPr>
            <w:pStyle w:val="Prrafodelista"/>
            <w:rPr>
              <w:lang w:val="en-GB"/>
            </w:rPr>
          </w:pPr>
          <w:r w:rsidRPr="00DB2FD6">
            <w:rPr>
              <w:lang w:val="en-GB"/>
            </w:rPr>
            <w:t>indicate the specific question to which the comment relates;</w:t>
          </w:r>
        </w:p>
        <w:p w14:paraId="78B206B7" w14:textId="77777777" w:rsidR="002533FC" w:rsidRPr="00E13D25" w:rsidRDefault="002533FC" w:rsidP="00EC6066">
          <w:pPr>
            <w:pStyle w:val="Prrafodelista"/>
          </w:pPr>
          <w:r w:rsidRPr="00E13D25">
            <w:t>contain a clear rationale; and</w:t>
          </w:r>
        </w:p>
        <w:p w14:paraId="60B8834E" w14:textId="77777777" w:rsidR="002533FC" w:rsidRPr="00DB2FD6" w:rsidRDefault="002533FC" w:rsidP="00EC6066">
          <w:pPr>
            <w:pStyle w:val="Prrafodelista"/>
            <w:rPr>
              <w:lang w:val="en-GB"/>
            </w:rPr>
          </w:pPr>
          <w:r w:rsidRPr="00DB2FD6">
            <w:rPr>
              <w:lang w:val="en-GB"/>
            </w:rPr>
            <w:t>describe any alternatives ESMA should consider.</w:t>
          </w:r>
        </w:p>
        <w:p w14:paraId="219225AC" w14:textId="34C6C124" w:rsidR="002533FC" w:rsidRPr="005B6B12" w:rsidRDefault="002533FC" w:rsidP="002533FC">
          <w:r w:rsidRPr="005B6B12">
            <w:t xml:space="preserve">ESMA will consider all comments received by </w:t>
          </w:r>
          <w:r w:rsidR="00AA5EBC">
            <w:rPr>
              <w:b/>
            </w:rPr>
            <w:t>22</w:t>
          </w:r>
          <w:r w:rsidR="00113E80">
            <w:rPr>
              <w:b/>
            </w:rPr>
            <w:t xml:space="preserve"> April 2025</w:t>
          </w:r>
          <w:r w:rsidRPr="005B6B12">
            <w:rPr>
              <w:b/>
            </w:rPr>
            <w:t xml:space="preserve">. </w:t>
          </w:r>
        </w:p>
        <w:p w14:paraId="7EBC0542" w14:textId="0CD5B31D" w:rsidR="002533FC" w:rsidRDefault="002533FC" w:rsidP="002533FC">
          <w:r w:rsidRPr="005B6B12">
            <w:t xml:space="preserve">All contributions should be submitted online at </w:t>
          </w:r>
          <w:hyperlink r:id="rId20" w:history="1">
            <w:r w:rsidRPr="005B6B12">
              <w:rPr>
                <w:rStyle w:val="Hipervnculo"/>
              </w:rPr>
              <w:t>www.esma.europa.eu</w:t>
            </w:r>
          </w:hyperlink>
          <w:r w:rsidRPr="005B6B12">
            <w:t xml:space="preserve"> under the heading ‘Your input - Consultations’. </w:t>
          </w:r>
        </w:p>
        <w:p w14:paraId="5E44C845" w14:textId="77777777" w:rsidR="00EC6066" w:rsidRPr="0026459D" w:rsidRDefault="00EC6066" w:rsidP="00EC6066">
          <w:pPr>
            <w:pStyle w:val="Subttul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258DE607"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ED603F">
            <w:rPr>
              <w:bCs/>
            </w:rPr>
            <w:t>MIKC</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496C6D19"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ESMA_CP_</w:t>
          </w:r>
          <w:r w:rsidR="00DB2FD6" w:rsidRPr="00DB2FD6">
            <w:rPr>
              <w:bCs/>
            </w:rPr>
            <w:t xml:space="preserve"> </w:t>
          </w:r>
          <w:r w:rsidR="00ED603F">
            <w:rPr>
              <w:bCs/>
            </w:rPr>
            <w:t>MIKC</w:t>
          </w:r>
          <w:r w:rsidRPr="00C5469A">
            <w:rPr>
              <w:bCs/>
            </w:rPr>
            <w:t xml:space="preserve">_nameofrespondent. </w:t>
          </w:r>
        </w:p>
        <w:p w14:paraId="210BE93A" w14:textId="6CDE5FFA"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ESMA_CP_</w:t>
          </w:r>
          <w:r w:rsidR="00DB2FD6" w:rsidRPr="00DB2FD6">
            <w:rPr>
              <w:bCs/>
            </w:rPr>
            <w:t xml:space="preserve"> </w:t>
          </w:r>
          <w:r w:rsidR="00ED603F">
            <w:rPr>
              <w:bCs/>
            </w:rPr>
            <w:t>MIKC</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21" w:history="1">
            <w:r w:rsidRPr="005B6B12">
              <w:rPr>
                <w:rStyle w:val="Hipervnculo"/>
              </w:rPr>
              <w:t>www.esma.europa.eu</w:t>
            </w:r>
          </w:hyperlink>
          <w:r w:rsidRPr="005B6B12">
            <w:t xml:space="preserve"> under the heading </w:t>
          </w:r>
          <w:r w:rsidRPr="00025A7F">
            <w:rPr>
              <w:rStyle w:val="Hipervnculo"/>
            </w:rPr>
            <w:t>‘</w:t>
          </w:r>
          <w:hyperlink r:id="rId22" w:history="1">
            <w:r>
              <w:rPr>
                <w:rStyle w:val="Hipervnculo"/>
              </w:rPr>
              <w:t>Data protection</w:t>
            </w:r>
          </w:hyperlink>
          <w:r>
            <w:rPr>
              <w:rStyle w:val="Hipervnculo"/>
            </w:rPr>
            <w:t>’</w:t>
          </w:r>
          <w:r w:rsidRPr="005B6B12">
            <w:t>.</w:t>
          </w:r>
        </w:p>
        <w:p w14:paraId="57A67DA5" w14:textId="77777777" w:rsidR="00EC6066" w:rsidRPr="005B6B12" w:rsidRDefault="00EC6066" w:rsidP="00EC6066">
          <w:pPr>
            <w:rPr>
              <w:b/>
            </w:rPr>
          </w:pPr>
          <w:r w:rsidRPr="005B6B12">
            <w:rPr>
              <w:b/>
            </w:rPr>
            <w:t>Who should read this paper?</w:t>
          </w:r>
        </w:p>
        <w:p w14:paraId="39BF27F5" w14:textId="38D83063" w:rsidR="00EC6066" w:rsidRDefault="00D66F37" w:rsidP="00D66F37">
          <w:r>
            <w:t>All interested stakeholders are invited to respond to this Consultation Paper. In particular, ESMA invites crypto-asset service providers, investors and their associations, financial entities dealing with crypto-assets and any other stakeholders that have an interest in the market for crypto-assets.</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Ttulo1"/>
        <w:rPr>
          <w:lang w:val="fr-BE"/>
        </w:rPr>
      </w:pPr>
      <w:r>
        <w:rPr>
          <w:lang w:val="fr-BE"/>
        </w:rPr>
        <w:lastRenderedPageBreak/>
        <w:t xml:space="preserve">General information about </w:t>
      </w:r>
      <w:r w:rsidRPr="00501EF4">
        <w:t>respondent</w:t>
      </w:r>
    </w:p>
    <w:tbl>
      <w:tblPr>
        <w:tblStyle w:val="Tablaconcuadrcula"/>
        <w:tblW w:w="0" w:type="auto"/>
        <w:tblLook w:val="04A0" w:firstRow="1" w:lastRow="0" w:firstColumn="1" w:lastColumn="0" w:noHBand="0" w:noVBand="1"/>
      </w:tblPr>
      <w:tblGrid>
        <w:gridCol w:w="4531"/>
        <w:gridCol w:w="4531"/>
      </w:tblGrid>
      <w:tr w:rsidR="00E40D2C" w:rsidRPr="00557BD2" w14:paraId="44F115DF" w14:textId="77777777" w:rsidTr="00743CD9">
        <w:tc>
          <w:tcPr>
            <w:tcW w:w="4531" w:type="dxa"/>
          </w:tcPr>
          <w:p w14:paraId="2E826C88" w14:textId="77777777" w:rsidR="00E40D2C" w:rsidRPr="00557BD2" w:rsidRDefault="00E40D2C" w:rsidP="00743CD9">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EndPr/>
          <w:sdtContent>
            <w:tc>
              <w:tcPr>
                <w:tcW w:w="4531" w:type="dxa"/>
              </w:tcPr>
              <w:p w14:paraId="40C29021" w14:textId="77777777" w:rsidR="008C6560" w:rsidRDefault="00AF7B13" w:rsidP="00743CD9">
                <w:r>
                  <w:t>CNMV’s Advisory Committee</w:t>
                </w:r>
                <w:r w:rsidR="008C6560">
                  <w:t>.</w:t>
                </w:r>
              </w:p>
              <w:p w14:paraId="5C8A6928" w14:textId="032024E6" w:rsidR="00E40D2C" w:rsidRPr="00557BD2" w:rsidRDefault="008C6560" w:rsidP="00743CD9">
                <w:r w:rsidRPr="008C6560">
                  <w:rPr>
                    <w:bCs/>
                  </w:rPr>
                  <w:t>The CNMV's Advisory Committee has been set by the Spanish Securities Market Law as the consultative body of the CNMV. It is composed by market participants and its opinions are independent from those of the CNMV.</w:t>
                </w:r>
              </w:p>
            </w:tc>
          </w:sdtContent>
        </w:sdt>
      </w:tr>
      <w:tr w:rsidR="00E40D2C" w:rsidRPr="00557BD2" w14:paraId="749BD8C2" w14:textId="77777777" w:rsidTr="00743CD9">
        <w:tc>
          <w:tcPr>
            <w:tcW w:w="4531" w:type="dxa"/>
          </w:tcPr>
          <w:p w14:paraId="6FE0ECE4" w14:textId="77777777" w:rsidR="00E40D2C" w:rsidRDefault="00E40D2C" w:rsidP="00743CD9">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EndPr/>
          <w:sdtContent>
            <w:tc>
              <w:tcPr>
                <w:tcW w:w="4531" w:type="dxa"/>
              </w:tcPr>
              <w:p w14:paraId="22ECE1B6" w14:textId="2A989CA8" w:rsidR="00E40D2C" w:rsidRDefault="00AF7B13" w:rsidP="00743CD9">
                <w:r>
                  <w:t>Other</w:t>
                </w:r>
              </w:p>
            </w:tc>
          </w:sdtContent>
        </w:sdt>
      </w:tr>
      <w:permEnd w:id="1501374178"/>
      <w:tr w:rsidR="00E40D2C" w:rsidRPr="00557BD2" w14:paraId="431B28C6" w14:textId="77777777" w:rsidTr="00743CD9">
        <w:tc>
          <w:tcPr>
            <w:tcW w:w="4531" w:type="dxa"/>
          </w:tcPr>
          <w:p w14:paraId="19D77BEC" w14:textId="77777777" w:rsidR="00E40D2C" w:rsidRPr="00557BD2" w:rsidRDefault="00E40D2C" w:rsidP="00743CD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EndPr/>
          <w:sdtContent>
            <w:permStart w:id="996560612" w:edGrp="everyone" w:displacedByCustomXml="prev"/>
            <w:tc>
              <w:tcPr>
                <w:tcW w:w="4531" w:type="dxa"/>
              </w:tcPr>
              <w:p w14:paraId="7AB9C082" w14:textId="34178A25" w:rsidR="00E40D2C" w:rsidRDefault="00AF7B13" w:rsidP="00743CD9">
                <w:r>
                  <w:rPr>
                    <w:rFonts w:ascii="MS Gothic" w:eastAsia="MS Gothic" w:hAnsi="MS Gothic" w:hint="eastAsia"/>
                  </w:rPr>
                  <w:t>☐</w:t>
                </w:r>
              </w:p>
            </w:tc>
            <w:permEnd w:id="996560612" w:displacedByCustomXml="next"/>
          </w:sdtContent>
        </w:sdt>
      </w:tr>
      <w:tr w:rsidR="00E40D2C" w:rsidRPr="00557BD2" w14:paraId="3720260B" w14:textId="77777777" w:rsidTr="00743CD9">
        <w:tc>
          <w:tcPr>
            <w:tcW w:w="4531" w:type="dxa"/>
          </w:tcPr>
          <w:p w14:paraId="03F7FCFD" w14:textId="77777777" w:rsidR="00E40D2C" w:rsidRPr="00557BD2" w:rsidRDefault="00E40D2C" w:rsidP="00743CD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922924511" w:edGrp="everyone" w:displacedByCustomXml="prev"/>
            <w:tc>
              <w:tcPr>
                <w:tcW w:w="4531" w:type="dxa"/>
              </w:tcPr>
              <w:p w14:paraId="5BB12D35" w14:textId="679AB86A" w:rsidR="00E40D2C" w:rsidRPr="00557BD2" w:rsidRDefault="00AF7B13" w:rsidP="00743CD9">
                <w:r>
                  <w:t>Spain</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Ttulo1"/>
        <w:rPr>
          <w:lang w:val="fr-BE"/>
        </w:rPr>
      </w:pPr>
      <w:r w:rsidRPr="00557BD2">
        <w:rPr>
          <w:lang w:val="fr-BE"/>
        </w:rPr>
        <w:t>Questions</w:t>
      </w:r>
    </w:p>
    <w:p w14:paraId="453DE570" w14:textId="3594F8C5" w:rsidR="00D66F37" w:rsidRDefault="00113E80" w:rsidP="00D66F37">
      <w:pPr>
        <w:spacing w:after="120" w:line="264" w:lineRule="auto"/>
        <w:jc w:val="left"/>
      </w:pPr>
      <w:r>
        <w:br w:type="page"/>
      </w:r>
    </w:p>
    <w:p w14:paraId="109733F4" w14:textId="77777777" w:rsidR="00D66F37" w:rsidRPr="009B2F87" w:rsidRDefault="00D66F37" w:rsidP="00D66F37">
      <w:pPr>
        <w:pStyle w:val="Questionstyle"/>
        <w:numPr>
          <w:ilvl w:val="0"/>
          <w:numId w:val="16"/>
        </w:numPr>
        <w:tabs>
          <w:tab w:val="clear" w:pos="567"/>
        </w:tabs>
        <w:spacing w:after="240" w:line="259" w:lineRule="auto"/>
        <w:ind w:left="851" w:hanging="851"/>
        <w:contextualSpacing w:val="0"/>
      </w:pPr>
      <w:r w:rsidRPr="00C22517">
        <w:rPr>
          <w:bCs/>
        </w:rPr>
        <w:lastRenderedPageBreak/>
        <w:t>Do you agree with the minimum requirements regarding qualification, experience and continuous professional development of staff giving information on crypto-assets and crypto-asset services to clients included in paragraphs 19 to 21 of draft Guideline 2? If not, what would, in your view, be adequate minimum requirements? Please state the reasons for your answer.</w:t>
      </w:r>
    </w:p>
    <w:p w14:paraId="13B0C55A" w14:textId="77777777" w:rsidR="00D66F37" w:rsidRDefault="00D66F37" w:rsidP="00D66F37">
      <w:r>
        <w:t>&lt;ESMA_QUESTION_MIKC_1&gt;</w:t>
      </w:r>
    </w:p>
    <w:p w14:paraId="3BBE949A" w14:textId="77777777" w:rsidR="00AF7B13" w:rsidRPr="00AF7B13" w:rsidRDefault="00AF7B13" w:rsidP="00AF7B13">
      <w:permStart w:id="22165056" w:edGrp="everyone"/>
      <w:r w:rsidRPr="00AF7B13">
        <w:t>- In the Draft, the Guidelines are applicable to staff members that determine the content of information or advice when both are delivered to clients by means of automated or semi-automated systems.</w:t>
      </w:r>
    </w:p>
    <w:p w14:paraId="19579AEF" w14:textId="77777777" w:rsidR="00AF7B13" w:rsidRPr="00AF7B13" w:rsidRDefault="00AF7B13" w:rsidP="00AF7B13">
      <w:r w:rsidRPr="00AF7B13">
        <w:t>Therefore, they are not personnel who have a direct relationship with the client. This is new.</w:t>
      </w:r>
    </w:p>
    <w:p w14:paraId="50DF8523" w14:textId="77777777" w:rsidR="00AF7B13" w:rsidRPr="00AF7B13" w:rsidRDefault="00AF7B13" w:rsidP="00AF7B13">
      <w:r w:rsidRPr="00AF7B13">
        <w:t>As such systems will be foreseeably used frequently in the provision of services involving crypto-assets, the Committee proposes that this extension of the application of the Guidelines be clarified, specifying which persons within the entities should be considered subject to the latter, as there could potentially be a large group of employees who participate in the definition of said content, such as staff in development and technology, legal, risk, operations, etc. to whom it does not seem reasonable that these knowledge and competence requirements should be extended.</w:t>
      </w:r>
    </w:p>
    <w:p w14:paraId="2A03600A" w14:textId="77777777" w:rsidR="00AF7B13" w:rsidRPr="00AF7B13" w:rsidRDefault="00AF7B13" w:rsidP="00AF7B13">
      <w:r w:rsidRPr="00AF7B13">
        <w:t xml:space="preserve">The reference included in the Draft Guidelines to this respect is very general and may lead entities to consider including groups other than employees within its scope. </w:t>
      </w:r>
    </w:p>
    <w:p w14:paraId="5E882EAE" w14:textId="77777777" w:rsidR="00AF7B13" w:rsidRPr="00AF7B13" w:rsidRDefault="00AF7B13" w:rsidP="00AF7B13">
      <w:r w:rsidRPr="00AF7B13">
        <w:t>Footnote 11 (in section 17 of the Draft Guidelines) and footnote 18 in the illustrative example included in the Annex are clearly insufficient for these purposes.</w:t>
      </w:r>
    </w:p>
    <w:p w14:paraId="2973BB41" w14:textId="77777777" w:rsidR="00AF7B13" w:rsidRPr="00AF7B13" w:rsidRDefault="00AF7B13" w:rsidP="00AF7B13">
      <w:r w:rsidRPr="00AF7B13">
        <w:t xml:space="preserve">Thus, this aspect should be sufficiently clarified to provide entities certainty, particularly </w:t>
      </w:r>
      <w:proofErr w:type="gramStart"/>
      <w:r w:rsidRPr="00AF7B13">
        <w:t>taking into account</w:t>
      </w:r>
      <w:proofErr w:type="gramEnd"/>
      <w:r w:rsidRPr="00AF7B13">
        <w:t xml:space="preserve"> the proportionality of said requirements.</w:t>
      </w:r>
    </w:p>
    <w:p w14:paraId="57E3719F" w14:textId="77777777" w:rsidR="00AF7B13" w:rsidRPr="00AF7B13" w:rsidRDefault="00AF7B13" w:rsidP="00AF7B13">
      <w:r w:rsidRPr="00AF7B13">
        <w:t xml:space="preserve">- Section 19 establishes a minimum number of training hours, in addition to six months of experience under supervision or, alternatively, one year of experience under supervision. Section 20 establishes that employees who have been providing information regarding </w:t>
      </w:r>
      <w:proofErr w:type="gramStart"/>
      <w:r w:rsidRPr="00AF7B13">
        <w:t>crypto-assets</w:t>
      </w:r>
      <w:proofErr w:type="gramEnd"/>
      <w:r w:rsidRPr="00AF7B13">
        <w:t xml:space="preserve"> to clients are considered to hold the necessary knowledge and skills.</w:t>
      </w:r>
    </w:p>
    <w:p w14:paraId="4B8AC5C4" w14:textId="77777777" w:rsidR="00AF7B13" w:rsidRPr="00AF7B13" w:rsidRDefault="00AF7B13" w:rsidP="00AF7B13">
      <w:r w:rsidRPr="00AF7B13">
        <w:t>These sections raise several questions:</w:t>
      </w:r>
    </w:p>
    <w:p w14:paraId="25D1C459" w14:textId="77777777" w:rsidR="00AF7B13" w:rsidRPr="00AF7B13" w:rsidRDefault="00AF7B13" w:rsidP="00AF7B13">
      <w:pPr>
        <w:numPr>
          <w:ilvl w:val="0"/>
          <w:numId w:val="17"/>
        </w:numPr>
      </w:pPr>
      <w:r w:rsidRPr="00AF7B13">
        <w:t>An exclusively quantitative approach is not deemed adequate. Attention should be paid to qualitative requirements that certify minimum knowledge and are validated through an exam.</w:t>
      </w:r>
    </w:p>
    <w:p w14:paraId="7B66637E" w14:textId="77777777" w:rsidR="00AF7B13" w:rsidRPr="00AF7B13" w:rsidRDefault="00AF7B13" w:rsidP="00AF7B13"/>
    <w:p w14:paraId="2203DED3" w14:textId="77777777" w:rsidR="00AF7B13" w:rsidRPr="00AF7B13" w:rsidRDefault="00AF7B13" w:rsidP="00AF7B13">
      <w:pPr>
        <w:numPr>
          <w:ilvl w:val="0"/>
          <w:numId w:val="17"/>
        </w:numPr>
      </w:pPr>
      <w:r w:rsidRPr="00AF7B13">
        <w:lastRenderedPageBreak/>
        <w:t>It is not clear if experience held by a crypto-asset provider that is not nor has been subject to regulation or supervision should be considered as an exemption from conducting training sessions. In any case, clarification as to what criteria is applicable for such consideration is necessary, and, in any case, they should be expected to pass a qualification exam on the knowledge mentioned in section 18.</w:t>
      </w:r>
    </w:p>
    <w:p w14:paraId="40079E81" w14:textId="77777777" w:rsidR="00AF7B13" w:rsidRPr="00AF7B13" w:rsidRDefault="00AF7B13" w:rsidP="00AF7B13">
      <w:pPr>
        <w:numPr>
          <w:ilvl w:val="0"/>
          <w:numId w:val="17"/>
        </w:numPr>
      </w:pPr>
      <w:r w:rsidRPr="00AF7B13">
        <w:t>Specifically, as these are entities that are not nor have ever been regulated, under no circumstances should they be exempt from the requirement to certify their knowledge and skills in relation to the new regulatory framework as a whole and the demands that this entails for the entity and for investor protection.</w:t>
      </w:r>
    </w:p>
    <w:p w14:paraId="0652F7CA" w14:textId="77777777" w:rsidR="00AF7B13" w:rsidRPr="00AF7B13" w:rsidRDefault="00AF7B13" w:rsidP="00AF7B13">
      <w:pPr>
        <w:numPr>
          <w:ilvl w:val="0"/>
          <w:numId w:val="17"/>
        </w:numPr>
      </w:pPr>
      <w:r w:rsidRPr="00AF7B13">
        <w:t xml:space="preserve">If the requirement of a certain number of hours is maintained, the training that an employee may have as an informant under the MiFID II regime should be </w:t>
      </w:r>
      <w:proofErr w:type="gramStart"/>
      <w:r w:rsidRPr="00AF7B13">
        <w:t>taken into account</w:t>
      </w:r>
      <w:proofErr w:type="gramEnd"/>
      <w:r w:rsidRPr="00AF7B13">
        <w:t xml:space="preserve"> for its reduction.</w:t>
      </w:r>
    </w:p>
    <w:p w14:paraId="591EE75B" w14:textId="77777777" w:rsidR="00AF7B13" w:rsidRPr="00AF7B13" w:rsidRDefault="00AF7B13" w:rsidP="00AF7B13">
      <w:r w:rsidRPr="00AF7B13">
        <w:t xml:space="preserve">- </w:t>
      </w:r>
      <w:proofErr w:type="gramStart"/>
      <w:r w:rsidRPr="00AF7B13">
        <w:t>In regard to</w:t>
      </w:r>
      <w:proofErr w:type="gramEnd"/>
      <w:r w:rsidRPr="00AF7B13">
        <w:t xml:space="preserve"> ongoing training (section 21), the Committee considers that establishing a minimum annual limit for ongoing training is inefficient, as it implies treating all staff equally without taking into consideration their level of knowledge.  </w:t>
      </w:r>
    </w:p>
    <w:p w14:paraId="119E63DB" w14:textId="77777777" w:rsidR="00AF7B13" w:rsidRPr="00AF7B13" w:rsidRDefault="00AF7B13" w:rsidP="00AF7B13">
      <w:r w:rsidRPr="00AF7B13">
        <w:t>An ongoing training plan should be promoted, subject to the need to update at any given time, as all staff members should receive the necessary training on adaptation and updating, as may correspond.</w:t>
      </w:r>
    </w:p>
    <w:p w14:paraId="04697B37" w14:textId="77777777" w:rsidR="00AF7B13" w:rsidRPr="00AF7B13" w:rsidRDefault="00AF7B13" w:rsidP="00AF7B13">
      <w:r w:rsidRPr="00AF7B13">
        <w:t>The hours of ongoing training can be organised by the service provider itself, while the exams on the content should be guaranteed to be carried out by a due external body.</w:t>
      </w:r>
    </w:p>
    <w:permEnd w:id="22165056"/>
    <w:p w14:paraId="47CD53D9" w14:textId="77777777" w:rsidR="00D66F37" w:rsidRDefault="00D66F37" w:rsidP="00D66F37">
      <w:r>
        <w:t>&lt;ESMA_QUESTION_MIKC_1&gt;</w:t>
      </w:r>
    </w:p>
    <w:p w14:paraId="2B168393" w14:textId="77777777" w:rsidR="00D66F37" w:rsidRDefault="00D66F37" w:rsidP="00D66F37"/>
    <w:p w14:paraId="19C26CC8" w14:textId="77777777" w:rsidR="00D66F37" w:rsidRPr="00890AC0" w:rsidRDefault="00D66F37" w:rsidP="00D66F37">
      <w:pPr>
        <w:pStyle w:val="Questionstyle"/>
        <w:numPr>
          <w:ilvl w:val="0"/>
          <w:numId w:val="16"/>
        </w:numPr>
        <w:tabs>
          <w:tab w:val="clear" w:pos="567"/>
        </w:tabs>
        <w:spacing w:after="240" w:line="259" w:lineRule="auto"/>
        <w:ind w:left="851" w:hanging="851"/>
        <w:contextualSpacing w:val="0"/>
      </w:pPr>
      <w:r w:rsidRPr="008C39A7">
        <w:rPr>
          <w:bCs/>
        </w:rPr>
        <w:t xml:space="preserve">Do you agree with the minimum requirements regarding qualification, experience and continuous professional development of staff giving advice on crypto-assets and crypto-asset services to clients included in paragraphs </w:t>
      </w:r>
      <w:r>
        <w:rPr>
          <w:bCs/>
        </w:rPr>
        <w:t>24</w:t>
      </w:r>
      <w:r w:rsidRPr="008C39A7">
        <w:rPr>
          <w:bCs/>
        </w:rPr>
        <w:t xml:space="preserve"> to 2</w:t>
      </w:r>
      <w:r>
        <w:rPr>
          <w:bCs/>
        </w:rPr>
        <w:t>6</w:t>
      </w:r>
      <w:r w:rsidRPr="008C39A7">
        <w:rPr>
          <w:bCs/>
        </w:rPr>
        <w:t xml:space="preserve"> of draft Guideline </w:t>
      </w:r>
      <w:r>
        <w:rPr>
          <w:bCs/>
        </w:rPr>
        <w:t>3</w:t>
      </w:r>
      <w:r w:rsidRPr="008C39A7">
        <w:rPr>
          <w:bCs/>
        </w:rPr>
        <w:t>? If not, what would, in your view, be adequate minimum requirements? Please state the reasons for your answer.</w:t>
      </w:r>
    </w:p>
    <w:p w14:paraId="52D3E7FB" w14:textId="77777777" w:rsidR="00D66F37" w:rsidRDefault="00D66F37" w:rsidP="00D66F37">
      <w:r>
        <w:t>&lt;ESMA_QUESTION_MIKC_2&gt;</w:t>
      </w:r>
    </w:p>
    <w:p w14:paraId="2704D94D" w14:textId="77777777" w:rsidR="00AF7B13" w:rsidRPr="00AF7B13" w:rsidRDefault="00AF7B13" w:rsidP="00AF7B13">
      <w:permStart w:id="1041127921" w:edGrp="everyone"/>
      <w:r w:rsidRPr="00AF7B13">
        <w:t>-The same comment made in the answer to the previous question applies here, that qualitative criteria, instead of quantitative criteria, should be used, requiring knowledge of the minimum content necessary to provide advice. To this regard, the Committee proposes following the same MIFID II regime, which does not require a specific number of hours.</w:t>
      </w:r>
    </w:p>
    <w:p w14:paraId="001113E0" w14:textId="77777777" w:rsidR="00AF7B13" w:rsidRPr="00AF7B13" w:rsidRDefault="00AF7B13" w:rsidP="00AF7B13">
      <w:r w:rsidRPr="00AF7B13">
        <w:lastRenderedPageBreak/>
        <w:t xml:space="preserve">- It should be highlighted that qualifications obtained under the MiFID II regime have an effect when assessing the requirements demanded, particularly in section 24. Thus, the qualification as an informant, as well as the qualification as an advisor or the time under supervision, should be </w:t>
      </w:r>
      <w:proofErr w:type="gramStart"/>
      <w:r w:rsidRPr="00AF7B13">
        <w:t>taken into account</w:t>
      </w:r>
      <w:proofErr w:type="gramEnd"/>
      <w:r w:rsidRPr="00AF7B13">
        <w:t xml:space="preserve"> when assessing such requirements.   </w:t>
      </w:r>
    </w:p>
    <w:p w14:paraId="2A3434FE" w14:textId="77777777" w:rsidR="00AF7B13" w:rsidRPr="00AF7B13" w:rsidRDefault="00AF7B13" w:rsidP="00AF7B13">
      <w:r w:rsidRPr="00AF7B13">
        <w:t xml:space="preserve">- </w:t>
      </w:r>
      <w:proofErr w:type="gramStart"/>
      <w:r w:rsidRPr="00AF7B13">
        <w:t>With regard to</w:t>
      </w:r>
      <w:proofErr w:type="gramEnd"/>
      <w:r w:rsidRPr="00AF7B13">
        <w:t xml:space="preserve"> the regime for employees who have been carrying out their activity in CASPs not subject to supervision, it is important to highlight:</w:t>
      </w:r>
    </w:p>
    <w:p w14:paraId="2FE1CC18" w14:textId="77777777" w:rsidR="00AF7B13" w:rsidRPr="00AF7B13" w:rsidRDefault="00AF7B13" w:rsidP="00AF7B13">
      <w:pPr>
        <w:numPr>
          <w:ilvl w:val="0"/>
          <w:numId w:val="17"/>
        </w:numPr>
      </w:pPr>
      <w:r w:rsidRPr="00AF7B13">
        <w:t>In any case, they will be required to test their knowledge.</w:t>
      </w:r>
    </w:p>
    <w:p w14:paraId="045F7157" w14:textId="77777777" w:rsidR="00AF7B13" w:rsidRPr="00AF7B13" w:rsidRDefault="00AF7B13" w:rsidP="00AF7B13">
      <w:pPr>
        <w:numPr>
          <w:ilvl w:val="0"/>
          <w:numId w:val="17"/>
        </w:numPr>
      </w:pPr>
      <w:r w:rsidRPr="00AF7B13">
        <w:t>Such knowledge will be required to include an understanding of the new regulatory framework and the regulatory requirements for the entity aimed at investor protection.</w:t>
      </w:r>
    </w:p>
    <w:p w14:paraId="5C8BC80F" w14:textId="77777777" w:rsidR="00AF7B13" w:rsidRPr="00AF7B13" w:rsidRDefault="00AF7B13" w:rsidP="00AF7B13">
      <w:r w:rsidRPr="00AF7B13">
        <w:t>- The Committee does not believe that entities should be responsible for establishing the number of hours needed to maintain an adequate level of knowledge and skills. The proposal mentions, as in the case of employees providing information to clients, that entities should establish a training plan subject to the need for updating at any given time.</w:t>
      </w:r>
    </w:p>
    <w:p w14:paraId="7986BCCA" w14:textId="77777777" w:rsidR="00AF7B13" w:rsidRPr="00AF7B13" w:rsidRDefault="00AF7B13" w:rsidP="00AF7B13">
      <w:r w:rsidRPr="00AF7B13">
        <w:t>Here too, training hours under the scope of the MiFID II should be recognised to such effects.</w:t>
      </w:r>
    </w:p>
    <w:p w14:paraId="0D0B20B0" w14:textId="4306C11D" w:rsidR="00AF7B13" w:rsidRPr="00AF7B13" w:rsidRDefault="00AF7B13" w:rsidP="00AF7B13">
      <w:r w:rsidRPr="00AF7B13">
        <w:t xml:space="preserve">The comments made herein regarding section 21 also apply here. The establishment of an ongoing training plan by entities, </w:t>
      </w:r>
      <w:proofErr w:type="gramStart"/>
      <w:r w:rsidRPr="00AF7B13">
        <w:t>taking into account</w:t>
      </w:r>
      <w:proofErr w:type="gramEnd"/>
      <w:r w:rsidRPr="00AF7B13">
        <w:t xml:space="preserve"> each employee and the circumstances, is proposed.</w:t>
      </w:r>
    </w:p>
    <w:permEnd w:id="1041127921"/>
    <w:p w14:paraId="4F6815CA" w14:textId="77777777" w:rsidR="00D66F37" w:rsidRDefault="00D66F37" w:rsidP="00D66F37">
      <w:r>
        <w:t>&lt;ESMA_QUESTION_MIKC_2&gt;</w:t>
      </w:r>
    </w:p>
    <w:p w14:paraId="6718B3DB" w14:textId="77777777" w:rsidR="00D66F37" w:rsidRDefault="00D66F37" w:rsidP="00D66F37"/>
    <w:p w14:paraId="39B8D1B8" w14:textId="77777777" w:rsidR="00D66F37" w:rsidRPr="009B2F87" w:rsidRDefault="00D66F37" w:rsidP="00D66F37">
      <w:pPr>
        <w:pStyle w:val="Questionstyle"/>
        <w:numPr>
          <w:ilvl w:val="0"/>
          <w:numId w:val="16"/>
        </w:numPr>
        <w:tabs>
          <w:tab w:val="clear" w:pos="567"/>
        </w:tabs>
        <w:spacing w:after="240" w:line="259" w:lineRule="auto"/>
        <w:ind w:left="851" w:hanging="851"/>
        <w:contextualSpacing w:val="0"/>
      </w:pPr>
      <w:r w:rsidRPr="008C39A7">
        <w:rPr>
          <w:bCs/>
        </w:rPr>
        <w:t>Do you agree that with the proposed draft guidelines? Please state the reasons for your answer.</w:t>
      </w:r>
    </w:p>
    <w:p w14:paraId="02524EAC" w14:textId="77777777" w:rsidR="00D66F37" w:rsidRDefault="00D66F37" w:rsidP="00D66F37">
      <w:r>
        <w:t>&lt;ESMA_QUESTION_MIKC_3&gt;</w:t>
      </w:r>
    </w:p>
    <w:p w14:paraId="7D41B0E9" w14:textId="77777777" w:rsidR="00503B5D" w:rsidRPr="00503B5D" w:rsidRDefault="00503B5D" w:rsidP="00503B5D">
      <w:permStart w:id="232349005" w:edGrp="everyone"/>
      <w:r w:rsidRPr="00503B5D">
        <w:t>- The provision of services involving crypto-assets by entities regulated under MiFID II will mean that there are clients who are protected by the investment guarantee funds with respect to certain assets (financial instruments) and not others (crypto-assets).</w:t>
      </w:r>
    </w:p>
    <w:p w14:paraId="5C2CC976" w14:textId="77777777" w:rsidR="00503B5D" w:rsidRPr="00503B5D" w:rsidRDefault="00503B5D" w:rsidP="00503B5D">
      <w:r w:rsidRPr="00503B5D">
        <w:t>This has led to a situation where, for similar services, some assets are protected, and others are not.</w:t>
      </w:r>
    </w:p>
    <w:p w14:paraId="3D39A695" w14:textId="77777777" w:rsidR="00503B5D" w:rsidRPr="00503B5D" w:rsidRDefault="00503B5D" w:rsidP="00503B5D">
      <w:r w:rsidRPr="00503B5D">
        <w:t xml:space="preserve">This issue is relevant in terms of the information that employees should be </w:t>
      </w:r>
      <w:proofErr w:type="gramStart"/>
      <w:r w:rsidRPr="00503B5D">
        <w:t>in a position</w:t>
      </w:r>
      <w:proofErr w:type="gramEnd"/>
      <w:r w:rsidRPr="00503B5D">
        <w:t xml:space="preserve"> to provide adequately to investors. Therefore, it is proposed that this be a subject on which </w:t>
      </w:r>
      <w:r w:rsidRPr="00503B5D">
        <w:lastRenderedPageBreak/>
        <w:t>employees’ knowledge is certified, by those who give information and those who provide advice.</w:t>
      </w:r>
    </w:p>
    <w:p w14:paraId="67B87F7D" w14:textId="77777777" w:rsidR="00503B5D" w:rsidRPr="00503B5D" w:rsidRDefault="00503B5D" w:rsidP="00503B5D">
      <w:r w:rsidRPr="00503B5D">
        <w:t>- As noted in previous answers, unnecessary duplication of training requirements for employees of investment services companies and credit institutions should be avoided.</w:t>
      </w:r>
    </w:p>
    <w:p w14:paraId="2BFFC4B0" w14:textId="77777777" w:rsidR="00503B5D" w:rsidRPr="00503B5D" w:rsidRDefault="00503B5D" w:rsidP="00503B5D">
      <w:r w:rsidRPr="00503B5D">
        <w:t xml:space="preserve">Detailed training and certification regimes for knowledge and skills already exist, as is the case of MIFID II, which (notwithstanding the level of knowledge and skill required under </w:t>
      </w:r>
      <w:proofErr w:type="spellStart"/>
      <w:r w:rsidRPr="00503B5D">
        <w:t>MiCA</w:t>
      </w:r>
      <w:proofErr w:type="spellEnd"/>
      <w:r w:rsidRPr="00503B5D">
        <w:t xml:space="preserve">) should be </w:t>
      </w:r>
      <w:proofErr w:type="gramStart"/>
      <w:r w:rsidRPr="00503B5D">
        <w:t>taken into account</w:t>
      </w:r>
      <w:proofErr w:type="gramEnd"/>
      <w:r w:rsidRPr="00503B5D">
        <w:t xml:space="preserve"> to avoid duplication, which involves unnecessary effort and costs.</w:t>
      </w:r>
    </w:p>
    <w:p w14:paraId="0E296B75" w14:textId="77777777" w:rsidR="00503B5D" w:rsidRPr="00503B5D" w:rsidRDefault="00503B5D" w:rsidP="00503B5D">
      <w:r w:rsidRPr="00503B5D">
        <w:t>Thus, being able to certify training on basic subjects, that is subsequently complemented by training on more specific crypto-asset subjects, should be possible.</w:t>
      </w:r>
    </w:p>
    <w:p w14:paraId="660C20F9" w14:textId="77777777" w:rsidR="00503B5D" w:rsidRPr="00503B5D" w:rsidRDefault="00503B5D" w:rsidP="00503B5D">
      <w:r w:rsidRPr="00503B5D">
        <w:t xml:space="preserve">- The establishment of requirements for staff knowledge and skills highly relevant in terms of costs for entities and, therefore, the Committee believes that an assessment of the impact and costs should be </w:t>
      </w:r>
      <w:proofErr w:type="gramStart"/>
      <w:r w:rsidRPr="00503B5D">
        <w:t>taken into account</w:t>
      </w:r>
      <w:proofErr w:type="gramEnd"/>
      <w:r w:rsidRPr="00503B5D">
        <w:t xml:space="preserve"> when setting both the knowledge and the hours of initial and continuous training of staff.  </w:t>
      </w:r>
    </w:p>
    <w:p w14:paraId="63872233" w14:textId="77777777" w:rsidR="00503B5D" w:rsidRPr="00503B5D" w:rsidRDefault="00503B5D" w:rsidP="00503B5D">
      <w:r w:rsidRPr="00503B5D">
        <w:t>- The regulatory reference applied to the Draft Guidelines as a source of requirements for their drafting is as follows:</w:t>
      </w:r>
    </w:p>
    <w:p w14:paraId="46378002" w14:textId="77777777" w:rsidR="00503B5D" w:rsidRPr="00503B5D" w:rsidRDefault="00503B5D" w:rsidP="00503B5D">
      <w:r w:rsidRPr="00503B5D">
        <w:t>“</w:t>
      </w:r>
      <w:r w:rsidRPr="00503B5D">
        <w:rPr>
          <w:i/>
        </w:rPr>
        <w:t xml:space="preserve">1. Article 81(15) of </w:t>
      </w:r>
      <w:proofErr w:type="spellStart"/>
      <w:r w:rsidRPr="00503B5D">
        <w:rPr>
          <w:i/>
        </w:rPr>
        <w:t>MiCA</w:t>
      </w:r>
      <w:proofErr w:type="spellEnd"/>
      <w:r w:rsidRPr="00503B5D">
        <w:rPr>
          <w:i/>
        </w:rPr>
        <w:t xml:space="preserve"> provides for ESMA to issue guidelines specifying the criteria for the assessment of knowledge and competence in accordance with paragraph 7 of this Article.</w:t>
      </w:r>
      <w:r w:rsidRPr="00503B5D">
        <w:t>”</w:t>
      </w:r>
    </w:p>
    <w:p w14:paraId="7B1CF750" w14:textId="77777777" w:rsidR="00503B5D" w:rsidRPr="00503B5D" w:rsidRDefault="00503B5D" w:rsidP="00503B5D">
      <w:r w:rsidRPr="00503B5D">
        <w:t xml:space="preserve">However, the reference is incorrect, as No. 15 of Article 81 of </w:t>
      </w:r>
      <w:proofErr w:type="spellStart"/>
      <w:r w:rsidRPr="00503B5D">
        <w:t>MiCA</w:t>
      </w:r>
      <w:proofErr w:type="spellEnd"/>
      <w:r w:rsidRPr="00503B5D">
        <w:t xml:space="preserve"> refers to section 2 and not to section 7 of that Article. </w:t>
      </w:r>
    </w:p>
    <w:permEnd w:id="232349005"/>
    <w:p w14:paraId="76D55C59" w14:textId="77777777" w:rsidR="00D66F37" w:rsidRDefault="00D66F37" w:rsidP="00D66F37">
      <w:r>
        <w:t>&lt;ESMA_QUESTION_MIKC_3&gt;</w:t>
      </w:r>
    </w:p>
    <w:p w14:paraId="7244BD36" w14:textId="77777777" w:rsidR="00D66F37" w:rsidRDefault="00D66F37" w:rsidP="00D66F37"/>
    <w:p w14:paraId="521BBC9F" w14:textId="77777777" w:rsidR="00D66F37" w:rsidRPr="00243C8C" w:rsidRDefault="00D66F37" w:rsidP="00D66F37">
      <w:pPr>
        <w:pStyle w:val="Questionstyle"/>
        <w:numPr>
          <w:ilvl w:val="0"/>
          <w:numId w:val="16"/>
        </w:numPr>
        <w:tabs>
          <w:tab w:val="clear" w:pos="567"/>
        </w:tabs>
        <w:spacing w:after="240" w:line="259" w:lineRule="auto"/>
        <w:ind w:left="851" w:hanging="851"/>
        <w:contextualSpacing w:val="0"/>
      </w:pPr>
      <w:r w:rsidRPr="008C39A7">
        <w:rPr>
          <w:bCs/>
        </w:rPr>
        <w:t>Are there any additional comments that you would like to raise and/or information that you would like to provide?</w:t>
      </w:r>
    </w:p>
    <w:p w14:paraId="0D201148" w14:textId="77777777" w:rsidR="00D66F37" w:rsidRDefault="00D66F37" w:rsidP="00D66F37">
      <w:r>
        <w:t>&lt;ESMA_QUESTION_MIKC_4&gt;</w:t>
      </w:r>
    </w:p>
    <w:p w14:paraId="45565FE3" w14:textId="77777777" w:rsidR="00503B5D" w:rsidRPr="00503B5D" w:rsidRDefault="00503B5D" w:rsidP="00503B5D">
      <w:pPr>
        <w:rPr>
          <w:u w:val="single"/>
        </w:rPr>
      </w:pPr>
      <w:permStart w:id="420242248" w:edGrp="everyone"/>
      <w:r w:rsidRPr="00503B5D">
        <w:rPr>
          <w:u w:val="single"/>
        </w:rPr>
        <w:t>1. General considerations</w:t>
      </w:r>
    </w:p>
    <w:p w14:paraId="1DA95F82" w14:textId="77777777" w:rsidR="00503B5D" w:rsidRPr="00503B5D" w:rsidRDefault="00503B5D" w:rsidP="00503B5D">
      <w:r w:rsidRPr="00503B5D">
        <w:lastRenderedPageBreak/>
        <w:t xml:space="preserve">Said Guidelines should be deemed to refer to </w:t>
      </w:r>
      <w:proofErr w:type="gramStart"/>
      <w:r w:rsidRPr="00503B5D">
        <w:t>crypto-assets</w:t>
      </w:r>
      <w:proofErr w:type="gramEnd"/>
      <w:r w:rsidRPr="00503B5D">
        <w:t xml:space="preserve"> that fall within the scope of the </w:t>
      </w:r>
      <w:proofErr w:type="spellStart"/>
      <w:r w:rsidRPr="00503B5D">
        <w:t>MiCA</w:t>
      </w:r>
      <w:proofErr w:type="spellEnd"/>
      <w:r w:rsidRPr="00503B5D">
        <w:t xml:space="preserve"> Regulation</w:t>
      </w:r>
      <w:r w:rsidRPr="00503B5D">
        <w:rPr>
          <w:vertAlign w:val="superscript"/>
        </w:rPr>
        <w:footnoteReference w:id="2"/>
      </w:r>
      <w:r w:rsidRPr="00503B5D">
        <w:t>, which excludes services offered on financial instruments that, in the given moment, are represented with DLT technology, which will be subject to the Guidelines that ESMA has already issued in this regard.</w:t>
      </w:r>
      <w:r w:rsidRPr="00503B5D">
        <w:rPr>
          <w:vertAlign w:val="superscript"/>
        </w:rPr>
        <w:footnoteReference w:id="3"/>
      </w:r>
    </w:p>
    <w:p w14:paraId="05C1C21E" w14:textId="77777777" w:rsidR="00503B5D" w:rsidRPr="00503B5D" w:rsidRDefault="00503B5D" w:rsidP="00503B5D">
      <w:r w:rsidRPr="00503B5D">
        <w:t>On the other hand, the Guidelines should also be deemed, upon its issue, to be applicable to the new figure of Crypto-Asset Service Providers (CASPs) and to regulated entities (IFs and credit institutions) that provide services relative to such products.</w:t>
      </w:r>
    </w:p>
    <w:p w14:paraId="75409BBD" w14:textId="77777777" w:rsidR="00503B5D" w:rsidRPr="00503B5D" w:rsidRDefault="00503B5D" w:rsidP="00503B5D">
      <w:r w:rsidRPr="00503B5D">
        <w:t>To start, this implies that the Guidelines should equally apply to entities with extensive experience in regulation, its application and internal control (IFs and credit institutions) and to others for whom the regulatory framework, even being subject to regulation, is something completely new and, therefore, implemented at a lower degree internally (CASPs). This is an element that the Guidelines should be aware of and address in their wording, as discussed below.</w:t>
      </w:r>
    </w:p>
    <w:p w14:paraId="4AA38D42" w14:textId="77777777" w:rsidR="00503B5D" w:rsidRPr="00503B5D" w:rsidRDefault="00503B5D" w:rsidP="00503B5D">
      <w:r w:rsidRPr="00503B5D">
        <w:t xml:space="preserve">The structure and content of the Draft Guidelines have been inspired by and are very similar in many ways to the existing Guidelines under MiFID II. This is deemed appropriate as both have similar objectives and, therefore, their approach should be too, albeit with specificities that affect the characteristics of the product, the </w:t>
      </w:r>
      <w:proofErr w:type="gramStart"/>
      <w:r w:rsidRPr="00503B5D">
        <w:t>crypto-asset</w:t>
      </w:r>
      <w:proofErr w:type="gramEnd"/>
      <w:r w:rsidRPr="00503B5D">
        <w:t>.</w:t>
      </w:r>
    </w:p>
    <w:p w14:paraId="7F6EF085" w14:textId="77777777" w:rsidR="00503B5D" w:rsidRPr="00503B5D" w:rsidRDefault="00503B5D" w:rsidP="00503B5D">
      <w:r w:rsidRPr="00503B5D">
        <w:t xml:space="preserve">The new features incorporated are generally related to the knowledge and skills required from employees who provide information or advice on </w:t>
      </w:r>
      <w:proofErr w:type="gramStart"/>
      <w:r w:rsidRPr="00503B5D">
        <w:t>crypto-assets</w:t>
      </w:r>
      <w:proofErr w:type="gramEnd"/>
      <w:r w:rsidRPr="00503B5D">
        <w:t>, with their corresponding differential elements, specifically the technological systems that provide support and their corresponding risks.</w:t>
      </w:r>
    </w:p>
    <w:p w14:paraId="5E0E0C76" w14:textId="77777777" w:rsidR="00503B5D" w:rsidRPr="00503B5D" w:rsidRDefault="00503B5D" w:rsidP="00503B5D">
      <w:r w:rsidRPr="00503B5D">
        <w:t xml:space="preserve">On the other hand, financial entities (IFs and credit institutions) there will be a coexistence of services and client positions in financial instruments, subject to the MiFID II and with protection from the investment and services guarantee funds, and positions in </w:t>
      </w:r>
      <w:proofErr w:type="gramStart"/>
      <w:r w:rsidRPr="00503B5D">
        <w:t>crypto-assets</w:t>
      </w:r>
      <w:proofErr w:type="gramEnd"/>
      <w:r w:rsidRPr="00503B5D">
        <w:t xml:space="preserve"> that are subject to </w:t>
      </w:r>
      <w:proofErr w:type="spellStart"/>
      <w:r w:rsidRPr="00503B5D">
        <w:t>MiCA</w:t>
      </w:r>
      <w:proofErr w:type="spellEnd"/>
      <w:r w:rsidRPr="00503B5D">
        <w:t xml:space="preserve"> and do not have protection from the investment guarantee funds. </w:t>
      </w:r>
    </w:p>
    <w:p w14:paraId="5C00E54E" w14:textId="77777777" w:rsidR="00503B5D" w:rsidRPr="00503B5D" w:rsidRDefault="00503B5D" w:rsidP="00503B5D">
      <w:r w:rsidRPr="00503B5D">
        <w:t xml:space="preserve">The way in which this situation is processed </w:t>
      </w:r>
      <w:proofErr w:type="gramStart"/>
      <w:r w:rsidRPr="00503B5D">
        <w:t>with regard to</w:t>
      </w:r>
      <w:proofErr w:type="gramEnd"/>
      <w:r w:rsidRPr="00503B5D">
        <w:t xml:space="preserve"> investors is relevant and something new and, consequently, so is the training and understanding of those who have a relationship with clients, as stated below.</w:t>
      </w:r>
    </w:p>
    <w:p w14:paraId="4E9E0682" w14:textId="77777777" w:rsidR="00503B5D" w:rsidRDefault="00503B5D" w:rsidP="00503B5D">
      <w:r w:rsidRPr="00503B5D">
        <w:lastRenderedPageBreak/>
        <w:t xml:space="preserve">Bearing all this in mind, the Advisory Committee addresses the different questions in the ESMA consultation. </w:t>
      </w:r>
    </w:p>
    <w:p w14:paraId="1F6C9128" w14:textId="31AD1881" w:rsidR="00503B5D" w:rsidRPr="00503B5D" w:rsidRDefault="0007029B" w:rsidP="00503B5D">
      <w:r>
        <w:t xml:space="preserve">2. </w:t>
      </w:r>
      <w:r w:rsidR="00503B5D" w:rsidRPr="00503B5D">
        <w:t>There are doubts concerning the Draft Guidelines about how the requirement of staff experience should be calculated in the following cases not addressed in ESMA’s Draft Guidelines:</w:t>
      </w:r>
    </w:p>
    <w:p w14:paraId="23095C89" w14:textId="77777777" w:rsidR="00503B5D" w:rsidRPr="00503B5D" w:rsidRDefault="00503B5D" w:rsidP="00503B5D">
      <w:pPr>
        <w:numPr>
          <w:ilvl w:val="0"/>
          <w:numId w:val="18"/>
        </w:numPr>
      </w:pPr>
      <w:r w:rsidRPr="00503B5D">
        <w:t>In the case that entities foresee the adoption of an automated or semi-automated model</w:t>
      </w:r>
      <w:proofErr w:type="gramStart"/>
      <w:r w:rsidRPr="00503B5D">
        <w:t>, that is to say, decentralised</w:t>
      </w:r>
      <w:proofErr w:type="gramEnd"/>
      <w:r w:rsidRPr="00503B5D">
        <w:t xml:space="preserve"> through remote channels.</w:t>
      </w:r>
    </w:p>
    <w:p w14:paraId="392FC5AB" w14:textId="77777777" w:rsidR="00503B5D" w:rsidRPr="00503B5D" w:rsidRDefault="00503B5D" w:rsidP="00503B5D">
      <w:pPr>
        <w:numPr>
          <w:ilvl w:val="0"/>
          <w:numId w:val="18"/>
        </w:numPr>
      </w:pPr>
      <w:r w:rsidRPr="00503B5D">
        <w:t>If in the future, with the guidelines in force, an entity was to consider moving from a decentralised model to a model in which the service was provided in offices.</w:t>
      </w:r>
    </w:p>
    <w:p w14:paraId="6EFEA1D0" w14:textId="1E0F650E" w:rsidR="00503B5D" w:rsidRPr="00503B5D" w:rsidRDefault="00503B5D" w:rsidP="00503B5D">
      <w:r w:rsidRPr="00503B5D">
        <w:t xml:space="preserve">- Section 4.1 of the Draft Guidelines states that national authorities should incorporate the latter into their national regimes. To such effects, it might be appropriate for this to be done in the same way as the requirements on knowledge and skills of the MiFID II, that is, by means of a Technical Guide approved by the CNMV, subsequently clarifying some issues through questions and answers. Specifically, the three channels established by the MiFID Technical Guide could also be acknowledged:   </w:t>
      </w:r>
    </w:p>
    <w:p w14:paraId="474D9C63" w14:textId="0D11083F" w:rsidR="00503B5D" w:rsidRPr="00503B5D" w:rsidRDefault="00503B5D" w:rsidP="00142D96">
      <w:pPr>
        <w:numPr>
          <w:ilvl w:val="0"/>
          <w:numId w:val="17"/>
        </w:numPr>
      </w:pPr>
      <w:r w:rsidRPr="00503B5D">
        <w:t>That the relevant staff have any of the qualifications or certificates included in CNMV’s published list of qualifications and certificates of specialised entities in relation to advisory and information services.</w:t>
      </w:r>
    </w:p>
    <w:p w14:paraId="3A0839C3" w14:textId="528AED51" w:rsidR="00503B5D" w:rsidRPr="00503B5D" w:rsidRDefault="00503B5D" w:rsidP="00B4430F">
      <w:pPr>
        <w:numPr>
          <w:ilvl w:val="0"/>
          <w:numId w:val="17"/>
        </w:numPr>
      </w:pPr>
      <w:r w:rsidRPr="00503B5D">
        <w:t>That the training certification of relevant staff rests with the entity itself, fulfilling the requirements established for such purpose.</w:t>
      </w:r>
    </w:p>
    <w:p w14:paraId="2969C465" w14:textId="095F58A7" w:rsidR="00503B5D" w:rsidRPr="00503B5D" w:rsidRDefault="00503B5D" w:rsidP="00B40D3A">
      <w:pPr>
        <w:numPr>
          <w:ilvl w:val="0"/>
          <w:numId w:val="17"/>
        </w:numPr>
      </w:pPr>
      <w:r w:rsidRPr="00503B5D">
        <w:t>That the financial institution, under its own responsibility, considers the qualifications or certificates other than those included in the list of qualifications published by CNMV to be appropriate, for which purpose the entity's Regulatory Compliance Unit, taking into account the procedures and criteria established by the board of directors, must verify the equivalence between the training and evaluation activities corresponding to such qualifications or certificates and the criteria and characteristics developed in the Guide.</w:t>
      </w:r>
    </w:p>
    <w:permEnd w:id="420242248"/>
    <w:p w14:paraId="1A06EE3D" w14:textId="77777777" w:rsidR="00D66F37" w:rsidRDefault="00D66F37" w:rsidP="00D66F37">
      <w:r>
        <w:t>&lt;ESMA_QUESTION_MIKC_4&gt;</w:t>
      </w:r>
    </w:p>
    <w:p w14:paraId="44E2BBFE" w14:textId="77777777" w:rsidR="00D66F37" w:rsidRDefault="00D66F37" w:rsidP="00113E80"/>
    <w:p w14:paraId="099C8801" w14:textId="77777777" w:rsidR="00D66F37" w:rsidRDefault="00D66F37" w:rsidP="00113E80"/>
    <w:p w14:paraId="6D0BD360" w14:textId="77777777" w:rsidR="00D66F37" w:rsidRDefault="00D66F37" w:rsidP="00113E80"/>
    <w:p w14:paraId="4A0C7B4A" w14:textId="77777777" w:rsidR="00D66F37" w:rsidRDefault="00D66F37" w:rsidP="00113E80"/>
    <w:p w14:paraId="205B4AC7" w14:textId="77777777" w:rsidR="00D66F37" w:rsidRDefault="00D66F37" w:rsidP="00113E80"/>
    <w:p w14:paraId="4F056714" w14:textId="77777777" w:rsidR="00D66F37" w:rsidRDefault="00D66F37" w:rsidP="00113E80"/>
    <w:sectPr w:rsidR="00D66F37" w:rsidSect="00AD0B10">
      <w:headerReference w:type="default" r:id="rId23"/>
      <w:footerReference w:type="default" r:id="rId24"/>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B763" w14:textId="77777777" w:rsidR="005715C7" w:rsidRDefault="005715C7" w:rsidP="007E7997">
      <w:pPr>
        <w:spacing w:line="240" w:lineRule="auto"/>
      </w:pPr>
      <w:r>
        <w:separator/>
      </w:r>
    </w:p>
  </w:endnote>
  <w:endnote w:type="continuationSeparator" w:id="0">
    <w:p w14:paraId="19DFEA4A" w14:textId="77777777" w:rsidR="005715C7" w:rsidRDefault="005715C7" w:rsidP="007E7997">
      <w:pPr>
        <w:spacing w:line="240" w:lineRule="auto"/>
      </w:pPr>
      <w:r>
        <w:continuationSeparator/>
      </w:r>
    </w:p>
  </w:endnote>
  <w:endnote w:type="continuationNotice" w:id="1">
    <w:p w14:paraId="34A170AF" w14:textId="77777777" w:rsidR="005715C7" w:rsidRDefault="005715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26DB" w14:textId="77777777" w:rsidR="00B00CD6" w:rsidRDefault="00B00C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46AE" w14:textId="77777777" w:rsidR="00B00CD6" w:rsidRDefault="00B00CD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38CA" w14:textId="77777777" w:rsidR="00B00CD6" w:rsidRDefault="00B00CD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ep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D152E" w14:textId="77777777" w:rsidR="005715C7" w:rsidRDefault="005715C7" w:rsidP="007E7997">
      <w:pPr>
        <w:spacing w:line="240" w:lineRule="auto"/>
      </w:pPr>
      <w:r>
        <w:separator/>
      </w:r>
    </w:p>
  </w:footnote>
  <w:footnote w:type="continuationSeparator" w:id="0">
    <w:p w14:paraId="5FD441FE" w14:textId="77777777" w:rsidR="005715C7" w:rsidRDefault="005715C7" w:rsidP="007E7997">
      <w:pPr>
        <w:spacing w:line="240" w:lineRule="auto"/>
      </w:pPr>
      <w:r>
        <w:continuationSeparator/>
      </w:r>
    </w:p>
  </w:footnote>
  <w:footnote w:type="continuationNotice" w:id="1">
    <w:p w14:paraId="7F7F6C35" w14:textId="77777777" w:rsidR="005715C7" w:rsidRDefault="005715C7">
      <w:pPr>
        <w:spacing w:after="0" w:line="240" w:lineRule="auto"/>
      </w:pPr>
    </w:p>
  </w:footnote>
  <w:footnote w:id="2">
    <w:p w14:paraId="59A00F1C" w14:textId="77777777" w:rsidR="00503B5D" w:rsidRPr="001949B5" w:rsidRDefault="00503B5D" w:rsidP="00503B5D">
      <w:pPr>
        <w:pStyle w:val="Textonotapie"/>
        <w:rPr>
          <w:sz w:val="18"/>
          <w:szCs w:val="18"/>
        </w:rPr>
      </w:pPr>
      <w:r>
        <w:rPr>
          <w:rStyle w:val="Refdenotaalpie"/>
          <w:sz w:val="18"/>
          <w:szCs w:val="18"/>
        </w:rPr>
        <w:footnoteRef/>
      </w:r>
      <w:r>
        <w:rPr>
          <w:sz w:val="18"/>
        </w:rPr>
        <w:t xml:space="preserve"> Regulation (EU) 2023/1114 of the European Parliament and of the Council of 31 May 2023 on markets in </w:t>
      </w:r>
      <w:proofErr w:type="gramStart"/>
      <w:r>
        <w:rPr>
          <w:sz w:val="18"/>
        </w:rPr>
        <w:t>crypto-assets</w:t>
      </w:r>
      <w:proofErr w:type="gramEnd"/>
      <w:r>
        <w:rPr>
          <w:sz w:val="18"/>
        </w:rPr>
        <w:t>, amending Regulations (EU) No. 1093/2010 and (EU) No. 1095/2010 and Directives 2013/36/EU and (EU) 2019/1937 (relevant text to the effects of EEA).</w:t>
      </w:r>
    </w:p>
  </w:footnote>
  <w:footnote w:id="3">
    <w:p w14:paraId="6C709CC1" w14:textId="77777777" w:rsidR="00503B5D" w:rsidRPr="001B4486" w:rsidRDefault="00503B5D" w:rsidP="00503B5D">
      <w:pPr>
        <w:pStyle w:val="Textonotapie"/>
      </w:pPr>
      <w:r>
        <w:rPr>
          <w:rStyle w:val="Refdenotaalpie"/>
          <w:sz w:val="18"/>
          <w:szCs w:val="18"/>
        </w:rPr>
        <w:footnoteRef/>
      </w:r>
      <w:r>
        <w:rPr>
          <w:sz w:val="18"/>
        </w:rPr>
        <w:t xml:space="preserve"> Guidelines for the assessment of knowledge and competence of 3 January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2E98" w14:textId="77777777" w:rsidR="00B00CD6" w:rsidRDefault="00B00C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808F" w14:textId="77777777" w:rsidR="00B00CD6" w:rsidRDefault="00B00C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328D30" w:rsidR="00D77369" w:rsidRPr="00DB2FD6" w:rsidRDefault="00D77369" w:rsidP="008858FE">
    <w:pPr>
      <w:pStyle w:val="Encabezado"/>
      <w:rPr>
        <w:bCs/>
        <w:caps/>
        <w:color w:val="FF0000" w:themeColor="accent6"/>
        <w:sz w:val="22"/>
        <w:highlight w:val="yellow"/>
      </w:rPr>
    </w:pPr>
    <w:r w:rsidRPr="00C008C4">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93D74">
      <w:t>1</w:t>
    </w:r>
    <w:r w:rsidR="007216D3">
      <w:t>9</w:t>
    </w:r>
    <w:r w:rsidR="00D93D74">
      <w:t xml:space="preserve"> February 2025</w:t>
    </w:r>
  </w:p>
  <w:p w14:paraId="10BD5565" w14:textId="52ABB9DB" w:rsidR="008858FE" w:rsidRPr="000C70F0" w:rsidRDefault="00B00CD6" w:rsidP="009C6AE0">
    <w:pPr>
      <w:jc w:val="right"/>
      <w:rPr>
        <w:sz w:val="16"/>
        <w:szCs w:val="16"/>
      </w:rPr>
    </w:pPr>
    <w:r w:rsidRPr="00B00CD6">
      <w:rPr>
        <w:sz w:val="16"/>
        <w:szCs w:val="16"/>
      </w:rPr>
      <w:t>ESMA35-1872330276-2281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Encabezado"/>
    </w:pPr>
  </w:p>
  <w:p w14:paraId="76D78551" w14:textId="45227A06" w:rsidR="00AD0B10" w:rsidRDefault="00AD0B10" w:rsidP="00AD0B10">
    <w:pPr>
      <w:pStyle w:val="Encabezado"/>
    </w:pPr>
  </w:p>
  <w:p w14:paraId="56B00CEC" w14:textId="77777777" w:rsidR="00AD0B10" w:rsidRPr="0043139E" w:rsidRDefault="00AD0B10" w:rsidP="00AD0B10">
    <w:pPr>
      <w:pStyle w:val="Encabezado"/>
    </w:pPr>
  </w:p>
  <w:p w14:paraId="68227DE6" w14:textId="77777777" w:rsidR="00AD0B10" w:rsidRPr="0043139E" w:rsidRDefault="00AD0B10" w:rsidP="00AD0B10">
    <w:pPr>
      <w:pStyle w:val="Encabezado"/>
    </w:pPr>
  </w:p>
  <w:p w14:paraId="0E44DBD1" w14:textId="77777777" w:rsidR="00AD0B10" w:rsidRPr="0043139E" w:rsidRDefault="00AD0B10" w:rsidP="00AD0B10">
    <w:pPr>
      <w:pStyle w:val="Encabezado"/>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cabezado"/>
    </w:pPr>
  </w:p>
  <w:p w14:paraId="706EF268" w14:textId="77777777" w:rsidR="00AD0B10" w:rsidRPr="0043139E" w:rsidRDefault="00AD0B10" w:rsidP="00AD0B10">
    <w:pPr>
      <w:pStyle w:val="Encabezado"/>
    </w:pPr>
  </w:p>
  <w:p w14:paraId="6B568202" w14:textId="77777777" w:rsidR="00AD0B10" w:rsidRPr="0043139E" w:rsidRDefault="00AD0B10" w:rsidP="00AD0B10">
    <w:pPr>
      <w:pStyle w:val="Encabezado"/>
    </w:pPr>
  </w:p>
  <w:p w14:paraId="70C66BCD" w14:textId="77777777" w:rsidR="00AD0B10" w:rsidRPr="0043139E" w:rsidRDefault="00AD0B10" w:rsidP="00AD0B10">
    <w:pPr>
      <w:pStyle w:val="Encabezado"/>
    </w:pPr>
  </w:p>
  <w:p w14:paraId="07229907" w14:textId="77777777" w:rsidR="00AD0B10" w:rsidRPr="0043139E" w:rsidRDefault="00AD0B10" w:rsidP="00AD0B10">
    <w:pPr>
      <w:pStyle w:val="Encabezado"/>
    </w:pPr>
  </w:p>
  <w:p w14:paraId="55555744" w14:textId="77777777" w:rsidR="00AD0B10" w:rsidRPr="0043139E" w:rsidRDefault="00AD0B10" w:rsidP="00AD0B10">
    <w:pPr>
      <w:pStyle w:val="Encabezado"/>
    </w:pPr>
  </w:p>
  <w:p w14:paraId="4601AE9C" w14:textId="77777777" w:rsidR="00AD0B10" w:rsidRDefault="00AD0B10" w:rsidP="00AD0B10">
    <w:pPr>
      <w:pStyle w:val="Encabezado"/>
    </w:pPr>
  </w:p>
  <w:p w14:paraId="49946785" w14:textId="77777777" w:rsidR="00AD0B10" w:rsidRPr="0043139E" w:rsidRDefault="00AD0B10" w:rsidP="00AD0B10">
    <w:pPr>
      <w:pStyle w:val="Encabezado"/>
    </w:pPr>
  </w:p>
  <w:p w14:paraId="72BAD19F" w14:textId="77777777" w:rsidR="008858FE" w:rsidRPr="00AD0B10" w:rsidRDefault="008858FE" w:rsidP="00AD0B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76B05"/>
    <w:multiLevelType w:val="hybridMultilevel"/>
    <w:tmpl w:val="C898001C"/>
    <w:lvl w:ilvl="0" w:tplc="A49A46C8">
      <w:start w:val="2"/>
      <w:numFmt w:val="bullet"/>
      <w:lvlText w:val="-"/>
      <w:lvlJc w:val="left"/>
      <w:pPr>
        <w:ind w:left="1065" w:hanging="360"/>
      </w:pPr>
      <w:rPr>
        <w:rFonts w:ascii="Aptos" w:eastAsiaTheme="minorHAnsi" w:hAnsi="Aptos"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Ttu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Prrafodelista"/>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5914B0"/>
    <w:multiLevelType w:val="hybridMultilevel"/>
    <w:tmpl w:val="CB26236A"/>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start w:val="1"/>
      <w:numFmt w:val="bullet"/>
      <w:lvlText w:val=""/>
      <w:lvlJc w:val="left"/>
      <w:pPr>
        <w:ind w:left="2205" w:hanging="360"/>
      </w:pPr>
      <w:rPr>
        <w:rFonts w:ascii="Wingdings" w:hAnsi="Wingdings" w:hint="default"/>
      </w:rPr>
    </w:lvl>
    <w:lvl w:ilvl="3" w:tplc="0C0A0001">
      <w:start w:val="1"/>
      <w:numFmt w:val="bullet"/>
      <w:lvlText w:val=""/>
      <w:lvlJc w:val="left"/>
      <w:pPr>
        <w:ind w:left="2925" w:hanging="360"/>
      </w:pPr>
      <w:rPr>
        <w:rFonts w:ascii="Symbol" w:hAnsi="Symbol" w:hint="default"/>
      </w:rPr>
    </w:lvl>
    <w:lvl w:ilvl="4" w:tplc="0C0A0003">
      <w:start w:val="1"/>
      <w:numFmt w:val="bullet"/>
      <w:lvlText w:val="o"/>
      <w:lvlJc w:val="left"/>
      <w:pPr>
        <w:ind w:left="3645" w:hanging="360"/>
      </w:pPr>
      <w:rPr>
        <w:rFonts w:ascii="Courier New" w:hAnsi="Courier New" w:cs="Courier New" w:hint="default"/>
      </w:rPr>
    </w:lvl>
    <w:lvl w:ilvl="5" w:tplc="0C0A0005">
      <w:start w:val="1"/>
      <w:numFmt w:val="bullet"/>
      <w:lvlText w:val=""/>
      <w:lvlJc w:val="left"/>
      <w:pPr>
        <w:ind w:left="4365" w:hanging="360"/>
      </w:pPr>
      <w:rPr>
        <w:rFonts w:ascii="Wingdings" w:hAnsi="Wingdings" w:hint="default"/>
      </w:rPr>
    </w:lvl>
    <w:lvl w:ilvl="6" w:tplc="0C0A0001">
      <w:start w:val="1"/>
      <w:numFmt w:val="bullet"/>
      <w:lvlText w:val=""/>
      <w:lvlJc w:val="left"/>
      <w:pPr>
        <w:ind w:left="5085" w:hanging="360"/>
      </w:pPr>
      <w:rPr>
        <w:rFonts w:ascii="Symbol" w:hAnsi="Symbol" w:hint="default"/>
      </w:rPr>
    </w:lvl>
    <w:lvl w:ilvl="7" w:tplc="0C0A0003">
      <w:start w:val="1"/>
      <w:numFmt w:val="bullet"/>
      <w:lvlText w:val="o"/>
      <w:lvlJc w:val="left"/>
      <w:pPr>
        <w:ind w:left="5805" w:hanging="360"/>
      </w:pPr>
      <w:rPr>
        <w:rFonts w:ascii="Courier New" w:hAnsi="Courier New" w:cs="Courier New" w:hint="default"/>
      </w:rPr>
    </w:lvl>
    <w:lvl w:ilvl="8" w:tplc="0C0A0005">
      <w:start w:val="1"/>
      <w:numFmt w:val="bullet"/>
      <w:lvlText w:val=""/>
      <w:lvlJc w:val="left"/>
      <w:pPr>
        <w:ind w:left="6525" w:hanging="360"/>
      </w:pPr>
      <w:rPr>
        <w:rFonts w:ascii="Wingdings" w:hAnsi="Wingdings" w:hint="default"/>
      </w:rPr>
    </w:lvl>
  </w:abstractNum>
  <w:abstractNum w:abstractNumId="13" w15:restartNumberingAfterBreak="0">
    <w:nsid w:val="6BAD1101"/>
    <w:multiLevelType w:val="multilevel"/>
    <w:tmpl w:val="647663A2"/>
    <w:lvl w:ilvl="0">
      <w:start w:val="1"/>
      <w:numFmt w:val="decimal"/>
      <w:pStyle w:val="Ttulo1"/>
      <w:lvlText w:val="%1"/>
      <w:lvlJc w:val="left"/>
      <w:pPr>
        <w:ind w:left="4686" w:hanging="432"/>
      </w:pPr>
    </w:lvl>
    <w:lvl w:ilvl="1">
      <w:start w:val="1"/>
      <w:numFmt w:val="decimal"/>
      <w:pStyle w:val="Ttulo2"/>
      <w:lvlText w:val="%1.%2"/>
      <w:lvlJc w:val="left"/>
      <w:pPr>
        <w:ind w:left="8230"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3"/>
  </w:num>
  <w:num w:numId="2" w16cid:durableId="270287514">
    <w:abstractNumId w:val="5"/>
  </w:num>
  <w:num w:numId="3" w16cid:durableId="1675497260">
    <w:abstractNumId w:val="10"/>
  </w:num>
  <w:num w:numId="4" w16cid:durableId="1146706333">
    <w:abstractNumId w:val="4"/>
  </w:num>
  <w:num w:numId="5" w16cid:durableId="1502348752">
    <w:abstractNumId w:val="0"/>
  </w:num>
  <w:num w:numId="6" w16cid:durableId="1544101585">
    <w:abstractNumId w:val="6"/>
  </w:num>
  <w:num w:numId="7" w16cid:durableId="896626050">
    <w:abstractNumId w:val="14"/>
  </w:num>
  <w:num w:numId="8" w16cid:durableId="806780153">
    <w:abstractNumId w:val="2"/>
  </w:num>
  <w:num w:numId="9" w16cid:durableId="1677002603">
    <w:abstractNumId w:val="11"/>
  </w:num>
  <w:num w:numId="10" w16cid:durableId="22487393">
    <w:abstractNumId w:val="9"/>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1318456358">
    <w:abstractNumId w:val="3"/>
  </w:num>
  <w:num w:numId="18" w16cid:durableId="31969569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j+Ps5Rsbvpvmf/oKKFW/du4/I/lAA5f+NnU1GhGAg0d5Pu8jew5gMCW3cDmNqNG3+PvdXZ+Ij0IC8ftxcEPqQ==" w:salt="OWt9Q3qRPVfyZlIpMNjDj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29B"/>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48E8"/>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010"/>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89B"/>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4AAC"/>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B5D"/>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1F08"/>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55C"/>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6D3"/>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373F"/>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560"/>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90"/>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4D2"/>
    <w:rsid w:val="00AA3F8F"/>
    <w:rsid w:val="00AA410B"/>
    <w:rsid w:val="00AA489F"/>
    <w:rsid w:val="00AA57EE"/>
    <w:rsid w:val="00AA5D9A"/>
    <w:rsid w:val="00AA5EBC"/>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B13"/>
    <w:rsid w:val="00AF7C11"/>
    <w:rsid w:val="00AF7E24"/>
    <w:rsid w:val="00AF7E46"/>
    <w:rsid w:val="00B00BEC"/>
    <w:rsid w:val="00B00CD6"/>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8A"/>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244"/>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93D"/>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6F37"/>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74"/>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654"/>
    <w:rsid w:val="00DE7A0D"/>
    <w:rsid w:val="00DF0197"/>
    <w:rsid w:val="00DF0667"/>
    <w:rsid w:val="00DF0A66"/>
    <w:rsid w:val="00DF0B9A"/>
    <w:rsid w:val="00DF0DF7"/>
    <w:rsid w:val="00DF1706"/>
    <w:rsid w:val="00DF1838"/>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25DC"/>
    <w:rsid w:val="00E42696"/>
    <w:rsid w:val="00E4287B"/>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03F"/>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5DD9"/>
    <w:rsid w:val="00EE5ED8"/>
    <w:rsid w:val="00EE5F75"/>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F03B3FEF-66D7-422F-8EB5-87E962B0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Ttulo1">
    <w:name w:val="heading 1"/>
    <w:basedOn w:val="Normal"/>
    <w:next w:val="Normal"/>
    <w:link w:val="Ttulo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tulo2">
    <w:name w:val="heading 2"/>
    <w:basedOn w:val="Normal"/>
    <w:next w:val="Normal"/>
    <w:link w:val="Ttulo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tulo3">
    <w:name w:val="heading 3"/>
    <w:basedOn w:val="Normal"/>
    <w:next w:val="Normal"/>
    <w:link w:val="Ttulo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tulo4">
    <w:name w:val="heading 4"/>
    <w:basedOn w:val="Normal"/>
    <w:next w:val="Normal"/>
    <w:link w:val="Ttulo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tulo5">
    <w:name w:val="heading 5"/>
    <w:basedOn w:val="Normal"/>
    <w:next w:val="Normal"/>
    <w:link w:val="Ttulo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tulo6">
    <w:name w:val="heading 6"/>
    <w:basedOn w:val="Normal"/>
    <w:next w:val="Normal"/>
    <w:link w:val="Ttulo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tulo7">
    <w:name w:val="heading 7"/>
    <w:basedOn w:val="Normal"/>
    <w:next w:val="Normal"/>
    <w:link w:val="Ttulo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tulo8">
    <w:name w:val="heading 8"/>
    <w:basedOn w:val="Normal"/>
    <w:next w:val="Normal"/>
    <w:link w:val="Ttulo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tulo9">
    <w:name w:val="heading 9"/>
    <w:basedOn w:val="Normal"/>
    <w:next w:val="Normal"/>
    <w:link w:val="Ttulo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B6B12"/>
    <w:pPr>
      <w:spacing w:after="0" w:line="240" w:lineRule="auto"/>
    </w:pPr>
    <w:rPr>
      <w:lang w:val="en-GB"/>
    </w:rPr>
  </w:style>
  <w:style w:type="character" w:customStyle="1" w:styleId="Ttulo4Car">
    <w:name w:val="Título 4 Car"/>
    <w:basedOn w:val="Fuentedeprrafopredeter"/>
    <w:link w:val="Ttu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tulo3Car">
    <w:name w:val="Título 3 Car"/>
    <w:basedOn w:val="Fuentedeprrafopredeter"/>
    <w:link w:val="Ttu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tulo1Car">
    <w:name w:val="Título 1 Car"/>
    <w:basedOn w:val="Fuentedeprrafopredeter"/>
    <w:link w:val="Ttulo1"/>
    <w:uiPriority w:val="9"/>
    <w:rsid w:val="0082744A"/>
    <w:rPr>
      <w:rFonts w:asciiTheme="majorHAnsi" w:eastAsiaTheme="majorEastAsia" w:hAnsiTheme="majorHAnsi" w:cstheme="majorBidi"/>
      <w:b/>
      <w:color w:val="00379F" w:themeColor="text1"/>
      <w:sz w:val="32"/>
      <w:szCs w:val="32"/>
      <w:lang w:val="en-GB"/>
    </w:rPr>
  </w:style>
  <w:style w:type="character" w:customStyle="1" w:styleId="Ttulo2Car">
    <w:name w:val="Título 2 Car"/>
    <w:basedOn w:val="Fuentedeprrafopredeter"/>
    <w:link w:val="Ttu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Fuentedeprrafopredeter"/>
    <w:link w:val="Subtitle1"/>
    <w:rsid w:val="003C4EB5"/>
    <w:rPr>
      <w:rFonts w:cs="Times New Roman"/>
      <w:b/>
      <w:sz w:val="20"/>
      <w:szCs w:val="24"/>
      <w:lang w:val="en-GB" w:eastAsia="de-DE"/>
    </w:rPr>
  </w:style>
  <w:style w:type="paragraph" w:customStyle="1" w:styleId="Title1">
    <w:name w:val="Title 1"/>
    <w:basedOn w:val="Prrafodelista"/>
    <w:link w:val="Title1Char"/>
    <w:qFormat/>
    <w:rsid w:val="00F205B9"/>
    <w:pPr>
      <w:numPr>
        <w:numId w:val="0"/>
      </w:numPr>
      <w:ind w:left="792" w:hanging="432"/>
    </w:pPr>
    <w:rPr>
      <w:b/>
      <w:color w:val="00379F" w:themeColor="text1"/>
      <w:sz w:val="28"/>
    </w:rPr>
  </w:style>
  <w:style w:type="character" w:customStyle="1" w:styleId="Title1Char">
    <w:name w:val="Title 1 Char"/>
    <w:basedOn w:val="Fuentedeprrafopredeter"/>
    <w:link w:val="Title1"/>
    <w:rsid w:val="00F205B9"/>
    <w:rPr>
      <w:rFonts w:asciiTheme="majorHAnsi" w:hAnsiTheme="majorHAnsi" w:cstheme="majorHAnsi"/>
      <w:b/>
      <w:color w:val="00379F" w:themeColor="text1"/>
      <w:sz w:val="28"/>
      <w:szCs w:val="22"/>
      <w:lang w:val="pt-PT"/>
    </w:rPr>
  </w:style>
  <w:style w:type="paragraph" w:styleId="Prrafodelista">
    <w:name w:val="List Paragraph"/>
    <w:aliases w:val="Paragraphe EI,Paragraphe de liste1,EC"/>
    <w:basedOn w:val="Normal"/>
    <w:link w:val="PrrafodelistaC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rrafodelista"/>
    <w:link w:val="Title3Char"/>
    <w:autoRedefine/>
    <w:rsid w:val="00F205B9"/>
    <w:pPr>
      <w:numPr>
        <w:ilvl w:val="3"/>
        <w:numId w:val="4"/>
      </w:numPr>
    </w:pPr>
  </w:style>
  <w:style w:type="character" w:customStyle="1" w:styleId="Title3Char">
    <w:name w:val="Title 3 Char"/>
    <w:basedOn w:val="Fuentedeprrafopredeter"/>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Fuentedeprrafopredeter"/>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Fuentedeprrafopredeter"/>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Fuentedeprrafopredeter"/>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Fuentedeprrafopredeter"/>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Fuentedeprrafopredeter"/>
    <w:link w:val="Introductionheading"/>
    <w:rsid w:val="00044C5A"/>
    <w:rPr>
      <w:rFonts w:ascii="Arial" w:eastAsia="Times New Roman" w:hAnsi="Arial" w:cs="Times New Roman"/>
      <w:b/>
      <w:sz w:val="28"/>
      <w:szCs w:val="24"/>
      <w:lang w:val="en-GB" w:eastAsia="de-DE"/>
    </w:rPr>
  </w:style>
  <w:style w:type="character" w:customStyle="1" w:styleId="Ttulo5Car">
    <w:name w:val="Título 5 Car"/>
    <w:basedOn w:val="Fuentedeprrafopredeter"/>
    <w:link w:val="Ttu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oindependiente">
    <w:name w:val="Body Text"/>
    <w:basedOn w:val="Normal"/>
    <w:link w:val="TextoindependienteCar"/>
    <w:uiPriority w:val="99"/>
    <w:semiHidden/>
    <w:unhideWhenUsed/>
    <w:rsid w:val="00044C5A"/>
  </w:style>
  <w:style w:type="character" w:customStyle="1" w:styleId="TextoindependienteCar">
    <w:name w:val="Texto independiente Car"/>
    <w:basedOn w:val="Fuentedeprrafopredeter"/>
    <w:link w:val="Textoindependiente"/>
    <w:uiPriority w:val="99"/>
    <w:semiHidden/>
    <w:rsid w:val="00044C5A"/>
    <w:rPr>
      <w:rFonts w:ascii="Arial" w:eastAsiaTheme="minorEastAsia" w:hAnsi="Arial"/>
    </w:rPr>
  </w:style>
  <w:style w:type="paragraph" w:styleId="Textoindependienteprimerasangra">
    <w:name w:val="Body Text First Indent"/>
    <w:basedOn w:val="Textoindependiente"/>
    <w:link w:val="TextoindependienteprimerasangraCar"/>
    <w:uiPriority w:val="99"/>
    <w:semiHidden/>
    <w:unhideWhenUsed/>
    <w:rsid w:val="00044C5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44C5A"/>
    <w:rPr>
      <w:rFonts w:ascii="Arial" w:eastAsiaTheme="minorEastAsia" w:hAnsi="Arial"/>
    </w:rPr>
  </w:style>
  <w:style w:type="character" w:customStyle="1" w:styleId="Ttulo6Car">
    <w:name w:val="Título 6 Car"/>
    <w:basedOn w:val="Fuentedeprrafopredeter"/>
    <w:link w:val="Ttu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tulo">
    <w:name w:val="Title"/>
    <w:basedOn w:val="Normal"/>
    <w:next w:val="Normal"/>
    <w:link w:val="Ttulo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tuloCar">
    <w:name w:val="Título Car"/>
    <w:basedOn w:val="Fuentedeprrafopredeter"/>
    <w:link w:val="Ttu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tulo">
    <w:name w:val="Subtitle"/>
    <w:basedOn w:val="Normal"/>
    <w:next w:val="Normal"/>
    <w:link w:val="Subttulo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tuloCar">
    <w:name w:val="Subtítulo Car"/>
    <w:basedOn w:val="Fuentedeprrafopredeter"/>
    <w:link w:val="Subttulo"/>
    <w:uiPriority w:val="11"/>
    <w:rsid w:val="0082744A"/>
    <w:rPr>
      <w:rFonts w:asciiTheme="majorHAnsi" w:eastAsiaTheme="majorEastAsia" w:hAnsiTheme="majorHAnsi" w:cstheme="majorBidi"/>
      <w:sz w:val="28"/>
      <w:szCs w:val="24"/>
      <w:lang w:val="en-GB"/>
    </w:rPr>
  </w:style>
  <w:style w:type="character" w:customStyle="1" w:styleId="Ttulo7Car">
    <w:name w:val="Título 7 Car"/>
    <w:basedOn w:val="Fuentedeprrafopredeter"/>
    <w:link w:val="Ttu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tulo8Car">
    <w:name w:val="Título 8 Car"/>
    <w:basedOn w:val="Fuentedeprrafopredeter"/>
    <w:link w:val="Ttu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tulo9Car">
    <w:name w:val="Título 9 Car"/>
    <w:basedOn w:val="Fuentedeprrafopredeter"/>
    <w:link w:val="Ttulo9"/>
    <w:uiPriority w:val="9"/>
    <w:semiHidden/>
    <w:rsid w:val="00AA054E"/>
    <w:rPr>
      <w:rFonts w:asciiTheme="majorHAnsi" w:eastAsiaTheme="majorEastAsia" w:hAnsiTheme="majorHAnsi" w:cstheme="majorBidi"/>
      <w:b/>
      <w:bCs/>
      <w:i/>
      <w:iCs/>
      <w:color w:val="007EFF" w:themeColor="text2"/>
      <w:sz w:val="22"/>
      <w:lang w:val="en-GB"/>
    </w:rPr>
  </w:style>
  <w:style w:type="paragraph" w:styleId="Descripci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Textoennegrita">
    <w:name w:val="Strong"/>
    <w:basedOn w:val="Fuentedeprrafopredeter"/>
    <w:uiPriority w:val="22"/>
    <w:qFormat/>
    <w:rsid w:val="00AA054E"/>
    <w:rPr>
      <w:b/>
      <w:bCs/>
    </w:rPr>
  </w:style>
  <w:style w:type="character" w:styleId="nfasis">
    <w:name w:val="Emphasis"/>
    <w:basedOn w:val="Fuentedeprrafopredeter"/>
    <w:uiPriority w:val="20"/>
    <w:qFormat/>
    <w:rsid w:val="00AA054E"/>
    <w:rPr>
      <w:i/>
      <w:iCs/>
    </w:rPr>
  </w:style>
  <w:style w:type="paragraph" w:styleId="Cita">
    <w:name w:val="Quote"/>
    <w:basedOn w:val="Normal"/>
    <w:next w:val="Normal"/>
    <w:link w:val="CitaCar"/>
    <w:uiPriority w:val="29"/>
    <w:qFormat/>
    <w:rsid w:val="00AA054E"/>
    <w:pPr>
      <w:spacing w:before="160"/>
      <w:ind w:left="720" w:right="720"/>
    </w:pPr>
    <w:rPr>
      <w:i/>
      <w:iCs/>
      <w:color w:val="0055F7" w:themeColor="text1" w:themeTint="BF"/>
    </w:rPr>
  </w:style>
  <w:style w:type="character" w:customStyle="1" w:styleId="CitaCar">
    <w:name w:val="Cita Car"/>
    <w:basedOn w:val="Fuentedeprrafopredeter"/>
    <w:link w:val="Cita"/>
    <w:uiPriority w:val="29"/>
    <w:rsid w:val="00AA054E"/>
    <w:rPr>
      <w:i/>
      <w:iCs/>
      <w:color w:val="0055F7" w:themeColor="text1" w:themeTint="BF"/>
    </w:rPr>
  </w:style>
  <w:style w:type="paragraph" w:styleId="Citadestacada">
    <w:name w:val="Intense Quote"/>
    <w:basedOn w:val="Normal"/>
    <w:next w:val="Normal"/>
    <w:link w:val="Citadestacada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destacadaCar">
    <w:name w:val="Cita destacada Car"/>
    <w:basedOn w:val="Fuentedeprrafopredeter"/>
    <w:link w:val="Citadestacada"/>
    <w:uiPriority w:val="30"/>
    <w:rsid w:val="00AA054E"/>
    <w:rPr>
      <w:rFonts w:asciiTheme="majorHAnsi" w:eastAsiaTheme="majorEastAsia" w:hAnsiTheme="majorHAnsi" w:cstheme="majorBidi"/>
      <w:color w:val="34009F" w:themeColor="accent1"/>
      <w:sz w:val="28"/>
      <w:szCs w:val="28"/>
    </w:rPr>
  </w:style>
  <w:style w:type="character" w:styleId="nfasissutil">
    <w:name w:val="Subtle Emphasis"/>
    <w:basedOn w:val="Fuentedeprrafopredeter"/>
    <w:uiPriority w:val="19"/>
    <w:qFormat/>
    <w:rsid w:val="00AA054E"/>
    <w:rPr>
      <w:i/>
      <w:iCs/>
      <w:color w:val="0055F7" w:themeColor="text1" w:themeTint="BF"/>
    </w:rPr>
  </w:style>
  <w:style w:type="character" w:styleId="nfasisintenso">
    <w:name w:val="Intense Emphasis"/>
    <w:basedOn w:val="Fuentedeprrafopredeter"/>
    <w:uiPriority w:val="21"/>
    <w:qFormat/>
    <w:rsid w:val="00AA054E"/>
    <w:rPr>
      <w:b/>
      <w:bCs/>
      <w:i/>
      <w:iCs/>
    </w:rPr>
  </w:style>
  <w:style w:type="character" w:styleId="Referenciasutil">
    <w:name w:val="Subtle Reference"/>
    <w:basedOn w:val="Fuentedeprrafopredeter"/>
    <w:uiPriority w:val="31"/>
    <w:qFormat/>
    <w:rsid w:val="00AA054E"/>
    <w:rPr>
      <w:smallCaps/>
      <w:color w:val="0055F7" w:themeColor="text1" w:themeTint="BF"/>
      <w:u w:val="single" w:color="4E8BFF" w:themeColor="text1" w:themeTint="80"/>
    </w:rPr>
  </w:style>
  <w:style w:type="character" w:styleId="Referenciaintensa">
    <w:name w:val="Intense Reference"/>
    <w:basedOn w:val="Fuentedeprrafopredeter"/>
    <w:uiPriority w:val="32"/>
    <w:qFormat/>
    <w:rsid w:val="00AA054E"/>
    <w:rPr>
      <w:b/>
      <w:bCs/>
      <w:smallCaps/>
      <w:spacing w:val="5"/>
      <w:u w:val="single"/>
    </w:rPr>
  </w:style>
  <w:style w:type="character" w:styleId="Ttulodellibro">
    <w:name w:val="Book Title"/>
    <w:basedOn w:val="Fuentedeprrafopredeter"/>
    <w:uiPriority w:val="33"/>
    <w:qFormat/>
    <w:rsid w:val="00AA054E"/>
    <w:rPr>
      <w:b/>
      <w:bCs/>
      <w:smallCaps/>
    </w:rPr>
  </w:style>
  <w:style w:type="paragraph" w:styleId="TtuloTDC">
    <w:name w:val="TOC Heading"/>
    <w:basedOn w:val="Ttulo1"/>
    <w:next w:val="Normal"/>
    <w:uiPriority w:val="39"/>
    <w:unhideWhenUsed/>
    <w:qFormat/>
    <w:rsid w:val="00F205B9"/>
    <w:pPr>
      <w:numPr>
        <w:numId w:val="0"/>
      </w:numPr>
      <w:outlineLvl w:val="9"/>
    </w:pPr>
  </w:style>
  <w:style w:type="character" w:customStyle="1" w:styleId="SinespaciadoCar">
    <w:name w:val="Sin espaciado Car"/>
    <w:basedOn w:val="Fuentedeprrafopredeter"/>
    <w:link w:val="Sinespaciado"/>
    <w:uiPriority w:val="1"/>
    <w:rsid w:val="005B6B12"/>
    <w:rPr>
      <w:lang w:val="en-GB"/>
    </w:rPr>
  </w:style>
  <w:style w:type="paragraph" w:styleId="Encabezado">
    <w:name w:val="header"/>
    <w:basedOn w:val="Normal"/>
    <w:link w:val="Encabezado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cabezadoCar">
    <w:name w:val="Encabezado Car"/>
    <w:basedOn w:val="Fuentedeprrafopredeter"/>
    <w:link w:val="Encabezado"/>
    <w:rsid w:val="00AF6B1E"/>
    <w:rPr>
      <w:color w:val="001B4F" w:themeColor="text1" w:themeShade="80"/>
      <w:sz w:val="16"/>
      <w:lang w:val="en-GB"/>
    </w:rPr>
  </w:style>
  <w:style w:type="paragraph" w:styleId="Piedepgina">
    <w:name w:val="footer"/>
    <w:basedOn w:val="Normal"/>
    <w:link w:val="Piedepgina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epginaCar">
    <w:name w:val="Pie de página Car"/>
    <w:basedOn w:val="Fuentedeprrafopredeter"/>
    <w:link w:val="Piedepgina"/>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D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DC2">
    <w:name w:val="toc 2"/>
    <w:basedOn w:val="TDC1"/>
    <w:next w:val="Normal"/>
    <w:uiPriority w:val="39"/>
    <w:unhideWhenUsed/>
    <w:qFormat/>
    <w:rsid w:val="00F205B9"/>
    <w:pPr>
      <w:framePr w:wrap="around"/>
      <w:tabs>
        <w:tab w:val="right" w:leader="dot" w:pos="440"/>
      </w:tabs>
      <w:ind w:left="220"/>
    </w:pPr>
  </w:style>
  <w:style w:type="paragraph" w:styleId="TDC3">
    <w:name w:val="toc 3"/>
    <w:basedOn w:val="TDC1"/>
    <w:next w:val="Normal"/>
    <w:uiPriority w:val="39"/>
    <w:unhideWhenUsed/>
    <w:qFormat/>
    <w:rsid w:val="00AD0B10"/>
    <w:pPr>
      <w:framePr w:wrap="around"/>
      <w:ind w:left="442"/>
    </w:pPr>
  </w:style>
  <w:style w:type="character" w:styleId="Hipervnculo">
    <w:name w:val="Hyperlink"/>
    <w:basedOn w:val="Fuentedeprrafopredeter"/>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Fuentedeprrafopredeter"/>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Fuentedeprrafopredeter"/>
    <w:link w:val="Listing2"/>
    <w:rsid w:val="00DF3785"/>
    <w:rPr>
      <w:lang w:val="en-GB"/>
    </w:rPr>
  </w:style>
  <w:style w:type="table" w:styleId="Tablaconcuadrcula">
    <w:name w:val="Table Grid"/>
    <w:basedOn w:val="Tabla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50534"/>
    <w:pPr>
      <w:spacing w:after="0" w:line="240" w:lineRule="auto"/>
    </w:pPr>
  </w:style>
  <w:style w:type="character" w:customStyle="1" w:styleId="TextonotaalfinalCar">
    <w:name w:val="Texto nota al final Car"/>
    <w:basedOn w:val="Fuentedeprrafopredeter"/>
    <w:link w:val="Textonotaalfinal"/>
    <w:uiPriority w:val="99"/>
    <w:semiHidden/>
    <w:rsid w:val="00B50534"/>
    <w:rPr>
      <w:lang w:val="en-GB"/>
    </w:rPr>
  </w:style>
  <w:style w:type="character" w:styleId="Refdenotaalfinal">
    <w:name w:val="endnote reference"/>
    <w:basedOn w:val="Fuentedeprrafopredeter"/>
    <w:uiPriority w:val="99"/>
    <w:semiHidden/>
    <w:unhideWhenUsed/>
    <w:rsid w:val="00B50534"/>
    <w:rPr>
      <w:vertAlign w:val="superscript"/>
    </w:rPr>
  </w:style>
  <w:style w:type="paragraph" w:styleId="Textonotapie">
    <w:name w:val="footnote text"/>
    <w:basedOn w:val="Normal"/>
    <w:link w:val="TextonotapieCar"/>
    <w:autoRedefine/>
    <w:uiPriority w:val="99"/>
    <w:unhideWhenUsed/>
    <w:qFormat/>
    <w:rsid w:val="007A1A9D"/>
    <w:pPr>
      <w:spacing w:after="0" w:line="240" w:lineRule="auto"/>
    </w:pPr>
    <w:rPr>
      <w:sz w:val="16"/>
    </w:rPr>
  </w:style>
  <w:style w:type="character" w:customStyle="1" w:styleId="TextonotapieCar">
    <w:name w:val="Texto nota pie Car"/>
    <w:basedOn w:val="Fuentedeprrafopredeter"/>
    <w:link w:val="Textonotapie"/>
    <w:uiPriority w:val="99"/>
    <w:rsid w:val="007A1A9D"/>
    <w:rPr>
      <w:color w:val="181818" w:themeColor="background1" w:themeShade="1A"/>
      <w:sz w:val="16"/>
      <w:lang w:val="en-GB"/>
    </w:rPr>
  </w:style>
  <w:style w:type="character" w:styleId="Refdenotaalpie">
    <w:name w:val="footnote reference"/>
    <w:basedOn w:val="Fuentedeprrafopredeter"/>
    <w:uiPriority w:val="99"/>
    <w:semiHidden/>
    <w:unhideWhenUsed/>
    <w:qFormat/>
    <w:rsid w:val="00A91D91"/>
    <w:rPr>
      <w:rFonts w:asciiTheme="majorHAnsi" w:hAnsiTheme="majorHAnsi"/>
      <w:sz w:val="16"/>
      <w:vertAlign w:val="superscript"/>
    </w:rPr>
  </w:style>
  <w:style w:type="paragraph" w:customStyle="1" w:styleId="Footnote">
    <w:name w:val="Footnote"/>
    <w:basedOn w:val="Textonotapie"/>
    <w:link w:val="FootnoteChar"/>
    <w:qFormat/>
    <w:rsid w:val="00672C04"/>
    <w:pPr>
      <w:ind w:left="454" w:hanging="454"/>
    </w:pPr>
    <w:rPr>
      <w:lang w:val="nl-BE"/>
    </w:rPr>
  </w:style>
  <w:style w:type="character" w:customStyle="1" w:styleId="FootnoteChar">
    <w:name w:val="Footnote Char"/>
    <w:basedOn w:val="TextonotapieCar"/>
    <w:link w:val="Footnote"/>
    <w:rsid w:val="00672C04"/>
    <w:rPr>
      <w:color w:val="181818" w:themeColor="background1" w:themeShade="1A"/>
      <w:sz w:val="16"/>
      <w:lang w:val="en-GB"/>
    </w:rPr>
  </w:style>
  <w:style w:type="table" w:customStyle="1" w:styleId="GridTable4-Accent11">
    <w:name w:val="Grid Table 4 - Accent 11"/>
    <w:basedOn w:val="Tabla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odeglobo">
    <w:name w:val="Balloon Text"/>
    <w:basedOn w:val="Normal"/>
    <w:link w:val="TextodegloboCar"/>
    <w:uiPriority w:val="99"/>
    <w:semiHidden/>
    <w:unhideWhenUsed/>
    <w:rsid w:val="007151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1BF"/>
    <w:rPr>
      <w:rFonts w:ascii="Tahoma" w:hAnsi="Tahoma" w:cs="Tahoma"/>
      <w:sz w:val="16"/>
      <w:szCs w:val="16"/>
      <w:lang w:val="en-GB"/>
    </w:rPr>
  </w:style>
  <w:style w:type="paragraph" w:styleId="TDC4">
    <w:name w:val="toc 4"/>
    <w:basedOn w:val="TDC1"/>
    <w:next w:val="Normal"/>
    <w:uiPriority w:val="39"/>
    <w:unhideWhenUsed/>
    <w:qFormat/>
    <w:rsid w:val="00F205B9"/>
    <w:pPr>
      <w:framePr w:wrap="around"/>
      <w:ind w:left="660"/>
    </w:pPr>
  </w:style>
  <w:style w:type="character" w:styleId="Refdecomentario">
    <w:name w:val="annotation reference"/>
    <w:basedOn w:val="Fuentedeprrafopredeter"/>
    <w:uiPriority w:val="99"/>
    <w:semiHidden/>
    <w:unhideWhenUsed/>
    <w:rsid w:val="00D33C31"/>
    <w:rPr>
      <w:sz w:val="16"/>
      <w:szCs w:val="16"/>
    </w:rPr>
  </w:style>
  <w:style w:type="paragraph" w:styleId="Textocomentario">
    <w:name w:val="annotation text"/>
    <w:basedOn w:val="Normal"/>
    <w:link w:val="TextocomentarioCar"/>
    <w:uiPriority w:val="99"/>
    <w:unhideWhenUsed/>
    <w:rsid w:val="00D33C31"/>
    <w:pPr>
      <w:spacing w:line="240" w:lineRule="auto"/>
    </w:pPr>
    <w:rPr>
      <w:sz w:val="20"/>
    </w:rPr>
  </w:style>
  <w:style w:type="character" w:customStyle="1" w:styleId="TextocomentarioCar">
    <w:name w:val="Texto comentario Car"/>
    <w:basedOn w:val="Fuentedeprrafopredeter"/>
    <w:link w:val="Textocomentario"/>
    <w:uiPriority w:val="99"/>
    <w:rsid w:val="00D33C31"/>
    <w:rPr>
      <w:lang w:val="en-GB"/>
    </w:rPr>
  </w:style>
  <w:style w:type="paragraph" w:styleId="Asuntodelcomentario">
    <w:name w:val="annotation subject"/>
    <w:basedOn w:val="Textocomentario"/>
    <w:next w:val="Textocomentario"/>
    <w:link w:val="AsuntodelcomentarioCar"/>
    <w:uiPriority w:val="99"/>
    <w:semiHidden/>
    <w:unhideWhenUsed/>
    <w:rsid w:val="00D33C31"/>
    <w:rPr>
      <w:b/>
      <w:bCs/>
    </w:rPr>
  </w:style>
  <w:style w:type="character" w:customStyle="1" w:styleId="AsuntodelcomentarioCar">
    <w:name w:val="Asunto del comentario Car"/>
    <w:basedOn w:val="TextocomentarioCar"/>
    <w:link w:val="Asuntodelcomentario"/>
    <w:uiPriority w:val="99"/>
    <w:semiHidden/>
    <w:rsid w:val="00D33C31"/>
    <w:rPr>
      <w:b/>
      <w:bCs/>
      <w:lang w:val="en-GB"/>
    </w:rPr>
  </w:style>
  <w:style w:type="character" w:styleId="Mencinsinresolver">
    <w:name w:val="Unresolved Mention"/>
    <w:basedOn w:val="Fuentedeprrafopredeter"/>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Textoennegrita"/>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cabezado"/>
    <w:qFormat/>
    <w:rsid w:val="00AF6B1E"/>
  </w:style>
  <w:style w:type="paragraph" w:customStyle="1" w:styleId="Pageheader">
    <w:name w:val="Page header"/>
    <w:basedOn w:val="Encabezado"/>
    <w:next w:val="Encabezado"/>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DC5">
    <w:name w:val="toc 5"/>
    <w:basedOn w:val="Normal"/>
    <w:next w:val="Normal"/>
    <w:uiPriority w:val="39"/>
    <w:semiHidden/>
    <w:unhideWhenUsed/>
    <w:qFormat/>
    <w:rsid w:val="00F205B9"/>
    <w:pPr>
      <w:spacing w:after="100"/>
      <w:ind w:left="880"/>
    </w:pPr>
  </w:style>
  <w:style w:type="paragraph" w:styleId="TDC6">
    <w:name w:val="toc 6"/>
    <w:basedOn w:val="Normal"/>
    <w:next w:val="Normal"/>
    <w:uiPriority w:val="39"/>
    <w:semiHidden/>
    <w:unhideWhenUsed/>
    <w:qFormat/>
    <w:rsid w:val="00F205B9"/>
    <w:pPr>
      <w:spacing w:after="100"/>
      <w:ind w:left="1100"/>
    </w:pPr>
  </w:style>
  <w:style w:type="paragraph" w:styleId="TDC7">
    <w:name w:val="toc 7"/>
    <w:basedOn w:val="Normal"/>
    <w:next w:val="Normal"/>
    <w:uiPriority w:val="39"/>
    <w:semiHidden/>
    <w:unhideWhenUsed/>
    <w:qFormat/>
    <w:rsid w:val="00F205B9"/>
    <w:pPr>
      <w:spacing w:after="100"/>
      <w:ind w:left="1320"/>
    </w:pPr>
  </w:style>
  <w:style w:type="paragraph" w:styleId="TDC8">
    <w:name w:val="toc 8"/>
    <w:basedOn w:val="Normal"/>
    <w:next w:val="Normal"/>
    <w:uiPriority w:val="39"/>
    <w:semiHidden/>
    <w:unhideWhenUsed/>
    <w:qFormat/>
    <w:rsid w:val="00F205B9"/>
    <w:pPr>
      <w:spacing w:after="100"/>
      <w:ind w:left="1540"/>
    </w:pPr>
  </w:style>
  <w:style w:type="paragraph" w:styleId="TDC9">
    <w:name w:val="toc 9"/>
    <w:basedOn w:val="Normal"/>
    <w:next w:val="Normal"/>
    <w:uiPriority w:val="39"/>
    <w:semiHidden/>
    <w:unhideWhenUsed/>
    <w:qFormat/>
    <w:rsid w:val="00F205B9"/>
    <w:pPr>
      <w:spacing w:after="100"/>
      <w:ind w:left="1760"/>
    </w:pPr>
  </w:style>
  <w:style w:type="character" w:styleId="Hipervnculovisitado">
    <w:name w:val="FollowedHyperlink"/>
    <w:basedOn w:val="Fuentedeprrafopredeter"/>
    <w:uiPriority w:val="99"/>
    <w:semiHidden/>
    <w:unhideWhenUsed/>
    <w:rsid w:val="0043139E"/>
    <w:rPr>
      <w:color w:val="0174AF" w:themeColor="followedHyperlink"/>
      <w:u w:val="single"/>
    </w:rPr>
  </w:style>
  <w:style w:type="character" w:customStyle="1" w:styleId="PrrafodelistaCar">
    <w:name w:val="Párrafo de lista Car"/>
    <w:aliases w:val="Paragraphe EI Car,Paragraphe de liste1 Car,EC Car"/>
    <w:link w:val="Prrafodelista"/>
    <w:uiPriority w:val="34"/>
    <w:locked/>
    <w:rsid w:val="00EC6066"/>
    <w:rPr>
      <w:rFonts w:asciiTheme="majorHAnsi" w:hAnsiTheme="majorHAnsi" w:cstheme="majorHAnsi"/>
      <w:color w:val="181818" w:themeColor="background1" w:themeShade="1A"/>
      <w:sz w:val="22"/>
      <w:szCs w:val="22"/>
      <w:lang w:val="pt-PT"/>
    </w:rPr>
  </w:style>
  <w:style w:type="paragraph" w:styleId="Revisi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Fuentedeprrafopredeter"/>
    <w:rsid w:val="00061F32"/>
    <w:rPr>
      <w:rFonts w:ascii="Segoe UI" w:hAnsi="Segoe UI" w:cs="Segoe UI" w:hint="default"/>
      <w:sz w:val="18"/>
      <w:szCs w:val="18"/>
    </w:rPr>
  </w:style>
  <w:style w:type="character" w:customStyle="1" w:styleId="cf11">
    <w:name w:val="cf11"/>
    <w:basedOn w:val="Fuentedeprrafopredeter"/>
    <w:rsid w:val="00061F32"/>
    <w:rPr>
      <w:rFonts w:ascii="Segoe UI" w:hAnsi="Segoe UI" w:cs="Segoe UI" w:hint="default"/>
      <w:color w:val="333333"/>
      <w:sz w:val="18"/>
      <w:szCs w:val="18"/>
      <w:shd w:val="clear" w:color="auto" w:fill="FFFFFF"/>
    </w:rPr>
  </w:style>
  <w:style w:type="character" w:styleId="Mencionar">
    <w:name w:val="Mention"/>
    <w:basedOn w:val="Fuentedeprrafopredeter"/>
    <w:uiPriority w:val="99"/>
    <w:unhideWhenUsed/>
    <w:rsid w:val="00251F26"/>
    <w:rPr>
      <w:color w:val="2B579A"/>
      <w:shd w:val="clear" w:color="auto" w:fill="E1DFDD"/>
    </w:rPr>
  </w:style>
  <w:style w:type="character" w:styleId="Textodelmarcadordeposicin">
    <w:name w:val="Placeholder Text"/>
    <w:basedOn w:val="Fuentedeprrafopredeter"/>
    <w:uiPriority w:val="99"/>
    <w:semiHidden/>
    <w:rsid w:val="00635BCA"/>
    <w:rPr>
      <w:color w:val="808080"/>
    </w:rPr>
  </w:style>
  <w:style w:type="paragraph" w:customStyle="1" w:styleId="para">
    <w:name w:val="para"/>
    <w:basedOn w:val="Prrafodelista"/>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Fuentedeprrafopredeter"/>
    <w:link w:val="para"/>
    <w:rsid w:val="00641F03"/>
    <w:rPr>
      <w:bCs/>
      <w:iCs/>
      <w:color w:val="181818" w:themeColor="background1" w:themeShade="1A"/>
      <w:sz w:val="22"/>
      <w:lang w:val="en-GB"/>
    </w:rPr>
  </w:style>
  <w:style w:type="character" w:customStyle="1" w:styleId="normaltextrun">
    <w:name w:val="normaltextrun"/>
    <w:basedOn w:val="Fuentedeprrafopredeter"/>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sma.europa.eu/about-esma/data-protection"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6954E6" w:rsidP="006954E6">
          <w:pPr>
            <w:pStyle w:val="BB304192735D4F2E9B95179F2819F853"/>
          </w:pPr>
          <w:r w:rsidRPr="00DA1A90">
            <w:rPr>
              <w:rStyle w:val="Textodelmarcadordeposicin"/>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6954E6" w:rsidP="006954E6">
          <w:pPr>
            <w:pStyle w:val="01EE1C7859204274A669423EC64EE100"/>
          </w:pPr>
          <w:r w:rsidRPr="00DA1A90">
            <w:rPr>
              <w:rStyle w:val="Textodelmarcadordeposicin"/>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6954E6" w:rsidP="006954E6">
          <w:pPr>
            <w:pStyle w:val="D404D71EE61B44F68217F5015889DA12"/>
          </w:pPr>
          <w:r w:rsidRPr="00DA1A90">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0C0B68"/>
    <w:rsid w:val="0015768C"/>
    <w:rsid w:val="002536E7"/>
    <w:rsid w:val="00254AAC"/>
    <w:rsid w:val="00254E75"/>
    <w:rsid w:val="0034145D"/>
    <w:rsid w:val="00372212"/>
    <w:rsid w:val="004E4CF9"/>
    <w:rsid w:val="005D66AB"/>
    <w:rsid w:val="006954E6"/>
    <w:rsid w:val="006D3543"/>
    <w:rsid w:val="00701E25"/>
    <w:rsid w:val="00813189"/>
    <w:rsid w:val="008222A0"/>
    <w:rsid w:val="00836D47"/>
    <w:rsid w:val="009B6B9C"/>
    <w:rsid w:val="00B07345"/>
    <w:rsid w:val="00B22006"/>
    <w:rsid w:val="00B46CAE"/>
    <w:rsid w:val="00C90244"/>
    <w:rsid w:val="00D52831"/>
    <w:rsid w:val="00DC3796"/>
    <w:rsid w:val="00DC4211"/>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954E6"/>
    <w:rPr>
      <w:color w:val="808080"/>
    </w:rPr>
  </w:style>
  <w:style w:type="paragraph" w:customStyle="1" w:styleId="BB304192735D4F2E9B95179F2819F853">
    <w:name w:val="BB304192735D4F2E9B95179F2819F853"/>
    <w:rsid w:val="006954E6"/>
    <w:rPr>
      <w:kern w:val="2"/>
      <w14:ligatures w14:val="standardContextual"/>
    </w:rPr>
  </w:style>
  <w:style w:type="paragraph" w:customStyle="1" w:styleId="01EE1C7859204274A669423EC64EE100">
    <w:name w:val="01EE1C7859204274A669423EC64EE100"/>
    <w:rsid w:val="006954E6"/>
    <w:rPr>
      <w:kern w:val="2"/>
      <w14:ligatures w14:val="standardContextual"/>
    </w:rPr>
  </w:style>
  <w:style w:type="paragraph" w:customStyle="1" w:styleId="D404D71EE61B44F68217F5015889DA12">
    <w:name w:val="D404D71EE61B44F68217F5015889DA12"/>
    <w:rsid w:val="006954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ther Work PowerPoint Document" ma:contentTypeID="0x0101008EBA8196C37CB64493F8A334AEA81B190106005163DBCAC2819549AD8818B6C00ED114" ma:contentTypeVersion="20" ma:contentTypeDescription="" ma:contentTypeScope="" ma:versionID="89f3821cf41f23b26cebd0b9bb5c273d">
  <xsd:schema xmlns:xsd="http://www.w3.org/2001/XMLSchema" xmlns:xs="http://www.w3.org/2001/XMLSchema" xmlns:p="http://schemas.microsoft.com/office/2006/metadata/properties" xmlns:ns2="d0fb0f98-34f9-4d57-9559-eb8efd17aa5e" xmlns:ns3="3bb54ca2-4b2e-4244-be4d-a1b948814b6e" targetNamespace="http://schemas.microsoft.com/office/2006/metadata/properties" ma:root="true" ma:fieldsID="890263672bb10ead717ec61bacf962d9" ns2:_="" ns3:_="">
    <xsd:import namespace="d0fb0f98-34f9-4d57-9559-eb8efd17aa5e"/>
    <xsd:import namespace="3bb54ca2-4b2e-4244-be4d-a1b948814b6e"/>
    <xsd:element name="properties">
      <xsd:complexType>
        <xsd:sequence>
          <xsd:element name="documentManagement">
            <xsd:complexType>
              <xsd:all>
                <xsd:element ref="ns2:Year"/>
                <xsd:element ref="ns2:MeetingDate" minOccurs="0"/>
                <xsd:element ref="ns2:TaxCatchAll" minOccurs="0"/>
                <xsd:element ref="ns2:ldf822d702374457a75b2650fd19956f" minOccurs="0"/>
                <xsd:element ref="ns2:i5ab60d4d76744fa8f19029305834a0f" minOccurs="0"/>
                <xsd:element ref="ns2:b1f7cdd549a8454fb97376e5c37040fc" minOccurs="0"/>
                <xsd:element ref="ns2:ja89261ff8244daf864530e8b7973c66" minOccurs="0"/>
                <xsd:element ref="ns2:TaxCatchAllLabel" minOccurs="0"/>
                <xsd:element ref="ns2:nd85f6bbfc564f3fa1f39842b48e85f3" minOccurs="0"/>
                <xsd:element ref="ns2:f926fd9ddf4e43dc9baf43a17188d082"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05974136-d146-49b7-9751-ef130a8e22e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ldf822d702374457a75b2650fd19956f" ma:index="17" nillable="true" ma:taxonomy="true" ma:internalName="ldf822d702374457a75b2650fd19956f" ma:taxonomyFieldName="EsmaAudience" ma:displayName="Audience" ma:readOnly="false" ma:fieldId="{5df822d7-0237-4457-a75b-2650fd19956f}"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i5ab60d4d76744fa8f19029305834a0f" ma:index="18" ma:taxonomy="true" ma:internalName="i5ab60d4d76744fa8f19029305834a0f" ma:taxonomyFieldName="TeamName" ma:displayName="Team Name" ma:readOnly="false" ma:default="5;#Investor Protection and Intermediaries|98c55de3-414a-4dc7-97ca-58b003cd9a35" ma:fieldId="{25ab60d4-d767-44fa-8f19-029305834a0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9" ma:taxonomy="true" ma:internalName="b1f7cdd549a8454fb97376e5c37040fc" ma:taxonomyFieldName="DocumentType" ma:displayName="Document Type" ma:readOnly="false" ma:fieldId="{b1f7cdd5-49a8-454f-b973-76e5c37040f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20" ma:taxonomy="true" ma:internalName="ja89261ff8244daf864530e8b7973c66" ma:taxonomyFieldName="ConfidentialityLevel" ma:displayName="Confidentiality Level" ma:readOnly="false" ma:default="6;#Regular|07f1e362-856b-423d-bea6-a14079762141" ma:fieldId="{3a89261f-f824-4daf-8645-30e8b7973c66}"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05974136-d146-49b7-9751-ef130a8e22e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nd85f6bbfc564f3fa1f39842b48e85f3" ma:index="22" nillable="true" ma:taxonomy="true" ma:internalName="nd85f6bbfc564f3fa1f39842b48e85f3" ma:taxonomyFieldName="TeamTopic" ma:displayName="Team Topic" ma:readOnly="false" ma:default="77;#Other Work|8e467236-62cb-4258-b359-81b56229d8cf" ma:fieldId="{7d85f6bb-fc56-4f3f-a1f3-9842b48e85f3}" ma:taxonomyMulti="true" ma:sspId="d4b01e31-ead0-4f68-a8e9-2aaca35f2e62" ma:termSetId="850502f9-36b0-41fb-966b-d9fcd2f00296" ma:anchorId="00000000-0000-0000-0000-000000000000" ma:open="false" ma:isKeyword="false">
      <xsd:complexType>
        <xsd:sequence>
          <xsd:element ref="pc:Terms" minOccurs="0" maxOccurs="1"/>
        </xsd:sequence>
      </xsd:complexType>
    </xsd:element>
    <xsd:element name="f926fd9ddf4e43dc9baf43a17188d082" ma:index="23" nillable="true" ma:taxonomy="true" ma:internalName="f926fd9ddf4e43dc9baf43a17188d082" ma:taxonomyFieldName="Topic" ma:displayName="Topic" ma:readOnly="false" ma:fieldId="{f926fd9d-df4e-43dc-9baf-43a17188d082}" ma:sspId="d4b01e31-ead0-4f68-a8e9-2aaca35f2e62" ma:termSetId="1204d773-6b06-4d02-bc01-ea5b5466ecf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54ca2-4b2e-4244-be4d-a1b948814b6e"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82</Value>
      <Value>5</Value>
      <Value>77</Value>
    </TaxCatchAll>
    <_dlc_DocId xmlns="d0fb0f98-34f9-4d57-9559-eb8efd17aa5e">ESMA35-1872330276-2281</_dlc_DocId>
    <_dlc_DocIdUrl xmlns="d0fb0f98-34f9-4d57-9559-eb8efd17aa5e">
      <Url>https://securitiesandmarketsauth.sharepoint.com/sites/sherpa-ipi/_layouts/15/DocIdRedir.aspx?ID=ESMA35-1872330276-2281</Url>
      <Description>ESMA35-1872330276-2281</Description>
    </_dlc_DocIdUrl>
    <_dlc_DocIdPersistId xmlns="d0fb0f98-34f9-4d57-9559-eb8efd17aa5e" xsi:nil="true"/>
    <MeetingDate xmlns="d0fb0f98-34f9-4d57-9559-eb8efd17aa5e" xsi:nil="true"/>
    <Year xmlns="d0fb0f98-34f9-4d57-9559-eb8efd17aa5e">2024</Year>
    <ja89261ff8244daf864530e8b7973c66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a89261ff8244daf864530e8b7973c66>
    <i5ab60d4d76744fa8f19029305834a0f xmlns="d0fb0f98-34f9-4d57-9559-eb8efd17aa5e">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lcf76f155ced4ddcb4097134ff3c332f xmlns="3bb54ca2-4b2e-4244-be4d-a1b948814b6e" xsi:nil="true"/>
    <ldf822d702374457a75b2650fd19956f xmlns="d0fb0f98-34f9-4d57-9559-eb8efd17aa5e">
      <Terms xmlns="http://schemas.microsoft.com/office/infopath/2007/PartnerControls"/>
    </ldf822d702374457a75b2650fd19956f>
    <nd85f6bbfc564f3fa1f39842b48e85f3 xmlns="d0fb0f98-34f9-4d57-9559-eb8efd17aa5e">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f926fd9ddf4e43dc9baf43a17188d082 xmlns="d0fb0f98-34f9-4d57-9559-eb8efd17aa5e">
      <Terms xmlns="http://schemas.microsoft.com/office/infopath/2007/PartnerControls"/>
    </f926fd9ddf4e43dc9baf43a17188d082>
    <b1f7cdd549a8454fb97376e5c37040fc xmlns="d0fb0f98-34f9-4d57-9559-eb8efd17aa5e">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b1f7cdd549a8454fb97376e5c37040fc>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C8EF1-613F-4498-9108-AA7000822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3bb54ca2-4b2e-4244-be4d-a1b94881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4.xml><?xml version="1.0" encoding="utf-8"?>
<ds:datastoreItem xmlns:ds="http://schemas.openxmlformats.org/officeDocument/2006/customXml" ds:itemID="{4AE7858C-3128-45EF-AE36-4A7D702B3BF5}">
  <ds:schemaRefs>
    <ds:schemaRef ds:uri="http://www.w3.org/XML/1998/namespace"/>
    <ds:schemaRef ds:uri="http://purl.org/dc/elements/1.1/"/>
    <ds:schemaRef ds:uri="http://schemas.microsoft.com/office/2006/documentManagement/types"/>
    <ds:schemaRef ds:uri="d0fb0f98-34f9-4d57-9559-eb8efd17aa5e"/>
    <ds:schemaRef ds:uri="http://purl.org/dc/terms/"/>
    <ds:schemaRef ds:uri="http://schemas.microsoft.com/office/2006/metadata/properties"/>
    <ds:schemaRef ds:uri="http://schemas.microsoft.com/office/infopath/2007/PartnerControls"/>
    <ds:schemaRef ds:uri="http://schemas.openxmlformats.org/package/2006/metadata/core-properties"/>
    <ds:schemaRef ds:uri="3bb54ca2-4b2e-4244-be4d-a1b948814b6e"/>
    <ds:schemaRef ds:uri="http://purl.org/dc/dcmitype/"/>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2472</Words>
  <Characters>13600</Characters>
  <Application>Microsoft Office Word</Application>
  <DocSecurity>8</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CNMV</cp:lastModifiedBy>
  <cp:revision>6</cp:revision>
  <cp:lastPrinted>2023-09-09T00:53:00Z</cp:lastPrinted>
  <dcterms:created xsi:type="dcterms:W3CDTF">2025-04-09T12:30:00Z</dcterms:created>
  <dcterms:modified xsi:type="dcterms:W3CDTF">2025-04-09T13:16:00Z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0x0101008EBA8196C37CB64493F8A334AEA81B190106005163DBCAC2819549AD8818B6C00ED114</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b6771d8d-ad15-493e-8947-ba7e3a16ec48</vt:lpwstr>
  </property>
  <property fmtid="{D5CDD505-2E9C-101B-9397-08002B2CF9AE}" pid="8" name="Topic">
    <vt:lpwstr/>
  </property>
  <property fmtid="{D5CDD505-2E9C-101B-9397-08002B2CF9AE}" pid="9" name="ConfidentialityLevel">
    <vt:lpwstr>6;#Regular|07f1e362-856b-423d-bea6-a14079762141</vt:lpwstr>
  </property>
  <property fmtid="{D5CDD505-2E9C-101B-9397-08002B2CF9AE}" pid="10" name="DocumentType">
    <vt:lpwstr>82;#Consultation Paper|c6238baf-c3d7-4bb8-8cf2-f28a89601f52</vt:lpwstr>
  </property>
  <property fmtid="{D5CDD505-2E9C-101B-9397-08002B2CF9AE}" pid="11" name="Order">
    <vt:r8>52000</vt:r8>
  </property>
  <property fmtid="{D5CDD505-2E9C-101B-9397-08002B2CF9AE}" pid="12" name="DocumentSetDescription">
    <vt:lpwstr/>
  </property>
  <property fmtid="{D5CDD505-2E9C-101B-9397-08002B2CF9AE}" pid="13" name="TeamName">
    <vt:lpwstr>5</vt:lpwstr>
  </property>
  <property fmtid="{D5CDD505-2E9C-101B-9397-08002B2CF9AE}" pid="14" name="MediaServiceImageTags">
    <vt:lpwstr/>
  </property>
  <property fmtid="{D5CDD505-2E9C-101B-9397-08002B2CF9AE}" pid="15" name="SubTopic">
    <vt:lpwstr>307</vt:lpwstr>
  </property>
  <property fmtid="{D5CDD505-2E9C-101B-9397-08002B2CF9AE}" pid="16" name="TeamTopic">
    <vt:lpwstr>77;#Other Work|8e467236-62cb-4258-b359-81b56229d8cf</vt:lpwstr>
  </property>
  <property fmtid="{D5CDD505-2E9C-101B-9397-08002B2CF9AE}" pid="17" name="EsmaAudience">
    <vt:lpwstr/>
  </property>
</Properties>
</file>