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itolo"/>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olo"/>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olo"/>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olo"/>
          </w:pPr>
          <w:r>
            <w:t xml:space="preserve">Reply </w:t>
          </w:r>
          <w:r w:rsidR="00DD03DC">
            <w:t>F</w:t>
          </w:r>
          <w:r>
            <w:t>orm</w:t>
          </w:r>
        </w:p>
        <w:p w14:paraId="031F2108" w14:textId="42AAFBB0" w:rsidR="007E7997" w:rsidRPr="00C01571" w:rsidRDefault="00113E80" w:rsidP="00D77369">
          <w:pPr>
            <w:pStyle w:val="Sottotitolo"/>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ttotitolo"/>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aragrafoelenco"/>
            <w:rPr>
              <w:lang w:val="en-GB"/>
            </w:rPr>
          </w:pPr>
          <w:r w:rsidRPr="00DB2FD6">
            <w:rPr>
              <w:lang w:val="en-GB"/>
            </w:rPr>
            <w:t>respond to the question stated;</w:t>
          </w:r>
        </w:p>
        <w:p w14:paraId="72FD40F6" w14:textId="77777777" w:rsidR="002533FC" w:rsidRPr="00DB2FD6" w:rsidRDefault="002533FC" w:rsidP="00EC6066">
          <w:pPr>
            <w:pStyle w:val="Paragrafoelenco"/>
            <w:rPr>
              <w:lang w:val="en-GB"/>
            </w:rPr>
          </w:pPr>
          <w:r w:rsidRPr="00DB2FD6">
            <w:rPr>
              <w:lang w:val="en-GB"/>
            </w:rPr>
            <w:t>indicate the specific question to which the comment relates;</w:t>
          </w:r>
        </w:p>
        <w:p w14:paraId="78B206B7" w14:textId="77777777" w:rsidR="002533FC" w:rsidRPr="00E13D25" w:rsidRDefault="002533FC" w:rsidP="00EC6066">
          <w:pPr>
            <w:pStyle w:val="Paragrafoelenco"/>
          </w:pPr>
          <w:r w:rsidRPr="00E13D25">
            <w:t>contain a clear rationale; and</w:t>
          </w:r>
        </w:p>
        <w:p w14:paraId="60B8834E" w14:textId="77777777" w:rsidR="002533FC" w:rsidRPr="00DB2FD6" w:rsidRDefault="002533FC" w:rsidP="00EC6066">
          <w:pPr>
            <w:pStyle w:val="Paragrafoelenco"/>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Collegamentoipertestuale"/>
              </w:rPr>
              <w:t>www.esma.europa.eu</w:t>
            </w:r>
          </w:hyperlink>
          <w:r w:rsidRPr="005B6B12">
            <w:t xml:space="preserve"> under the heading ‘Your input - Consultations’. </w:t>
          </w:r>
        </w:p>
        <w:p w14:paraId="5E44C845" w14:textId="77777777" w:rsidR="00EC6066" w:rsidRPr="0026459D" w:rsidRDefault="00EC6066" w:rsidP="00EC6066">
          <w:pPr>
            <w:pStyle w:val="Sottotitolo"/>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Collegamentoipertestuale"/>
              </w:rPr>
              <w:t>www.esma.europa.eu</w:t>
            </w:r>
          </w:hyperlink>
          <w:r w:rsidRPr="005B6B12">
            <w:t xml:space="preserve"> under the heading </w:t>
          </w:r>
          <w:r w:rsidRPr="00025A7F">
            <w:rPr>
              <w:rStyle w:val="Collegamentoipertestuale"/>
            </w:rPr>
            <w:t>‘</w:t>
          </w:r>
          <w:hyperlink r:id="rId17" w:history="1">
            <w:r>
              <w:rPr>
                <w:rStyle w:val="Collegamentoipertestuale"/>
              </w:rPr>
              <w:t>Data protection</w:t>
            </w:r>
          </w:hyperlink>
          <w:r>
            <w:rPr>
              <w:rStyle w:val="Collegamentoipertestual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Titolo1"/>
        <w:rPr>
          <w:lang w:val="fr-BE"/>
        </w:rPr>
      </w:pPr>
      <w:r>
        <w:rPr>
          <w:lang w:val="fr-BE"/>
        </w:rPr>
        <w:lastRenderedPageBreak/>
        <w:t xml:space="preserve">General information about </w:t>
      </w:r>
      <w:r w:rsidRPr="00501EF4">
        <w:t>respondent</w:t>
      </w:r>
    </w:p>
    <w:tbl>
      <w:tblPr>
        <w:tblStyle w:val="Grigliatabella"/>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Content>
            <w:tc>
              <w:tcPr>
                <w:tcW w:w="4531" w:type="dxa"/>
              </w:tcPr>
              <w:p w14:paraId="5C8A6928" w14:textId="590546E7" w:rsidR="00E40D2C" w:rsidRPr="00557BD2" w:rsidRDefault="00E62DB1" w:rsidP="00743CD9">
                <w:r>
                  <w:t>Euronext</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22ECE1B6" w14:textId="68972AD3" w:rsidR="00E40D2C" w:rsidRDefault="00A63018"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Content>
            <w:permStart w:id="996560612" w:edGrp="everyone" w:displacedByCustomXml="prev"/>
            <w:tc>
              <w:tcPr>
                <w:tcW w:w="4531" w:type="dxa"/>
              </w:tcPr>
              <w:p w14:paraId="7AB9C082" w14:textId="728144F2" w:rsidR="00E40D2C" w:rsidRDefault="00782E09"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22924511" w:edGrp="everyone" w:displacedByCustomXml="prev"/>
            <w:tc>
              <w:tcPr>
                <w:tcW w:w="4531" w:type="dxa"/>
              </w:tcPr>
              <w:p w14:paraId="5BB12D35" w14:textId="26A618F6" w:rsidR="00E40D2C" w:rsidRPr="00557BD2" w:rsidRDefault="00A63018" w:rsidP="00743CD9">
                <w:r>
                  <w:t>Other</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Titolo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20112533" w14:textId="77777777" w:rsidR="00113E80" w:rsidRDefault="00113E80" w:rsidP="00113E80">
      <w:permStart w:id="495002546" w:edGrp="everyone"/>
      <w:r>
        <w:t>TYPE YOUR TEXT HERE</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7BE8A3E1" w14:textId="77777777" w:rsidR="00113E80" w:rsidRDefault="00113E80" w:rsidP="00113E80">
      <w:permStart w:id="212869392" w:edGrp="everyone"/>
      <w:r>
        <w:t>TYPE YOUR TEXT HERE</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77777777" w:rsidR="00113E80" w:rsidRDefault="00113E80" w:rsidP="00113E80">
      <w:permStart w:id="633560411" w:edGrp="everyone"/>
      <w:r>
        <w:t>TYPE YOUR TEXT HERE</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89CD504" w14:textId="77777777" w:rsidR="00113E80" w:rsidRDefault="00113E80" w:rsidP="00113E80">
      <w:permStart w:id="953572439" w:edGrp="everyone"/>
      <w:r>
        <w:t>TYPE YOUR TEXT HERE</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77777777" w:rsidR="00113E80" w:rsidRDefault="00113E80" w:rsidP="00113E80">
      <w:permStart w:id="2044342554" w:edGrp="everyone"/>
      <w:r>
        <w:t>TYPE YOUR TEXT HERE</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023E9D3C" w14:textId="77777777" w:rsidR="00113E80" w:rsidRDefault="00113E80" w:rsidP="00113E80">
      <w:permStart w:id="1632175159" w:edGrp="everyone"/>
      <w:r>
        <w:t>TYPE YOUR TEXT HERE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64F4CDE5" w14:textId="77777777" w:rsidR="00113E80" w:rsidRDefault="00113E80" w:rsidP="00113E80">
      <w:permStart w:id="710046495" w:edGrp="everyone"/>
      <w:r>
        <w:lastRenderedPageBreak/>
        <w:t>TYPE YOUR TEXT HERE</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77777777" w:rsidR="00113E80" w:rsidRDefault="00113E80" w:rsidP="00113E80">
      <w:permStart w:id="1760119091" w:edGrp="everyone"/>
      <w:r>
        <w:t>TYPE YOUR TEXT HERE</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77777777" w:rsidR="00113E80" w:rsidRDefault="00113E80" w:rsidP="00113E80">
      <w:permStart w:id="310472498" w:edGrp="everyone"/>
      <w:r>
        <w:t>TYPE YOUR TEXT HERE</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77777777" w:rsidR="00113E80" w:rsidRDefault="00113E80" w:rsidP="00113E80">
      <w:permStart w:id="2082210732" w:edGrp="everyone"/>
      <w:r>
        <w:t>TYPE YOUR TEXT HERE</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lastRenderedPageBreak/>
        <w:t>&lt;ESMA_QUESTION_CSDC_11&gt;</w:t>
      </w:r>
    </w:p>
    <w:p w14:paraId="7FE7A2BC" w14:textId="77777777" w:rsidR="00113E80" w:rsidRDefault="00113E80" w:rsidP="00113E80">
      <w:permStart w:id="121250484" w:edGrp="everyone"/>
      <w:r>
        <w:t>TYPE YOUR TEXT HERE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0EEE2452" w14:textId="77777777" w:rsidR="00113E80" w:rsidRDefault="00113E80" w:rsidP="00113E80">
      <w:permStart w:id="1944546360" w:edGrp="everyone"/>
      <w:r>
        <w:t>TYPE YOUR TEXT HERE</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2A7B2D66" w14:textId="77777777" w:rsidR="00113E80" w:rsidRDefault="00113E80" w:rsidP="00113E80">
      <w:permStart w:id="368068282" w:edGrp="everyone"/>
      <w:r>
        <w:t>TYPE YOUR TEXT HERE</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lastRenderedPageBreak/>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11F4DC22" w14:textId="77777777" w:rsidR="00113E80" w:rsidRDefault="00113E80" w:rsidP="00113E80">
      <w:permStart w:id="145703960" w:edGrp="everyone"/>
      <w:r w:rsidRPr="00782E09">
        <w:t>TYPE YOUR TEXT HERE</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77777777" w:rsidR="00113E80" w:rsidRDefault="00113E80" w:rsidP="00113E80">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0502D66B" w14:textId="77777777" w:rsidR="00113E80" w:rsidRDefault="00113E80" w:rsidP="00113E80">
      <w:permStart w:id="1657810091" w:edGrp="everyone"/>
      <w:r>
        <w:t>TYPE YOUR TEXT HERE</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lastRenderedPageBreak/>
        <w:t>Can you suggest any other means to achieve the same objective? If yes, please elaborate.</w:t>
      </w:r>
    </w:p>
    <w:p w14:paraId="2E441683" w14:textId="77777777" w:rsidR="00113E80" w:rsidRDefault="00113E80" w:rsidP="00113E80">
      <w:r>
        <w:t>&lt;ESMA_QUESTION_CSDC_18&gt;</w:t>
      </w:r>
    </w:p>
    <w:p w14:paraId="0520778F" w14:textId="77777777" w:rsidR="00113E80" w:rsidRDefault="00113E80" w:rsidP="00113E80">
      <w:permStart w:id="693599968" w:edGrp="everyone"/>
      <w:r>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5A609F2E" w14:textId="108ED3EC" w:rsidR="00113E80" w:rsidRPr="002B157F" w:rsidRDefault="006973EA" w:rsidP="00113E80">
      <w:permStart w:id="628694048" w:edGrp="everyone"/>
      <w:r w:rsidRPr="006973EA">
        <w:t xml:space="preserve">Yes </w:t>
      </w:r>
      <w:r w:rsidR="00A63D83">
        <w:t xml:space="preserve">Euronext </w:t>
      </w:r>
      <w:r w:rsidRPr="006973EA">
        <w:t>agree</w:t>
      </w:r>
      <w:r w:rsidR="00A63D83">
        <w:t>s</w:t>
      </w:r>
      <w:r w:rsidRPr="006973EA">
        <w:t xml:space="preserve"> with ESMA proposal. </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44E65FE9" w:rsidR="00113E80" w:rsidRDefault="002B157F" w:rsidP="00113E80">
      <w:permStart w:id="272843166" w:edGrp="everyone"/>
      <w:r w:rsidRPr="002B157F">
        <w:t xml:space="preserve">Yes </w:t>
      </w:r>
      <w:r w:rsidR="00A63D83">
        <w:t xml:space="preserve">Euronext </w:t>
      </w:r>
      <w:r w:rsidRPr="002B157F">
        <w:t>agree</w:t>
      </w:r>
      <w:r w:rsidR="00A63D83">
        <w:t>s</w:t>
      </w:r>
      <w:r w:rsidRPr="002B157F">
        <w:t xml:space="preserve"> with ESMA proposal. We would highlight that this change should not hamper the possibility </w:t>
      </w:r>
      <w:r w:rsidR="0091089D">
        <w:t>for</w:t>
      </w:r>
      <w:r w:rsidRPr="002B157F">
        <w:t xml:space="preserve"> market infrastructure</w:t>
      </w:r>
      <w:r w:rsidR="0091089D">
        <w:t>s</w:t>
      </w:r>
      <w:r w:rsidRPr="002B157F">
        <w:t xml:space="preserve"> to define different default options for certain types of transactions (please also refer to answer to Q22)</w:t>
      </w:r>
      <w:r w:rsidR="0091089D">
        <w:t>, for instance as currently allowed by the set-up of partial settlement functionality in the T2S system</w:t>
      </w:r>
      <w:r>
        <w:t>.</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49CEEDF7" w14:textId="77777777" w:rsidR="00113E80" w:rsidRDefault="00113E80" w:rsidP="00113E80">
      <w:permStart w:id="117865647" w:edGrp="everyone"/>
      <w:r>
        <w:lastRenderedPageBreak/>
        <w:t>TYPE YOUR TEXT HERE</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4F005203" w:rsidR="00113E80" w:rsidRPr="006973EA" w:rsidRDefault="006973EA" w:rsidP="006973EA">
      <w:pPr>
        <w:spacing w:after="160" w:line="278" w:lineRule="auto"/>
        <w:rPr>
          <w:rFonts w:ascii="Arial" w:eastAsia="Aptos" w:hAnsi="Arial" w:cs="Arial"/>
          <w:color w:val="auto"/>
          <w:kern w:val="2"/>
          <w:szCs w:val="22"/>
          <w14:ligatures w14:val="standardContextual"/>
        </w:rPr>
      </w:pPr>
      <w:permStart w:id="591729658" w:edGrp="everyone"/>
      <w:r w:rsidRPr="006973EA">
        <w:rPr>
          <w:rFonts w:ascii="Arial" w:eastAsia="Aptos" w:hAnsi="Arial" w:cs="Arial"/>
          <w:color w:val="auto"/>
          <w:kern w:val="2"/>
          <w:szCs w:val="22"/>
          <w14:ligatures w14:val="standardContextual"/>
        </w:rPr>
        <w:t>There could be multiple reasons to exclude certain types of settlement instructions/transactions from partial settlement (e.g. primary market transactions, corporate actions management, buy-in etc). In this regard we believe that each market infrastructure and participant should be able to exclude certain types of transactions.</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3C2E4663" w:rsidR="00113E80" w:rsidRDefault="006973EA" w:rsidP="00113E80">
      <w:permStart w:id="367345271" w:edGrp="everyone"/>
      <w:r w:rsidRPr="006973EA">
        <w:t>In our view it is not necessary to include an obligation for CSDs to facilitate the use of auto-collateralisation. For CSDs in T2S, auto-collateralisation is already available and the service is offered by the Central Banks (or Payment Banks) while CSDs only facilitates the processing of collateral transfers via the respective settlement systems.</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lastRenderedPageBreak/>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32AFB811" w14:textId="6AF6EB39" w:rsidR="00113E80" w:rsidRDefault="006973EA" w:rsidP="00113E80">
      <w:permStart w:id="1900937655" w:edGrp="everyone"/>
      <w:r w:rsidRPr="006973EA">
        <w:t>In our view it is not necessary to introduce an obligation to provide real-time gross settlement for minimum window of time of each business day or minimum number of batches. For T2S CSDs these features are already provided by the platform. For non-T2S CSDs this features should be set by the CSD in agreement with its participant.</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D9EB499" w14:textId="34D5E932" w:rsidR="00113E80" w:rsidRDefault="005A6AD8" w:rsidP="00113E80">
      <w:permStart w:id="151126903" w:edGrp="everyone"/>
      <w:r w:rsidRPr="005A6AD8">
        <w:t>Please refer to our answer to Q25.</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lastRenderedPageBreak/>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5A4397DC" w14:textId="77777777" w:rsidR="00113E80" w:rsidRDefault="00113E80" w:rsidP="00113E80">
      <w:permStart w:id="556666167" w:edGrp="everyone"/>
      <w:r>
        <w:t>TYPE YOUR TEXT HERE</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3DE58389" w:rsidR="00113E80" w:rsidRDefault="005A6AD8" w:rsidP="00113E80">
      <w:permStart w:id="219745450" w:edGrp="everyone"/>
      <w:r w:rsidRPr="005A6AD8">
        <w:t>We agree with ESMA’s approach to report participants in “relative terms” by amending Table 1 of Annex I of CDR 2018/1229 as this will better capture the impact of participants’ settlement fails on the performance of the settlement systems. However this change might have impacts on the processes CSDs put in place to calculate and produce reports required under article 14 of CDR 2018/1229. Therefore we recommend ESMA provides sufficient time for CSDs to implement  this change. However, the reason to maintain the reporting in “absolute terms” is not clear to us as we deem this less meaningful for monitoring settlement efficiency.</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lastRenderedPageBreak/>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7717B093" w14:textId="50E6BC11" w:rsidR="005A6AD8" w:rsidRPr="005A6AD8" w:rsidRDefault="005A6AD8" w:rsidP="005A6AD8">
      <w:permStart w:id="970873259" w:edGrp="everyone"/>
      <w:r w:rsidRPr="005A6AD8">
        <w:t>N</w:t>
      </w:r>
      <w:r w:rsidR="00954C6E">
        <w:t>o</w:t>
      </w:r>
      <w:r w:rsidRPr="005A6AD8">
        <w:t>. The production of reports under article 13 is based on automatic processing of data available in the settlement system. The retrieval of information related to the “root” causes of fails beyond “</w:t>
      </w:r>
      <w:r w:rsidRPr="005A6AD8">
        <w:rPr>
          <w:i/>
          <w:iCs/>
        </w:rPr>
        <w:t>lack of securities</w:t>
      </w:r>
      <w:r w:rsidRPr="005A6AD8">
        <w:t>” or “</w:t>
      </w:r>
      <w:r w:rsidRPr="005A6AD8">
        <w:rPr>
          <w:i/>
          <w:iCs/>
        </w:rPr>
        <w:t>lack of cash</w:t>
      </w:r>
      <w:r w:rsidRPr="005A6AD8">
        <w:t xml:space="preserve">” could not be implemented at this stage considering that there is no market standard in this respect and each player in the chain could have different interpretation, set up or arrangements with its own clients that would affect the collection of this data. </w:t>
      </w:r>
    </w:p>
    <w:p w14:paraId="668128E5" w14:textId="3E712BF4" w:rsidR="00113E80" w:rsidRDefault="005A6AD8" w:rsidP="00113E80">
      <w:r w:rsidRPr="005A6AD8">
        <w:t xml:space="preserve">At the moment information on “root causes” of the settlement fail could be collected only through ad hoc </w:t>
      </w:r>
      <w:r w:rsidR="0091089D">
        <w:t xml:space="preserve">investigation </w:t>
      </w:r>
      <w:r w:rsidRPr="005A6AD8">
        <w:t>and analysis performed by the CSDs with individual participant</w:t>
      </w:r>
      <w:r w:rsidR="0091089D">
        <w:t xml:space="preserve"> and,</w:t>
      </w:r>
      <w:r w:rsidRPr="005A6AD8">
        <w:t xml:space="preserve"> potentially</w:t>
      </w:r>
      <w:r w:rsidR="0091089D">
        <w:t>,</w:t>
      </w:r>
      <w:r w:rsidRPr="005A6AD8">
        <w:t xml:space="preserve"> the client of the participants. This analysis requires time and resources from both CSDs and participants and therefore should be triggered according to a risk based approach </w:t>
      </w:r>
      <w:r w:rsidR="0091089D">
        <w:t xml:space="preserve">as part </w:t>
      </w:r>
      <w:r w:rsidRPr="005A6AD8">
        <w:t>of the “working arrangements” with participants that each CSDs could adopt to improve settlement efficiency.</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77777777" w:rsidR="00113E80" w:rsidRDefault="00113E80" w:rsidP="00113E80">
      <w:permStart w:id="228340192" w:edGrp="everyone"/>
      <w:r>
        <w:t>TYPE YOUR TEXT HERE</w:t>
      </w:r>
    </w:p>
    <w:permEnd w:id="228340192"/>
    <w:p w14:paraId="731F3228" w14:textId="77777777" w:rsidR="00113E80" w:rsidRDefault="00113E80" w:rsidP="00113E80">
      <w:r>
        <w:lastRenderedPageBreak/>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7FBD1C76" w:rsidR="00113E80" w:rsidRDefault="005A774C" w:rsidP="00113E80">
      <w:permStart w:id="1495876337" w:edGrp="everyone"/>
      <w:r w:rsidRPr="005A774C">
        <w:t>In our view establishing “working arrangements” to collect information on the root cause of settlement fails could be a useful tool in specific situations and according to a risk based approach. As mentioned in the response under Q31, investigating the “root” causes of settlement fails requires timing and resources to CSDs and their participants and therefore the obligation under Article 13(2) should be read as these “working arrangements” should be put in place only where there is a real concern for settlement efficiency.</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7F8F692F" w:rsidR="00113E80" w:rsidRDefault="00A72BB5" w:rsidP="00113E80">
      <w:permStart w:id="641089610" w:edGrp="everyone"/>
      <w:r w:rsidRPr="00A72BB5">
        <w:t xml:space="preserve">We agree with ESMA’s proposal to report settlement fails per asset class. However this change might have an impact on the processes CSDs put in place to calculate and produce reports required under CDR 2018/1229. Therefore we recommend ESMA provides sufficient time for CSDs to implement  this change. </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77777777" w:rsidR="00113E80" w:rsidRDefault="00113E80" w:rsidP="00113E80">
      <w:permStart w:id="114362908" w:edGrp="everyone"/>
      <w:r>
        <w:t>TYPE YOUR TEXT HERE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0E7BC8E3" w14:textId="77777777" w:rsidR="00113E80" w:rsidRDefault="00113E80" w:rsidP="00113E80">
      <w:permStart w:id="1185494481" w:edGrp="everyone"/>
      <w:r>
        <w:t>TYPE YOUR TEXT HERE</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6E84343E" w14:textId="77777777" w:rsidR="00113E80" w:rsidRDefault="00113E80" w:rsidP="00113E80">
      <w:permStart w:id="409142589" w:edGrp="everyone"/>
      <w:r>
        <w:t>TYPE YOUR TEXT HERE</w:t>
      </w:r>
    </w:p>
    <w:permEnd w:id="409142589"/>
    <w:p w14:paraId="60D51D0A" w14:textId="77777777" w:rsidR="00113E80" w:rsidRDefault="00113E80" w:rsidP="00113E80">
      <w:r>
        <w:lastRenderedPageBreak/>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7F77CF68" w14:textId="63FE42CF" w:rsidR="00113E80" w:rsidRDefault="00A72BB5" w:rsidP="00113E80">
      <w:permStart w:id="2044474510" w:edGrp="everyone"/>
      <w:r w:rsidRPr="00A72BB5">
        <w:t>The storage and exchange of SSIs should be left to market standards set by the industry.</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4A4CB9D" w14:textId="77777777" w:rsidR="00113E80" w:rsidRDefault="00113E80" w:rsidP="00113E80">
      <w:permStart w:id="260911590" w:edGrp="everyone"/>
      <w:r>
        <w:t>TYPE YOUR TEXT HERE</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77777777" w:rsidR="00113E80" w:rsidRDefault="00113E80" w:rsidP="00113E80">
      <w:permStart w:id="610287984" w:edGrp="everyone"/>
      <w:r>
        <w:t>TYPE YOUR TEXT HERE</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4E58F412" w:rsidR="00113E80" w:rsidRDefault="00A72BB5" w:rsidP="00113E80">
      <w:permStart w:id="1084698351" w:edGrp="everyone"/>
      <w:r w:rsidRPr="00A72BB5">
        <w:t>Yes. We agree that the decision on if/how to use the PSAF and the PSET field should be left to industry standards. As regard the indication of the PSET for transactions executed on the market, participants should refer by default to the place of settlement defined by the relevant trading venue where the transaction is executed.</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77777777" w:rsidR="00113E80" w:rsidRDefault="00113E80" w:rsidP="00113E80">
      <w:permStart w:id="198186485" w:edGrp="everyone"/>
      <w:r>
        <w:t>TYPE YOUR TEXT HERE</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0D2A711C" w14:textId="148306F4" w:rsidR="00113E80" w:rsidRPr="00A72BB5" w:rsidRDefault="00A72BB5" w:rsidP="00113E80">
      <w:pPr>
        <w:rPr>
          <w:b/>
          <w:bCs/>
        </w:rPr>
      </w:pPr>
      <w:permStart w:id="1475766194" w:edGrp="everyone"/>
      <w:r w:rsidRPr="00A72BB5">
        <w:t xml:space="preserve">Yes, </w:t>
      </w:r>
      <w:r w:rsidR="0091089D">
        <w:t xml:space="preserve">Euronext </w:t>
      </w:r>
      <w:r w:rsidRPr="00A72BB5">
        <w:t>agree</w:t>
      </w:r>
      <w:r w:rsidR="0091089D">
        <w:t>s</w:t>
      </w:r>
      <w:r w:rsidRPr="00A72BB5">
        <w:t xml:space="preserve"> that transaction type should not become a mandatory matching field.</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76F2191A" w:rsidR="00113E80" w:rsidRDefault="00A72BB5" w:rsidP="00113E80">
      <w:permStart w:id="961432849" w:edGrp="everyone"/>
      <w:r w:rsidRPr="00A72BB5">
        <w:t xml:space="preserve">In our view there is no need to amend the lists </w:t>
      </w:r>
      <w:r w:rsidR="00D07D6B">
        <w:t xml:space="preserve">of types of transactions </w:t>
      </w:r>
      <w:r w:rsidRPr="00A72BB5">
        <w:t>included in Article 2 or Article 5</w:t>
      </w:r>
      <w:r>
        <w:t>.</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7C83A3DE" w14:textId="77777777" w:rsidR="00A72BB5" w:rsidRPr="00A72BB5" w:rsidRDefault="00A72BB5" w:rsidP="00A72BB5">
      <w:permStart w:id="904798664" w:edGrp="everyone"/>
      <w:r w:rsidRPr="00A72BB5">
        <w:t xml:space="preserve">The method of sending settlement instructions is part of the operating model adopted by each infrastructure and/or market actor according to business and organizational needs. We do not consider there is a preferred option between sending settlement instructions intra-day or in bulk at the end of day, market actors should be allowed to choose the option which minimise costs and operational risk whereas the focus should be on optimisation and automation of workflow from front to back offices.  </w:t>
      </w:r>
    </w:p>
    <w:p w14:paraId="613264C5" w14:textId="3844D5E6" w:rsidR="00A72BB5" w:rsidRDefault="00A72BB5" w:rsidP="00A72BB5">
      <w:r w:rsidRPr="00A72BB5">
        <w:t xml:space="preserve">In this regard, Euronext markets and </w:t>
      </w:r>
      <w:proofErr w:type="spellStart"/>
      <w:r w:rsidRPr="00A72BB5">
        <w:t>post-trading</w:t>
      </w:r>
      <w:proofErr w:type="spellEnd"/>
      <w:r w:rsidRPr="00A72BB5">
        <w:t xml:space="preserve"> infrastructures support a full STP (straight-to-process) operating model which allows trade flows executed on our trading venues and related settlement instructions to be input in the settlement systems in a timely manner, minimising operational risks (reconciliation, matching errors etc.).</w:t>
      </w:r>
      <w:r w:rsidR="00D07D6B">
        <w:t xml:space="preserve"> </w:t>
      </w:r>
      <w:r w:rsidRPr="00A72BB5">
        <w:t xml:space="preserve">This operating model reduces back-offices’ burdens for the benefit of all our clients and of settlement efficiency. </w:t>
      </w:r>
    </w:p>
    <w:p w14:paraId="69BCC2DE" w14:textId="7D9DE9E4" w:rsidR="008A5729" w:rsidRPr="00A72BB5" w:rsidRDefault="008A5729" w:rsidP="00A72BB5">
      <w:r>
        <w:t xml:space="preserve">In this context it should be highlighted that </w:t>
      </w:r>
      <w:r w:rsidR="0091089D">
        <w:t xml:space="preserve">CCP </w:t>
      </w:r>
      <w:r>
        <w:t xml:space="preserve">settlement instructions can be sent only </w:t>
      </w:r>
      <w:r w:rsidR="0091089D">
        <w:t xml:space="preserve">in bulk </w:t>
      </w:r>
      <w:r>
        <w:t xml:space="preserve">at the end of day to preserve the efficiencies of the </w:t>
      </w:r>
      <w:r w:rsidR="0091089D">
        <w:t>netting process</w:t>
      </w:r>
      <w:r>
        <w:t>.</w:t>
      </w:r>
    </w:p>
    <w:p w14:paraId="2126AB03" w14:textId="2E875BE7" w:rsidR="00C47941" w:rsidRDefault="00A72BB5" w:rsidP="00113E80">
      <w:r w:rsidRPr="00A72BB5">
        <w:t>In respect of OTC transactions flows, where processed are less automated, we welcome practices incentivising early input and early matching</w:t>
      </w:r>
      <w:r w:rsidR="00C47941" w:rsidRPr="00C47941">
        <w:rPr>
          <w:lang w:val="en-US"/>
        </w:rPr>
        <w:t>.</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252CAAFF" w14:textId="77777777" w:rsidR="00A72BB5" w:rsidRPr="00A72BB5" w:rsidRDefault="00A72BB5" w:rsidP="00A72BB5">
      <w:permStart w:id="355869798" w:edGrp="everyone"/>
      <w:r w:rsidRPr="00A72BB5">
        <w:t xml:space="preserve">The timing for sending settlement instructions is part of the operating model adopted by each infrastructure and/or market actor according to business and organizational needs. </w:t>
      </w:r>
    </w:p>
    <w:p w14:paraId="3DA8B029" w14:textId="745AF180" w:rsidR="00A72BB5" w:rsidRPr="00A72BB5" w:rsidRDefault="00A72BB5" w:rsidP="00A72BB5">
      <w:r w:rsidRPr="00A72BB5">
        <w:t xml:space="preserve">We do not consider appropriate to impose any deadline through a change in the settlement discipline regime. Market actors should be able to set their operational timetables taking into account different market practices and competitiveness factors. </w:t>
      </w:r>
    </w:p>
    <w:p w14:paraId="25CC1537" w14:textId="241292F1" w:rsidR="00C47941" w:rsidRPr="00C47941" w:rsidRDefault="00A72BB5" w:rsidP="00C47941">
      <w:r w:rsidRPr="00A72BB5">
        <w:t>In the contingency of the shortening of the settlement cycle to T+1 and to ensure a smooth migration, Euronext is contributing to the analysis of the Operational Timetable Workstream – under EU T+1 Governance – with the aim to converge towards open and transparent industry recommendations in this regard</w:t>
      </w:r>
      <w:r w:rsidR="00D07D6B">
        <w:t xml:space="preserve"> that will also cater for the interdependencies within the different processes (e.g. </w:t>
      </w:r>
      <w:r w:rsidR="00C47941" w:rsidRPr="00C47941">
        <w:t>deadline</w:t>
      </w:r>
      <w:r w:rsidR="00D07D6B">
        <w:t>s</w:t>
      </w:r>
      <w:r w:rsidR="00C47941" w:rsidRPr="00C47941">
        <w:t xml:space="preserve"> could vary depending on the currency and </w:t>
      </w:r>
      <w:r w:rsidR="00D07D6B">
        <w:t xml:space="preserve">related </w:t>
      </w:r>
      <w:r w:rsidR="00C47941" w:rsidRPr="00C47941">
        <w:t>payment system</w:t>
      </w:r>
      <w:r w:rsidR="00D07D6B">
        <w:t>s)</w:t>
      </w:r>
      <w:r w:rsidR="00C47941" w:rsidRPr="00C47941">
        <w:t>.</w:t>
      </w:r>
    </w:p>
    <w:p w14:paraId="7F9C3503" w14:textId="030134C7" w:rsidR="00C47941" w:rsidRDefault="00D07D6B" w:rsidP="00113E80">
      <w:r>
        <w:t>In this context extending deadlines for submission until late in the night would allow market actors to benefit of the possibility to settle already in the night on T.</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293886B8" w14:textId="77777777" w:rsidR="00A72BB5" w:rsidRPr="00A72BB5" w:rsidRDefault="00A72BB5" w:rsidP="00A72BB5">
      <w:permStart w:id="1531868113" w:edGrp="everyone"/>
      <w:r w:rsidRPr="00A72BB5">
        <w:t xml:space="preserve">CSDs’ operating schedule (comprising operating hours, settlement phases duration and cut-off times) should be left to the CSDs as this is part of their operating models defined according </w:t>
      </w:r>
      <w:r w:rsidRPr="00A72BB5">
        <w:lastRenderedPageBreak/>
        <w:t xml:space="preserve">to business and organisational needs and taking into consideration market and industry practices.  </w:t>
      </w:r>
    </w:p>
    <w:p w14:paraId="63FBC321" w14:textId="450E1152" w:rsidR="00113E80" w:rsidRDefault="00A72BB5" w:rsidP="00113E80">
      <w:r w:rsidRPr="00A72BB5">
        <w:t>In the contingency of the shortening of the settlement cycle to T+1 and to ensure a smooth migration, Euronext is contributing to the analysis of the Settlement and Operational Timetable Workstream</w:t>
      </w:r>
      <w:r w:rsidR="00D07D6B">
        <w:t>s</w:t>
      </w:r>
      <w:r w:rsidRPr="00A72BB5">
        <w:t xml:space="preserve"> – under EU T+1 Governance – with the aim to converge towards to open and transparent industry recommendations in this regard.</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0B0E5F9E" w14:textId="140FE970" w:rsidR="00A72BB5" w:rsidRPr="00A72BB5" w:rsidRDefault="00A72BB5" w:rsidP="00A72BB5">
      <w:permStart w:id="150763568" w:edGrp="everyone"/>
      <w:r w:rsidRPr="00A72BB5">
        <w:t>Please refer to answer under Q48. CSDs’ operating schedule (comprising operating hours, settlement phases duration and cut-off times) should be left to the CSDs as this is part of their operating models defined according to business and organisational needs</w:t>
      </w:r>
      <w:r w:rsidR="00A63D83">
        <w:t>,</w:t>
      </w:r>
      <w:r w:rsidRPr="00A72BB5">
        <w:t xml:space="preserve"> taking in consideration market and industry practices.  </w:t>
      </w:r>
    </w:p>
    <w:p w14:paraId="4176EA05" w14:textId="77777777" w:rsidR="00A72BB5" w:rsidRPr="00A72BB5" w:rsidRDefault="00A72BB5" w:rsidP="00A72BB5">
      <w:r w:rsidRPr="00A72BB5">
        <w:t xml:space="preserve">In this regard Euronext Securities current business schedule already accommodates trading and related </w:t>
      </w:r>
      <w:proofErr w:type="spellStart"/>
      <w:r w:rsidRPr="00A72BB5">
        <w:t>post-trading</w:t>
      </w:r>
      <w:proofErr w:type="spellEnd"/>
      <w:r w:rsidRPr="00A72BB5">
        <w:t xml:space="preserve"> activities until late in the evening.</w:t>
      </w:r>
    </w:p>
    <w:p w14:paraId="3C89DF12" w14:textId="2D02A22B" w:rsidR="00A72BB5" w:rsidRPr="00A72BB5" w:rsidRDefault="00A72BB5" w:rsidP="00A72BB5">
      <w:r w:rsidRPr="00A72BB5">
        <w:t>Across Europe there is already a substantial representation of trading venues that offer trading until late evening usually around 22:00 local time, notably to attract retail and foreign investors. Some trading venues also offer trading after 22:00.</w:t>
      </w:r>
      <w:r w:rsidR="00A63D83">
        <w:t xml:space="preserve"> C</w:t>
      </w:r>
      <w:r w:rsidRPr="00A72BB5">
        <w:t xml:space="preserve">onsidering the cut-off times already in place in Europe and market trends to have “24hours trading” Euronext post-trade infrastructures </w:t>
      </w:r>
      <w:r w:rsidR="00A63D83">
        <w:t xml:space="preserve">might need </w:t>
      </w:r>
      <w:r w:rsidRPr="00A72BB5">
        <w:t xml:space="preserve">to further extend cut-off times in the near future. </w:t>
      </w:r>
    </w:p>
    <w:p w14:paraId="103F7ADA" w14:textId="77777777" w:rsidR="00A72BB5" w:rsidRPr="00A72BB5" w:rsidRDefault="00A72BB5" w:rsidP="00A72BB5">
      <w:pPr>
        <w:rPr>
          <w:i/>
          <w:iCs/>
        </w:rPr>
      </w:pPr>
      <w:r w:rsidRPr="00A72BB5">
        <w:t xml:space="preserve">In the context of the migration to T+1, we support the conclusion outlined in the Industry TF report </w:t>
      </w:r>
      <w:r w:rsidRPr="00A72BB5">
        <w:rPr>
          <w:i/>
          <w:iCs/>
        </w:rPr>
        <w:t xml:space="preserve">“recommending maintaining the existing trading cut-offs, recognising that the current schedule aligns well with the operational needs of various market participants and is designed according to local market needs and proposing to further enhance the settlement process and accommodate late trading activities, introducing additional settlement batches or options and extend the existing settlement windows.” </w:t>
      </w:r>
    </w:p>
    <w:p w14:paraId="45CF7E70" w14:textId="5D43AE7F" w:rsidR="00113E80" w:rsidRPr="00782E09" w:rsidRDefault="008A5729" w:rsidP="00A72BB5">
      <w:r>
        <w:t>R</w:t>
      </w:r>
      <w:r w:rsidR="00A72BB5" w:rsidRPr="00A72BB5">
        <w:t xml:space="preserve">egarding settlement schedule in T2S, the current timetable should be accommodated to ensure that the NTS settlement cycle remains available to settle trades executed on T and sent by relevant actors in the chain to the settlement system late in evening (after 22:00) on </w:t>
      </w:r>
      <w:r w:rsidR="00A72BB5" w:rsidRPr="00A72BB5">
        <w:lastRenderedPageBreak/>
        <w:t>the same day, after key post-trade processes (</w:t>
      </w:r>
      <w:r>
        <w:t xml:space="preserve">CCP </w:t>
      </w:r>
      <w:r w:rsidR="00A72BB5" w:rsidRPr="00A72BB5">
        <w:t>netting) and back offices activities have been completed by market infrastructures, their clients and other actors in the chain</w:t>
      </w:r>
      <w:r>
        <w:t>.</w:t>
      </w:r>
      <w:r w:rsidR="00A63D83">
        <w:t xml:space="preserve"> </w:t>
      </w:r>
      <w:r>
        <w:t>The changes in schedule should allow to maintain the same level of efficiency in respect of the settlement instructions resulting from CCPs netting process</w:t>
      </w:r>
      <w:r w:rsidR="00A72BB5" w:rsidRPr="00A72BB5">
        <w:t xml:space="preserve">. This considering that the NTS prioritise settlement efficiency, leveraging the benefits of netting optimization and liquidity tools which are not available in the real time settlement cycle (RTS). </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022777CA" w14:textId="77777777" w:rsidR="00113E80" w:rsidRDefault="00113E80" w:rsidP="00113E80">
      <w:permStart w:id="457271116" w:edGrp="everyone"/>
      <w:r>
        <w:t>TYPE YOUR TEXT HERE</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77777777" w:rsidR="00113E80" w:rsidRDefault="00113E80" w:rsidP="00113E80">
      <w:permStart w:id="1535070435" w:edGrp="everyone"/>
      <w:r>
        <w:t>TYPE YOUR TEXT HERE</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lastRenderedPageBreak/>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77777777" w:rsidR="00113E80" w:rsidRDefault="00113E80" w:rsidP="00113E80">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lastRenderedPageBreak/>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even" r:id="rId19"/>
      <w:footerReference w:type="default" r:id="rId20"/>
      <w:footerReference w:type="first" r:id="rId21"/>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DF352" w14:textId="77777777" w:rsidR="00696010" w:rsidRDefault="00696010" w:rsidP="007E7997">
      <w:pPr>
        <w:spacing w:line="240" w:lineRule="auto"/>
      </w:pPr>
      <w:r>
        <w:separator/>
      </w:r>
    </w:p>
  </w:endnote>
  <w:endnote w:type="continuationSeparator" w:id="0">
    <w:p w14:paraId="3346B574" w14:textId="77777777" w:rsidR="00696010" w:rsidRDefault="00696010" w:rsidP="007E7997">
      <w:pPr>
        <w:spacing w:line="240" w:lineRule="auto"/>
      </w:pPr>
      <w:r>
        <w:continuationSeparator/>
      </w:r>
    </w:p>
  </w:endnote>
  <w:endnote w:type="continuationNotice" w:id="1">
    <w:p w14:paraId="7370F6B7" w14:textId="77777777" w:rsidR="00696010" w:rsidRDefault="00696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15BC" w14:textId="77777777" w:rsidR="005A6AD8" w:rsidRDefault="005A6AD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73A6" w14:textId="77777777" w:rsidR="005A6AD8" w:rsidRDefault="005A6A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9B196" w14:textId="77777777" w:rsidR="00696010" w:rsidRDefault="00696010" w:rsidP="007E7997">
      <w:pPr>
        <w:spacing w:line="240" w:lineRule="auto"/>
      </w:pPr>
      <w:r>
        <w:separator/>
      </w:r>
    </w:p>
  </w:footnote>
  <w:footnote w:type="continuationSeparator" w:id="0">
    <w:p w14:paraId="6FBA0117" w14:textId="77777777" w:rsidR="00696010" w:rsidRDefault="00696010" w:rsidP="007E7997">
      <w:pPr>
        <w:spacing w:line="240" w:lineRule="auto"/>
      </w:pPr>
      <w:r>
        <w:continuationSeparator/>
      </w:r>
    </w:p>
  </w:footnote>
  <w:footnote w:type="continuationNotice" w:id="1">
    <w:p w14:paraId="28B61664" w14:textId="77777777" w:rsidR="00696010" w:rsidRDefault="00696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Intestazione"/>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Intestazione"/>
    </w:pPr>
  </w:p>
  <w:p w14:paraId="76D78551" w14:textId="45227A06" w:rsidR="00AD0B10" w:rsidRDefault="00AD0B10" w:rsidP="00AD0B10">
    <w:pPr>
      <w:pStyle w:val="Intestazione"/>
    </w:pPr>
  </w:p>
  <w:p w14:paraId="56B00CEC" w14:textId="77777777" w:rsidR="00AD0B10" w:rsidRPr="0043139E" w:rsidRDefault="00AD0B10" w:rsidP="00AD0B10">
    <w:pPr>
      <w:pStyle w:val="Intestazione"/>
    </w:pPr>
  </w:p>
  <w:p w14:paraId="68227DE6" w14:textId="77777777" w:rsidR="00AD0B10" w:rsidRPr="0043139E" w:rsidRDefault="00AD0B10" w:rsidP="00AD0B10">
    <w:pPr>
      <w:pStyle w:val="Intestazione"/>
    </w:pPr>
  </w:p>
  <w:p w14:paraId="0E44DBD1" w14:textId="77777777" w:rsidR="00AD0B10" w:rsidRPr="0043139E" w:rsidRDefault="00AD0B10" w:rsidP="00AD0B10">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Intestazione"/>
    </w:pPr>
  </w:p>
  <w:p w14:paraId="706EF268" w14:textId="77777777" w:rsidR="00AD0B10" w:rsidRPr="0043139E" w:rsidRDefault="00AD0B10" w:rsidP="00AD0B10">
    <w:pPr>
      <w:pStyle w:val="Intestazione"/>
    </w:pPr>
  </w:p>
  <w:p w14:paraId="6B568202" w14:textId="77777777" w:rsidR="00AD0B10" w:rsidRPr="0043139E" w:rsidRDefault="00AD0B10" w:rsidP="00AD0B10">
    <w:pPr>
      <w:pStyle w:val="Intestazione"/>
    </w:pPr>
  </w:p>
  <w:p w14:paraId="70C66BCD" w14:textId="77777777" w:rsidR="00AD0B10" w:rsidRPr="0043139E" w:rsidRDefault="00AD0B10" w:rsidP="00AD0B10">
    <w:pPr>
      <w:pStyle w:val="Intestazione"/>
    </w:pPr>
  </w:p>
  <w:p w14:paraId="07229907" w14:textId="77777777" w:rsidR="00AD0B10" w:rsidRPr="0043139E" w:rsidRDefault="00AD0B10" w:rsidP="00AD0B10">
    <w:pPr>
      <w:pStyle w:val="Intestazione"/>
    </w:pP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Paragrafoelenco"/>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Titolo1"/>
      <w:lvlText w:val="%1"/>
      <w:lvlJc w:val="left"/>
      <w:pPr>
        <w:ind w:left="4686" w:hanging="432"/>
      </w:pPr>
    </w:lvl>
    <w:lvl w:ilvl="1">
      <w:start w:val="1"/>
      <w:numFmt w:val="decimal"/>
      <w:pStyle w:val="Titolo2"/>
      <w:lvlText w:val="%1.%2"/>
      <w:lvlJc w:val="left"/>
      <w:pPr>
        <w:ind w:left="8230"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D7B5A"/>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C1A"/>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7F"/>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A53"/>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AD8"/>
    <w:rsid w:val="005A6CA3"/>
    <w:rsid w:val="005A6F5C"/>
    <w:rsid w:val="005A774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2F69"/>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610"/>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10"/>
    <w:rsid w:val="006960E9"/>
    <w:rsid w:val="00696B02"/>
    <w:rsid w:val="006973EA"/>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314"/>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E09"/>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61BC"/>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5729"/>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276B"/>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89D"/>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4C6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0E5"/>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6EE2"/>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018"/>
    <w:rsid w:val="00A631B5"/>
    <w:rsid w:val="00A63D83"/>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2BB5"/>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941"/>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B"/>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2DB1"/>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7AB"/>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CDF"/>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2FD6"/>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0"/>
      </w:numPr>
      <w:ind w:left="792" w:hanging="432"/>
    </w:pPr>
    <w:rPr>
      <w:b/>
      <w:color w:val="00379F" w:themeColor="text1"/>
      <w:sz w:val="28"/>
    </w:rPr>
  </w:style>
  <w:style w:type="character" w:customStyle="1" w:styleId="Title1Char">
    <w:name w:val="Title 1 Char"/>
    <w:basedOn w:val="Carpredefinitoparagrafo"/>
    <w:link w:val="Title1"/>
    <w:rsid w:val="00F205B9"/>
    <w:rPr>
      <w:rFonts w:asciiTheme="majorHAnsi" w:hAnsiTheme="majorHAnsi" w:cstheme="majorHAnsi"/>
      <w:b/>
      <w:color w:val="00379F" w:themeColor="text1"/>
      <w:sz w:val="28"/>
      <w:szCs w:val="22"/>
      <w:lang w:val="pt-PT"/>
    </w:rPr>
  </w:style>
  <w:style w:type="paragraph" w:styleId="Paragrafoelenco">
    <w:name w:val="List Paragraph"/>
    <w:aliases w:val="Paragraphe EI,Paragraphe de liste1,EC"/>
    <w:basedOn w:val="Normale"/>
    <w:link w:val="ParagrafoelencoCarattere"/>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foelenco"/>
    <w:link w:val="Title3Char"/>
    <w:autoRedefine/>
    <w:rsid w:val="00F205B9"/>
    <w:pPr>
      <w:numPr>
        <w:ilvl w:val="3"/>
        <w:numId w:val="4"/>
      </w:numPr>
    </w:pPr>
  </w:style>
  <w:style w:type="character" w:customStyle="1" w:styleId="Title3Char">
    <w:name w:val="Title 3 Char"/>
    <w:basedOn w:val="Carpredefinitoparagrafo"/>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C5469A"/>
    <w:pPr>
      <w:tabs>
        <w:tab w:val="left" w:pos="567"/>
      </w:tabs>
      <w:ind w:hanging="360"/>
      <w:contextualSpacing/>
    </w:pPr>
    <w:rPr>
      <w:b/>
    </w:rPr>
  </w:style>
  <w:style w:type="character" w:customStyle="1" w:styleId="QuestionstyleChar">
    <w:name w:val="Question style Char"/>
    <w:basedOn w:val="Carpredefinitoparagrafo"/>
    <w:link w:val="Questionstyle"/>
    <w:rsid w:val="00C5469A"/>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unhideWhenUsed/>
    <w:qFormat/>
    <w:rsid w:val="007A1A9D"/>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rsid w:val="007A1A9D"/>
    <w:rPr>
      <w:color w:val="181818" w:themeColor="background1" w:themeShade="1A"/>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customStyle="1" w:styleId="ParagrafoelencoCarattere">
    <w:name w:val="Paragrafo elenco Carattere"/>
    <w:aliases w:val="Paragraphe EI Carattere,Paragraphe de liste1 Carattere,EC Carattere"/>
    <w:link w:val="Paragrafoelenco"/>
    <w:uiPriority w:val="34"/>
    <w:locked/>
    <w:rsid w:val="00EC6066"/>
    <w:rPr>
      <w:rFonts w:asciiTheme="majorHAnsi" w:hAnsiTheme="majorHAnsi" w:cstheme="majorHAnsi"/>
      <w:color w:val="181818" w:themeColor="background1" w:themeShade="1A"/>
      <w:sz w:val="22"/>
      <w:szCs w:val="22"/>
      <w:lang w:val="pt-PT"/>
    </w:rPr>
  </w:style>
  <w:style w:type="paragraph" w:styleId="Revision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e"/>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Carpredefinitoparagrafo"/>
    <w:rsid w:val="00061F32"/>
    <w:rPr>
      <w:rFonts w:ascii="Segoe UI" w:hAnsi="Segoe UI" w:cs="Segoe UI" w:hint="default"/>
      <w:sz w:val="18"/>
      <w:szCs w:val="18"/>
    </w:rPr>
  </w:style>
  <w:style w:type="character" w:customStyle="1" w:styleId="cf11">
    <w:name w:val="cf11"/>
    <w:basedOn w:val="Carpredefinitoparagrafo"/>
    <w:rsid w:val="00061F32"/>
    <w:rPr>
      <w:rFonts w:ascii="Segoe UI" w:hAnsi="Segoe UI" w:cs="Segoe UI" w:hint="default"/>
      <w:color w:val="333333"/>
      <w:sz w:val="18"/>
      <w:szCs w:val="18"/>
      <w:shd w:val="clear" w:color="auto" w:fill="FFFFFF"/>
    </w:rPr>
  </w:style>
  <w:style w:type="character" w:styleId="Menzione">
    <w:name w:val="Mention"/>
    <w:basedOn w:val="Carpredefinitoparagrafo"/>
    <w:uiPriority w:val="99"/>
    <w:unhideWhenUsed/>
    <w:rsid w:val="00251F26"/>
    <w:rPr>
      <w:color w:val="2B579A"/>
      <w:shd w:val="clear" w:color="auto" w:fill="E1DFDD"/>
    </w:rPr>
  </w:style>
  <w:style w:type="character" w:styleId="Testosegnaposto">
    <w:name w:val="Placeholder Text"/>
    <w:basedOn w:val="Carpredefinitoparagrafo"/>
    <w:uiPriority w:val="99"/>
    <w:semiHidden/>
    <w:rsid w:val="00635BCA"/>
    <w:rPr>
      <w:color w:val="808080"/>
    </w:rPr>
  </w:style>
  <w:style w:type="paragraph" w:customStyle="1" w:styleId="para">
    <w:name w:val="para"/>
    <w:basedOn w:val="Paragrafoelenco"/>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Carpredefinitoparagrafo"/>
    <w:link w:val="para"/>
    <w:rsid w:val="00641F03"/>
    <w:rPr>
      <w:bCs/>
      <w:iCs/>
      <w:color w:val="181818" w:themeColor="background1" w:themeShade="1A"/>
      <w:sz w:val="22"/>
      <w:lang w:val="en-GB"/>
    </w:rPr>
  </w:style>
  <w:style w:type="character" w:customStyle="1" w:styleId="normaltextrun">
    <w:name w:val="normaltextrun"/>
    <w:basedOn w:val="Carpredefinitoparagrafo"/>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37912633">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Testosegnaposto"/>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Testosegnaposto"/>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1A7941"/>
    <w:rsid w:val="002536E7"/>
    <w:rsid w:val="00254E75"/>
    <w:rsid w:val="0034145D"/>
    <w:rsid w:val="00372212"/>
    <w:rsid w:val="00435A53"/>
    <w:rsid w:val="004E4CF9"/>
    <w:rsid w:val="005139F4"/>
    <w:rsid w:val="005D66AB"/>
    <w:rsid w:val="006954E6"/>
    <w:rsid w:val="006D3543"/>
    <w:rsid w:val="00701E25"/>
    <w:rsid w:val="00813189"/>
    <w:rsid w:val="008222A0"/>
    <w:rsid w:val="00836D47"/>
    <w:rsid w:val="00983284"/>
    <w:rsid w:val="009B6B9C"/>
    <w:rsid w:val="009B6EE2"/>
    <w:rsid w:val="00B07345"/>
    <w:rsid w:val="00B22006"/>
    <w:rsid w:val="00B46CAE"/>
    <w:rsid w:val="00D52831"/>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307</Value>
      <Value>282</Value>
      <Value>9</Value>
      <Value>296</Value>
    </TaxCatchAll>
    <_dlc_DocId xmlns="d0fb0f98-34f9-4d57-9559-eb8efd17aa5e">ESMA74-2119945925-2205</_dlc_DocId>
    <_dlc_DocIdUrl xmlns="d0fb0f98-34f9-4d57-9559-eb8efd17aa5e">
      <Url>https://securitiesandmarketsauth.sharepoint.com/sites/sherpa-trdu/_layouts/15/DocIdRedir.aspx?ID=ESMA74-2119945925-2205</Url>
      <Description>ESMA74-2119945925-2205</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D02FA012-DAE9-4B61-B234-F7182427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4017</Words>
  <Characters>22901</Characters>
  <Application>Microsoft Office Word</Application>
  <DocSecurity>8</DocSecurity>
  <Lines>190</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Chiara Rossetti</cp:lastModifiedBy>
  <cp:revision>7</cp:revision>
  <cp:lastPrinted>2023-09-09T00:53:00Z</cp:lastPrinted>
  <dcterms:created xsi:type="dcterms:W3CDTF">2025-04-14T11:46:00Z</dcterms:created>
  <dcterms:modified xsi:type="dcterms:W3CDTF">2025-04-14T12:10:00Z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y fmtid="{D5CDD505-2E9C-101B-9397-08002B2CF9AE}" pid="16" name="MSIP_Label_ac0b9ce6-6e99-42a1-af95-429494370cbc_Enabled">
    <vt:lpwstr>true</vt:lpwstr>
  </property>
  <property fmtid="{D5CDD505-2E9C-101B-9397-08002B2CF9AE}" pid="17" name="MSIP_Label_ac0b9ce6-6e99-42a1-af95-429494370cbc_SetDate">
    <vt:lpwstr>2025-04-14T08:13:48Z</vt:lpwstr>
  </property>
  <property fmtid="{D5CDD505-2E9C-101B-9397-08002B2CF9AE}" pid="18" name="MSIP_Label_ac0b9ce6-6e99-42a1-af95-429494370cbc_Method">
    <vt:lpwstr>Standard</vt:lpwstr>
  </property>
  <property fmtid="{D5CDD505-2E9C-101B-9397-08002B2CF9AE}" pid="19" name="MSIP_Label_ac0b9ce6-6e99-42a1-af95-429494370cbc_Name">
    <vt:lpwstr>ac0b9ce6-6e99-42a1-af95-429494370cbc</vt:lpwstr>
  </property>
  <property fmtid="{D5CDD505-2E9C-101B-9397-08002B2CF9AE}" pid="20" name="MSIP_Label_ac0b9ce6-6e99-42a1-af95-429494370cbc_SiteId">
    <vt:lpwstr>315b1ee5-c224-498b-871e-c140611d6d07</vt:lpwstr>
  </property>
  <property fmtid="{D5CDD505-2E9C-101B-9397-08002B2CF9AE}" pid="21" name="MSIP_Label_ac0b9ce6-6e99-42a1-af95-429494370cbc_ActionId">
    <vt:lpwstr>1eaf7c8d-821f-4c63-92cb-913da9b8934c</vt:lpwstr>
  </property>
  <property fmtid="{D5CDD505-2E9C-101B-9397-08002B2CF9AE}" pid="22" name="MSIP_Label_ac0b9ce6-6e99-42a1-af95-429494370cbc_ContentBits">
    <vt:lpwstr>2</vt:lpwstr>
  </property>
  <property fmtid="{D5CDD505-2E9C-101B-9397-08002B2CF9AE}" pid="23" name="MSIP_Label_ac0b9ce6-6e99-42a1-af95-429494370cbc_Tag">
    <vt:lpwstr>10, 3, 0, 1</vt:lpwstr>
  </property>
</Properties>
</file>