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el"/>
          </w:pPr>
          <w:r>
            <w:t xml:space="preserve">Reply </w:t>
          </w:r>
          <w:r w:rsidR="00DD03DC">
            <w:t>F</w:t>
          </w:r>
          <w:r>
            <w:t>orm</w:t>
          </w:r>
        </w:p>
        <w:p w14:paraId="031F2108" w14:textId="42AAFBB0" w:rsidR="007E7997" w:rsidRPr="00C01571" w:rsidRDefault="00113E80" w:rsidP="00D77369">
          <w:pPr>
            <w:pStyle w:val="Untertitel"/>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6365D35B" w:rsidR="00E40D2C" w:rsidRPr="00557BD2" w:rsidRDefault="008F33F9" w:rsidP="00743CD9">
                <w:r>
                  <w:t>German Investment Funds Association</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4260AB8A" w:rsidR="00E40D2C" w:rsidRDefault="00CF6370"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0AA8C175" w:rsidR="00E40D2C" w:rsidRDefault="008F33F9"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64291B28" w:rsidR="00E40D2C" w:rsidRPr="00557BD2" w:rsidRDefault="008F33F9" w:rsidP="00743CD9">
                <w:r>
                  <w:t>Germany</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berschrift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38B718BA" w14:textId="5B429E33" w:rsidR="00CF6370" w:rsidRDefault="00CF6370" w:rsidP="00113E80">
      <w:permStart w:id="495002546" w:edGrp="everyone"/>
      <w:r w:rsidRPr="00CF6370">
        <w:t>We</w:t>
      </w:r>
      <w:r w:rsidR="007C5B13" w:rsidRPr="00975220">
        <w:rPr>
          <w:rStyle w:val="Funotenzeichen"/>
          <w:rFonts w:cs="Arial"/>
          <w:sz w:val="20"/>
        </w:rPr>
        <w:footnoteReference w:id="2"/>
      </w:r>
      <w:r w:rsidRPr="00CF6370">
        <w:t xml:space="preserve"> agree with ESMA’s proposal. German fund management companies acting on behalf of regulated funds (UCITS/AIFs) allocate and confirm predominantly securities transactions in real time and STP before the end of the trade day. The proposed time changes will have no significant impact of the allocation/confirmation process as our members have already implemented well advanced and auto-mated IT technology for the allocation/confirmation and settlement process. </w:t>
      </w:r>
    </w:p>
    <w:permEnd w:id="495002546"/>
    <w:p w14:paraId="4CCCDD62" w14:textId="39317089"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6CF4AAA8" w14:textId="77777777" w:rsidR="00CF6370" w:rsidRDefault="00CF6370" w:rsidP="00113E80">
      <w:permStart w:id="212869392" w:edGrp="everyone"/>
      <w:r w:rsidRPr="00CF6370">
        <w:t>We do not see any additional value to introduce a legal obligation for investment firms to notify their professional clients (e.g. asset managers) about the execution details of their orders as soon as these orders are fulfilled. Securities transactions are executed and confirmed on an automated basis in real time and are processed STP without any manual intervention, thereby enabling the German Buy-Side to fulfil the allocation/confirmation deadlines in the context of T+1 by the end of the trading day.</w:t>
      </w:r>
    </w:p>
    <w:permEnd w:id="212869392"/>
    <w:p w14:paraId="26E3DD7C" w14:textId="5E869AFC" w:rsidR="00113E80" w:rsidRDefault="00113E80" w:rsidP="00113E80">
      <w:r>
        <w:lastRenderedPageBreak/>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6845F2F5" w14:textId="77777777" w:rsidR="00CF6370" w:rsidRDefault="00CF6370" w:rsidP="00113E80">
      <w:permStart w:id="633560411" w:edGrp="everyone"/>
      <w:r w:rsidRPr="00CF6370">
        <w:t xml:space="preserve">Please see our answer to question 2. We do not see any additional value to consider a legal timeframe for professional clients. As mentioned above, all securities transactions are confirmed in real time. It is therefore a more pragmatic approach to ensure by all trading parties that allocations and confirmations are sent as ‘soon as practically possible’, but latest on the end-of-day deadline.  </w:t>
      </w:r>
    </w:p>
    <w:permEnd w:id="633560411"/>
    <w:p w14:paraId="02D5EFA9" w14:textId="65D645F0"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01B6E7EA" w14:textId="77777777" w:rsidR="00CF6370" w:rsidRDefault="00CF6370" w:rsidP="00113E80">
      <w:permStart w:id="953572439" w:edGrp="everyone"/>
      <w:r w:rsidRPr="00CF6370">
        <w:t xml:space="preserve">No, we see no additional value to further specify the term “close of business”. </w:t>
      </w:r>
    </w:p>
    <w:permEnd w:id="953572439"/>
    <w:p w14:paraId="63A4DA96" w14:textId="5950897A"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6068CC25" w14:textId="77777777" w:rsidR="00CF6370" w:rsidRDefault="00CF6370" w:rsidP="00113E80">
      <w:permStart w:id="2044342554" w:edGrp="everyone"/>
      <w:r w:rsidRPr="00CF6370">
        <w:t xml:space="preserve">No, we consider the ESMA approach in Art. 2 (2) and (3) CDR 2018/1229 as a pragmatic step forward to move to T+1 also for the allocation/confirmation process in Europe. </w:t>
      </w:r>
    </w:p>
    <w:permEnd w:id="2044342554"/>
    <w:p w14:paraId="40638694" w14:textId="3F314675"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1127E90A" w14:textId="77777777" w:rsidR="00CF6370" w:rsidRDefault="00CF6370" w:rsidP="00113E80">
      <w:permStart w:id="1632175159" w:edGrp="everyone"/>
      <w:r w:rsidRPr="00CF6370">
        <w:t>We have no further comments.</w:t>
      </w:r>
    </w:p>
    <w:permEnd w:id="1632175159"/>
    <w:p w14:paraId="3722C31D" w14:textId="7E8A0D29"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0EE95727" w14:textId="77777777" w:rsidR="00CF6370" w:rsidRDefault="00CF6370" w:rsidP="00113E80">
      <w:permStart w:id="710046495" w:edGrp="everyone"/>
      <w:r w:rsidRPr="00CF6370">
        <w:t xml:space="preserve">Yes, we agree to use electronic and machine-readable format to send written allocations via STP. However, in exceptional cases (e.g. outage, bug of a service provider) it should be further possible to send written allocation via fax/email as many business continuity management tools (BCM) require the usage of non-machine-readable formats only in such cases. </w:t>
      </w:r>
    </w:p>
    <w:permEnd w:id="710046495"/>
    <w:p w14:paraId="1E8BB4E4" w14:textId="2DB18934"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0476D901" w14:textId="489E0223" w:rsidR="00CF6370" w:rsidRDefault="00CF6370" w:rsidP="00113E80">
      <w:permStart w:id="1760119091" w:edGrp="everyone"/>
      <w:r w:rsidRPr="00CF6370">
        <w:t>Please see our answer to Q7. We do not agree with the proposal to set earlier deadlines for non-</w:t>
      </w:r>
      <w:r w:rsidR="008A5549" w:rsidRPr="00CF6370">
        <w:t>machine-readable</w:t>
      </w:r>
      <w:r w:rsidRPr="00CF6370">
        <w:t xml:space="preserve"> formats. </w:t>
      </w:r>
    </w:p>
    <w:permEnd w:id="1760119091"/>
    <w:p w14:paraId="34F6524B" w14:textId="72D585B1"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126DCE96" w14:textId="4BF08AAF" w:rsidR="00C507A3" w:rsidRDefault="00C507A3" w:rsidP="00113E80">
      <w:permStart w:id="310472498" w:edGrp="everyone"/>
      <w:r w:rsidRPr="00C507A3">
        <w:t>Please see our answer to Q7. We do not agree with the proposal to set earlier deadlines for non-</w:t>
      </w:r>
      <w:r w:rsidR="008A5549" w:rsidRPr="00C507A3">
        <w:t>machine-readable</w:t>
      </w:r>
      <w:r w:rsidRPr="00C507A3">
        <w:t xml:space="preserve"> formats. </w:t>
      </w:r>
    </w:p>
    <w:permEnd w:id="310472498"/>
    <w:p w14:paraId="286A443C" w14:textId="332E4DDC"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7E6083CD" w14:textId="77777777" w:rsidR="00CF6370" w:rsidRDefault="00CF6370" w:rsidP="00113E80">
      <w:permStart w:id="2082210732" w:edGrp="everyone"/>
      <w:r w:rsidRPr="00CF6370">
        <w:t xml:space="preserve">We have no comments. </w:t>
      </w:r>
    </w:p>
    <w:permEnd w:id="2082210732"/>
    <w:p w14:paraId="58AEA674" w14:textId="264D4BC5"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0846330E" w14:textId="77777777" w:rsidR="00CF6370" w:rsidRDefault="00CF6370" w:rsidP="00113E80">
      <w:permStart w:id="121250484" w:edGrp="everyone"/>
      <w:r w:rsidRPr="00CF6370">
        <w:t xml:space="preserve">No, please see our comments to Q7. </w:t>
      </w:r>
    </w:p>
    <w:permEnd w:id="121250484"/>
    <w:p w14:paraId="745B030D" w14:textId="1078E06B"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7CDA27B7" w14:textId="0027F9FC" w:rsidR="00CF6370" w:rsidRDefault="00CF6370" w:rsidP="00113E80">
      <w:permStart w:id="1944546360" w:edGrp="everyone"/>
      <w:r w:rsidRPr="00CF6370">
        <w:lastRenderedPageBreak/>
        <w:t xml:space="preserve">Please see our answer to Q7. In exceptional cases (e.g. outage, technical issues at a service provider) it should be further possible to send written allocation via fax/email as many business continuity management tools (BCM) require the usage of non-machine-readable formats only in such cases. Therefore, such exceptional cases should also be covered within Art. 2 of CDR 2018/1229. </w:t>
      </w:r>
    </w:p>
    <w:permEnd w:id="1944546360"/>
    <w:p w14:paraId="60F41B74" w14:textId="37095A4E"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430F99A0" w14:textId="77777777" w:rsidR="00CF6370" w:rsidRDefault="00CF6370" w:rsidP="00CF6370">
      <w:permStart w:id="368068282" w:edGrp="everyone"/>
      <w:r>
        <w:t xml:space="preserve">Since 2002, we have strongly advocate for automation in the financial market based on ISO standards, in particular the use of ISO identification numbers and the usage along the whole value chain of the financial industry, such as ISO 15022 and 20022. </w:t>
      </w:r>
    </w:p>
    <w:p w14:paraId="48855D5A" w14:textId="77777777" w:rsidR="00CF6370" w:rsidRDefault="00CF6370" w:rsidP="00CF6370"/>
    <w:p w14:paraId="3F5B1173" w14:textId="4031C425" w:rsidR="00CF6370" w:rsidRDefault="00CF6370" w:rsidP="00CF6370">
      <w:r>
        <w:t xml:space="preserve">German investment fund management companies are not directly involved in the value chain of clearing and settlement of securities transactions. They instruct the custodians of the relevant investment funds to match and settle securities (e.g. equity, bonds, ETFs, fund units) belonging to such investment portfolios. The custodians have a direct access with the CSDs. Investment fund management companies must rely on the information obtained by the custodians </w:t>
      </w:r>
      <w:proofErr w:type="gramStart"/>
      <w:r>
        <w:t>in order to</w:t>
      </w:r>
      <w:proofErr w:type="gramEnd"/>
      <w:r>
        <w:t xml:space="preserve"> react in cases of settlement fails. The (fund) custodians must ensure that all relevant settlement information needs to be sent as fast as possible to the fund management companies. This will enable the investment fund management companies to solve all discrepancies for unsettled and failing trades where a decision is required by the custodians from the investment managers. A fast transformation of settlement information from the fund custodian to the asset manager is of utmost importance if the settlement cycle will be shortened to T+1.</w:t>
      </w:r>
    </w:p>
    <w:p w14:paraId="23B934C2" w14:textId="77777777" w:rsidR="00CF6370" w:rsidRDefault="00CF6370" w:rsidP="00CF6370"/>
    <w:p w14:paraId="1329B100" w14:textId="77777777" w:rsidR="00CF6370" w:rsidRDefault="00CF6370" w:rsidP="00CF6370">
      <w:r>
        <w:t xml:space="preserve">The usage and adaptation rate of ISO 20022 for securities transaction within the financial community have made little progress during the last years compared to payments and fund transactions. Most of the direct participants (e.g. (fund) custodians) of a CSD use today only </w:t>
      </w:r>
      <w:r>
        <w:lastRenderedPageBreak/>
        <w:t>MT securities transactions messages based on ISO 15022 to communicate with their indirect clients (e.g. Asset manager) which runs very smooth. Therefore, as mentioned above, our members use in the settlement value chain only MT messages based in ISO 15022.</w:t>
      </w:r>
    </w:p>
    <w:p w14:paraId="4177FB28" w14:textId="77777777" w:rsidR="00CF6370" w:rsidRDefault="00CF6370" w:rsidP="00CF6370"/>
    <w:p w14:paraId="10484F97" w14:textId="1E88B488" w:rsidR="00CF6370" w:rsidRDefault="00CF6370" w:rsidP="00113E80">
      <w:r>
        <w:t xml:space="preserve">The usage of ISO 20022 requires deeper analysis to establish its relevance and </w:t>
      </w:r>
      <w:proofErr w:type="gramStart"/>
      <w:r>
        <w:t>feasibility</w:t>
      </w:r>
      <w:proofErr w:type="gramEnd"/>
      <w:r>
        <w:t xml:space="preserve"> and it should be recognized that the adoption of ISO 20022, beyond existing (regulatory reporting and fund unit transaction) mandates, will require a longer lead-time than the timeframe to implement T+1 until October 2027. Since settlement instructions have already today a high rate of STP and are typically in ISO 15022 format we therefore see currently no value to move the securities transaction to the ISO 20022 standard in the context of T+1. This view is also supported by the EU Industry Task Force (please compare p. 19). </w:t>
      </w:r>
    </w:p>
    <w:permEnd w:id="368068282"/>
    <w:p w14:paraId="52896C3C" w14:textId="7CE5A06C"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12182863" w14:textId="77777777" w:rsidR="00CF6370" w:rsidRDefault="00CF6370" w:rsidP="00113E80">
      <w:permStart w:id="1359430245" w:edGrp="everyone"/>
      <w:r w:rsidRPr="00CF6370">
        <w:t>Please see our answer to Q14.</w:t>
      </w:r>
    </w:p>
    <w:permEnd w:id="1359430245"/>
    <w:p w14:paraId="7CC9348F" w14:textId="6FAB1A2D"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0E872C29" w14:textId="77777777" w:rsidR="00CF6370" w:rsidRDefault="00CF6370" w:rsidP="00113E80">
      <w:permStart w:id="145703960" w:edGrp="everyone"/>
      <w:r w:rsidRPr="00CF6370">
        <w:t>We have no comments.</w:t>
      </w:r>
    </w:p>
    <w:permEnd w:id="145703960"/>
    <w:p w14:paraId="79ADD07A" w14:textId="64B4FE28"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lastRenderedPageBreak/>
        <w:t>&lt;ESMA_QUESTION_CSDC_16&gt;</w:t>
      </w:r>
    </w:p>
    <w:p w14:paraId="1D3ED61D" w14:textId="77777777" w:rsidR="00C507A3" w:rsidRDefault="00C507A3" w:rsidP="00113E80">
      <w:permStart w:id="1663978526" w:edGrp="everyone"/>
      <w:r w:rsidRPr="00C507A3">
        <w:t>We have no comments.</w:t>
      </w:r>
    </w:p>
    <w:permEnd w:id="1663978526"/>
    <w:p w14:paraId="6AFF20B1" w14:textId="6B830AB6"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49F61BC1" w14:textId="7379B103" w:rsidR="00C507A3" w:rsidRDefault="00C507A3" w:rsidP="00113E80">
      <w:permStart w:id="1657810091" w:edGrp="everyone"/>
      <w:r w:rsidRPr="00C507A3">
        <w:t xml:space="preserve">Yes, we strongly agree with the proposal that investment firms (brokers) should be regulatory required to collect the necessary data to settle a trade from professional clients (e.g. asset manager) during their onboarding phase. During this phase, investment firms should also be obliged to set up all-new investment funds and segments with the fund management company with the relevant settlement in-formation (e.g. SSIs etc). Furthermore, investment firms should be legally mandated to keep the relevant static data for settlement up to date. Such measures will significantly improve the settlement efficiency with the value chain. </w:t>
      </w:r>
    </w:p>
    <w:permEnd w:id="1657810091"/>
    <w:p w14:paraId="58E885CF" w14:textId="5A60ADBD"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7B39CAC0" w14:textId="77777777" w:rsidR="00C507A3" w:rsidRDefault="00C507A3" w:rsidP="00113E80">
      <w:permStart w:id="693599968" w:edGrp="everyone"/>
      <w:r w:rsidRPr="00C507A3">
        <w:t xml:space="preserve">Please see our answer to Q17. There are no other options available. </w:t>
      </w:r>
    </w:p>
    <w:permEnd w:id="693599968"/>
    <w:p w14:paraId="499765DE" w14:textId="26894571"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659C68F5" w14:textId="37402A18" w:rsidR="00C507A3" w:rsidRDefault="00C507A3" w:rsidP="00113E80">
      <w:permStart w:id="628694048" w:edGrp="everyone"/>
      <w:r w:rsidRPr="00C507A3">
        <w:t xml:space="preserve">Yes, we agree that CSDs should offer their market participants (e.g. Buy-Side) partial settlement as this will also contribute to improve settlement efficiency. As soon as all EU-CSDs will offer partial settlement, direct participants of CSDs, e.g. fund custodians, should also be encouraged to provide partial settlement to the Buy-Side enabling them to settle more matched trades as soon as practicable possible. </w:t>
      </w:r>
    </w:p>
    <w:permEnd w:id="628694048"/>
    <w:p w14:paraId="47C78033" w14:textId="00BCC9F5"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2E477C6A" w14:textId="77777777" w:rsidR="00C507A3" w:rsidRDefault="00C507A3" w:rsidP="00113E80">
      <w:permStart w:id="272843166" w:edGrp="everyone"/>
      <w:r w:rsidRPr="00C507A3">
        <w:t xml:space="preserve">Yes, we agree to delete Article 12 of CDR 2018/1229. </w:t>
      </w:r>
    </w:p>
    <w:permEnd w:id="272843166"/>
    <w:p w14:paraId="17D7BC3A" w14:textId="68FC3343"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65757591" w14:textId="77777777" w:rsidR="00C507A3" w:rsidRDefault="00C507A3" w:rsidP="00113E80">
      <w:permStart w:id="117865647" w:edGrp="everyone"/>
      <w:r w:rsidRPr="00C507A3">
        <w:t>We have no comments.</w:t>
      </w:r>
    </w:p>
    <w:permEnd w:id="117865647"/>
    <w:p w14:paraId="228C028F" w14:textId="4DA24673"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29FC17C6" w14:textId="77777777" w:rsidR="00C507A3" w:rsidRDefault="00C507A3" w:rsidP="00113E80">
      <w:permStart w:id="591729658" w:edGrp="everyone"/>
      <w:r w:rsidRPr="00C507A3">
        <w:lastRenderedPageBreak/>
        <w:t>We have no comments.</w:t>
      </w:r>
    </w:p>
    <w:permEnd w:id="591729658"/>
    <w:p w14:paraId="796EAD16" w14:textId="158BA9C1"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53E969CF" w14:textId="77777777" w:rsidR="00C507A3" w:rsidRDefault="00C507A3" w:rsidP="00113E80">
      <w:permStart w:id="367345271" w:edGrp="everyone"/>
      <w:r w:rsidRPr="00C507A3">
        <w:t>We have no comments.</w:t>
      </w:r>
    </w:p>
    <w:permEnd w:id="367345271"/>
    <w:p w14:paraId="798DB0C5" w14:textId="594F57D5"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020F0C0F" w14:textId="77777777" w:rsidR="00C507A3" w:rsidRDefault="00C507A3" w:rsidP="00113E80">
      <w:permStart w:id="1759915737" w:edGrp="everyone"/>
      <w:r w:rsidRPr="00C507A3">
        <w:t>We have no comments.</w:t>
      </w:r>
    </w:p>
    <w:permEnd w:id="1759915737"/>
    <w:p w14:paraId="5797DE5C" w14:textId="109D6A98"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15E24B46" w14:textId="77777777" w:rsidR="00C507A3" w:rsidRDefault="00C507A3" w:rsidP="00113E80">
      <w:permStart w:id="1900937655" w:edGrp="everyone"/>
      <w:r w:rsidRPr="00C507A3">
        <w:lastRenderedPageBreak/>
        <w:t xml:space="preserve">Yes, EU-CSDs should offer real-time gross settlement during the day. This will also help the Buy-Side to identify a potential settlement fail earlier and therefore resolve it sooner. </w:t>
      </w:r>
    </w:p>
    <w:permEnd w:id="1900937655"/>
    <w:p w14:paraId="1A353DF1" w14:textId="33D5386C"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5EFD089D" w14:textId="77777777" w:rsidR="00C507A3" w:rsidRDefault="00C507A3" w:rsidP="00113E80">
      <w:permStart w:id="151126903" w:edGrp="everyone"/>
      <w:r w:rsidRPr="00C507A3">
        <w:t>We have no comments.</w:t>
      </w:r>
    </w:p>
    <w:permEnd w:id="151126903"/>
    <w:p w14:paraId="1C830BCE" w14:textId="1A1627AE"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244094E5" w14:textId="77777777" w:rsidR="00C507A3" w:rsidRDefault="00C507A3" w:rsidP="00113E80">
      <w:permStart w:id="1363037524" w:edGrp="everyone"/>
      <w:r w:rsidRPr="00C507A3">
        <w:t xml:space="preserve">We have no comments. </w:t>
      </w:r>
    </w:p>
    <w:permEnd w:id="1363037524"/>
    <w:p w14:paraId="2D842D79" w14:textId="4C5CEEC3"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7C782536" w14:textId="77777777" w:rsidR="00C507A3" w:rsidRDefault="00C507A3" w:rsidP="00113E80">
      <w:permStart w:id="556666167" w:edGrp="everyone"/>
      <w:r w:rsidRPr="00C507A3">
        <w:t xml:space="preserve">We have no comments. </w:t>
      </w:r>
    </w:p>
    <w:permEnd w:id="556666167"/>
    <w:p w14:paraId="6E25C569" w14:textId="7BDA3034"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09B91F7" w14:textId="77777777" w:rsidR="00C507A3" w:rsidRDefault="00C507A3" w:rsidP="00113E80">
      <w:permStart w:id="219745450" w:edGrp="everyone"/>
      <w:r w:rsidRPr="00C507A3">
        <w:t xml:space="preserve">We have no comments. </w:t>
      </w:r>
    </w:p>
    <w:permEnd w:id="219745450"/>
    <w:p w14:paraId="7F5E65F3" w14:textId="24B220A8"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74860EEE" w14:textId="77777777" w:rsidR="00C507A3" w:rsidRDefault="00C507A3" w:rsidP="00113E80">
      <w:permStart w:id="1283796359" w:edGrp="everyone"/>
      <w:r w:rsidRPr="00C507A3">
        <w:t xml:space="preserve">We have no comments. </w:t>
      </w:r>
    </w:p>
    <w:permEnd w:id="1283796359"/>
    <w:p w14:paraId="4282D8EA" w14:textId="005268AB"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ACA1B2D" w14:textId="622082BE" w:rsidR="00C507A3" w:rsidRDefault="00C507A3" w:rsidP="00113E80">
      <w:permStart w:id="970873259" w:edGrp="everyone"/>
      <w:r w:rsidRPr="00C507A3">
        <w:t xml:space="preserve">Yes, we agree that direct participants of a CSD (e.g. fund custodians) should be required to provide all reasons for settlement fails at their level which cannot be made transparent by the CSD. Buy-Side firms are not a direct member of a CSD. Therefore, the responsibility to provide information on settlement fails should apply only to the fund custodians of the relevant investment funds (UCITS/AIFs). </w:t>
      </w:r>
    </w:p>
    <w:permEnd w:id="970873259"/>
    <w:p w14:paraId="040AD67A" w14:textId="4345E0B3"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48E9DC0A" w14:textId="1444A0F2" w:rsidR="00C507A3" w:rsidRDefault="00C507A3" w:rsidP="00C507A3">
      <w:permStart w:id="228340192" w:edGrp="everyone"/>
      <w:r>
        <w:t>According to our observations the main reason for settlement fails are securities not made available by the Sell-Side or instructions that are sent too late to the markets or problems with the settlement instructions (SSIs).</w:t>
      </w:r>
    </w:p>
    <w:p w14:paraId="4EAB3895" w14:textId="77777777" w:rsidR="00C507A3" w:rsidRDefault="00C507A3" w:rsidP="00C507A3"/>
    <w:p w14:paraId="65413C16" w14:textId="77777777" w:rsidR="00C507A3" w:rsidRDefault="00C507A3" w:rsidP="00113E80">
      <w:r>
        <w:t xml:space="preserve">Furthermore, the introduction of the CSDR cash penalty system has increased the operational burden for the Buy-Side firms as they </w:t>
      </w:r>
      <w:proofErr w:type="gramStart"/>
      <w:r>
        <w:t>have to</w:t>
      </w:r>
      <w:proofErr w:type="gramEnd"/>
      <w:r>
        <w:t xml:space="preserve"> monitor every penalty of a failed trade of an investment fund without any additional value for the settlement efficiency. German asset managers are generally re-sponsible only for a very small fraction of settlement fails and are therefore able to be a net receiver when it comes to the CSDR cash penalties.</w:t>
      </w:r>
    </w:p>
    <w:permEnd w:id="228340192"/>
    <w:p w14:paraId="731F3228" w14:textId="279048AF"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00584C90" w14:textId="77777777" w:rsidR="00C507A3" w:rsidRDefault="00C507A3" w:rsidP="00113E80">
      <w:permStart w:id="1495876337" w:edGrp="everyone"/>
      <w:r w:rsidRPr="00C507A3">
        <w:t>We have no comments.</w:t>
      </w:r>
    </w:p>
    <w:permEnd w:id="1495876337"/>
    <w:p w14:paraId="2635252C" w14:textId="351BA366"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1189807" w14:textId="77777777" w:rsidR="00C507A3" w:rsidRDefault="00C507A3" w:rsidP="00C507A3">
      <w:permStart w:id="641089610" w:edGrp="everyone"/>
      <w:r>
        <w:t>We generally agree with the proposed additional data fields. However, we think that the market (e.g. Buy-Side-firms) would benefit from more granular data than is currently provided in the ESMA TRV reports. Within asset classes, there could be further breakdowns by asset types, particularly on ETF fails. Also, getting information whether fails were caused by late matching or late settlement.</w:t>
      </w:r>
    </w:p>
    <w:p w14:paraId="178D0C54" w14:textId="77777777" w:rsidR="00C507A3" w:rsidRDefault="00C507A3" w:rsidP="00C507A3"/>
    <w:p w14:paraId="1399E2A7" w14:textId="77777777" w:rsidR="00C507A3" w:rsidRDefault="00C507A3" w:rsidP="00113E80">
      <w:r>
        <w:t xml:space="preserve">Furthermore, it could be more appropriate if CSD submit more additional data to ESMA who would be </w:t>
      </w:r>
      <w:proofErr w:type="gramStart"/>
      <w:r>
        <w:t>in a position</w:t>
      </w:r>
      <w:proofErr w:type="gramEnd"/>
      <w:r>
        <w:t xml:space="preserve"> to aggregate and publish more relevant data to the market. </w:t>
      </w:r>
    </w:p>
    <w:permEnd w:id="641089610"/>
    <w:p w14:paraId="040B68F4" w14:textId="47E4122B"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583D8243" w14:textId="77777777" w:rsidR="00C507A3" w:rsidRDefault="00C507A3" w:rsidP="00C507A3">
      <w:permStart w:id="497168460" w:edGrp="everyone"/>
      <w:r>
        <w:t>We generally agree with the proposed additional data fields. However, we think that the market (e.g. Buy-Side-firms) would benefit from more granular data than is currently provided in the ESMA TRV reports. Within asset classes, there could be further breakdowns by asset types, particularly on ETF fails. Also, getting information whether fails were caused by late matching or late settlement.</w:t>
      </w:r>
    </w:p>
    <w:p w14:paraId="4ABB2958" w14:textId="77777777" w:rsidR="00C507A3" w:rsidRDefault="00C507A3" w:rsidP="00C507A3"/>
    <w:p w14:paraId="6EBD70B5" w14:textId="77777777" w:rsidR="00C507A3" w:rsidRDefault="00C507A3" w:rsidP="00113E80">
      <w:r>
        <w:t xml:space="preserve">Furthermore, it could be more appropriate if CSD submit more additional data to ESMA who would be </w:t>
      </w:r>
      <w:proofErr w:type="gramStart"/>
      <w:r>
        <w:t>in a position</w:t>
      </w:r>
      <w:proofErr w:type="gramEnd"/>
      <w:r>
        <w:t xml:space="preserve"> to aggregate and publish more relevant data to the market. </w:t>
      </w:r>
    </w:p>
    <w:permEnd w:id="497168460"/>
    <w:p w14:paraId="26767BA7" w14:textId="4154D6B3"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lastRenderedPageBreak/>
        <w:t>&lt;ESMA_QUESTION_CSDC_36&gt;</w:t>
      </w:r>
    </w:p>
    <w:p w14:paraId="505F5E99" w14:textId="77777777" w:rsidR="00C507A3" w:rsidRDefault="00C507A3" w:rsidP="00113E80">
      <w:permStart w:id="114362908" w:edGrp="everyone"/>
      <w:r w:rsidRPr="00C507A3">
        <w:t>We have no comments.</w:t>
      </w:r>
    </w:p>
    <w:permEnd w:id="114362908"/>
    <w:p w14:paraId="70E7604E" w14:textId="62C23B07"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462AE3CF" w14:textId="1F6AE002" w:rsidR="00C507A3" w:rsidRDefault="00C507A3" w:rsidP="00113E80">
      <w:permStart w:id="1185494481" w:edGrp="everyone"/>
      <w:r w:rsidRPr="00C507A3">
        <w:t xml:space="preserve">We strongly disagree to mandatory introduce an EU wide UTI which should be used within the MT messages. While industry adoption of an UTI may facilitate prompt identification and resolution of mismatches, this step should not be considered as pre-requisite for moving to T+1. German fund management companies and (external) asset manager have their own IDs within their settlement IT systems </w:t>
      </w:r>
      <w:proofErr w:type="gramStart"/>
      <w:r w:rsidRPr="00C507A3">
        <w:t>in order to</w:t>
      </w:r>
      <w:proofErr w:type="gramEnd"/>
      <w:r w:rsidRPr="00C507A3">
        <w:t xml:space="preserve"> identify their instructions within the settlement value chain. </w:t>
      </w:r>
    </w:p>
    <w:permEnd w:id="1185494481"/>
    <w:p w14:paraId="3DD66736" w14:textId="43A5AEAC"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019A6E1B" w14:textId="77777777" w:rsidR="00C507A3" w:rsidRDefault="00C507A3" w:rsidP="00113E80">
      <w:permStart w:id="409142589" w:edGrp="everyone"/>
      <w:r w:rsidRPr="00C507A3">
        <w:t>Please see our comments to Q37.</w:t>
      </w:r>
    </w:p>
    <w:permEnd w:id="409142589"/>
    <w:p w14:paraId="60D51D0A" w14:textId="200BD942"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lastRenderedPageBreak/>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3859B3FD" w14:textId="77777777" w:rsidR="00C507A3" w:rsidRDefault="00C507A3" w:rsidP="00113E80">
      <w:permStart w:id="2044474510" w:edGrp="everyone"/>
      <w:r w:rsidRPr="00C507A3">
        <w:t xml:space="preserve">The storage and exchange of SSIs should be left to the industry via further developments of market standards. All market participants within the settlement chain should be encouraged to use to the ex-tent possible SSIs databases. Market participants (broker/dealer, custodians) need also ensure that SSIs are kept up to date during settlement process. </w:t>
      </w:r>
    </w:p>
    <w:permEnd w:id="2044474510"/>
    <w:p w14:paraId="325CCC6E" w14:textId="056CC1F6"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22BCF134" w14:textId="77777777" w:rsidR="00C507A3" w:rsidRDefault="00C507A3" w:rsidP="00113E80">
      <w:permStart w:id="260911590" w:edGrp="everyone"/>
      <w:r w:rsidRPr="00C507A3">
        <w:t xml:space="preserve">We have no comments. </w:t>
      </w:r>
    </w:p>
    <w:permEnd w:id="260911590"/>
    <w:p w14:paraId="4123F35E" w14:textId="5BBAA79C"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2CE2ACF2" w14:textId="2D9A9C4C" w:rsidR="00C507A3" w:rsidRPr="00C507A3" w:rsidRDefault="00C507A3" w:rsidP="00C507A3">
      <w:permStart w:id="610287984" w:edGrp="everyone"/>
      <w:r w:rsidRPr="00C507A3">
        <w:t xml:space="preserve">Yes, we agree that the PSET should not be made a regulatory data field. Within the SWIFT-MT messages, the PSET/PSAF are already today mandatory data points. The development of such data fields should be left to the industry as it is already today the case within the SWIFT community. The SMPG develops market practise for all relevant securities business cases. </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lastRenderedPageBreak/>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54A9B90B" w14:textId="77777777" w:rsidR="00C507A3" w:rsidRPr="00C507A3" w:rsidRDefault="00C507A3" w:rsidP="00C507A3">
      <w:permStart w:id="1084698351" w:edGrp="everyone"/>
      <w:r w:rsidRPr="00C507A3">
        <w:t>Please see our answer to Q41. We agree with ESMA’s assessment that the usage of the PSAF/PSET within the settlement instructions should be left to the industry and defined in a market practise.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3648B180" w14:textId="77777777" w:rsidR="00C507A3" w:rsidRPr="00C507A3" w:rsidRDefault="00C507A3" w:rsidP="00C507A3">
      <w:permStart w:id="198186485" w:edGrp="everyone"/>
      <w:r w:rsidRPr="00C507A3">
        <w:t>Please see our answer to Q41. We agree with ESMA’s assessment that the usage of the PSAF/PSET within the settlement instructions should be left to the industry and defined in a market practise.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7E4D500" w14:textId="77777777" w:rsidR="00C507A3" w:rsidRDefault="00C507A3" w:rsidP="00113E80">
      <w:permStart w:id="1475766194" w:edGrp="everyone"/>
      <w:r w:rsidRPr="00C507A3">
        <w:t>We have no comments.</w:t>
      </w:r>
    </w:p>
    <w:permEnd w:id="1475766194"/>
    <w:p w14:paraId="30420754" w14:textId="7AA4307B"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the lists mentioned in Article 2(1)(a) and Article 5(4) of CDR 2018/1229 should be updated? If yes, please specify.</w:t>
      </w:r>
    </w:p>
    <w:p w14:paraId="222120E2" w14:textId="77777777" w:rsidR="00113E80" w:rsidRDefault="00113E80" w:rsidP="00113E80">
      <w:r>
        <w:t>&lt;ESMA_QUESTION_CSDC_45&gt;</w:t>
      </w:r>
    </w:p>
    <w:p w14:paraId="36FC3A16" w14:textId="77777777" w:rsidR="00C507A3" w:rsidRDefault="00C507A3" w:rsidP="00113E80">
      <w:permStart w:id="961432849" w:edGrp="everyone"/>
      <w:r w:rsidRPr="00C507A3">
        <w:t>We have no comments.</w:t>
      </w:r>
    </w:p>
    <w:permEnd w:id="961432849"/>
    <w:p w14:paraId="07F60CC2" w14:textId="66A3DA5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23394494" w14:textId="77777777" w:rsidR="00C507A3" w:rsidRDefault="00C507A3" w:rsidP="00113E80">
      <w:permStart w:id="904798664" w:edGrp="everyone"/>
      <w:r w:rsidRPr="00C507A3">
        <w:t xml:space="preserve">As soon as the trades are confirmed the instructions are sent in real time by the fund management companies to the custodians which sent them to the market for settlement. This is a well-established Buy-Side market practise which works very well. Therefore, we do not see any need neither to require regulatory actions in this field nor that market participants should send their settlement instructions </w:t>
      </w:r>
      <w:proofErr w:type="spellStart"/>
      <w:r w:rsidRPr="00C507A3">
        <w:t>intra day</w:t>
      </w:r>
      <w:proofErr w:type="spellEnd"/>
      <w:r w:rsidRPr="00C507A3">
        <w:t xml:space="preserve"> or as bulk at the end of the day.</w:t>
      </w:r>
    </w:p>
    <w:permEnd w:id="904798664"/>
    <w:p w14:paraId="129FDCEA" w14:textId="0C408BA1"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3E8A13F0" w14:textId="6E108D06" w:rsidR="00C507A3" w:rsidRPr="00C507A3" w:rsidRDefault="00C507A3" w:rsidP="00C507A3">
      <w:permStart w:id="355869798" w:edGrp="everyone"/>
      <w:r w:rsidRPr="00C507A3">
        <w:t xml:space="preserve">Please see our answer to q46. The introduction of a deadline for the submission of settlement instructions is regulatory not necessary as Buy-Side instructions are sent already today in real time after confirmation to the custodians. As mentioned above, the custodians have the responsibility to instruct the trades to the markets. Therefore, asset managers must rely on the </w:t>
      </w:r>
      <w:r w:rsidRPr="00C507A3">
        <w:lastRenderedPageBreak/>
        <w:t>custodian’s settlement resource to allocate the instructions as soon as technical possible to the market.</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54988CDA" w14:textId="77777777" w:rsidR="00C507A3" w:rsidRDefault="00C507A3" w:rsidP="00113E80">
      <w:permStart w:id="1531868113" w:edGrp="everyone"/>
      <w:r w:rsidRPr="00C507A3">
        <w:t xml:space="preserve">Please see our answer to Q46 and Q47. </w:t>
      </w:r>
    </w:p>
    <w:permEnd w:id="1531868113"/>
    <w:p w14:paraId="4C79A334" w14:textId="3E1F5F51"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788FC256" w14:textId="77777777" w:rsidR="00C507A3" w:rsidRDefault="00C507A3" w:rsidP="00113E80">
      <w:permStart w:id="150763568" w:edGrp="everyone"/>
      <w:r w:rsidRPr="00C507A3">
        <w:t xml:space="preserve">Please see our answer to Q46 and Q47. </w:t>
      </w:r>
    </w:p>
    <w:permEnd w:id="150763568"/>
    <w:p w14:paraId="44326574" w14:textId="41731F9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lastRenderedPageBreak/>
        <w:t>&lt;ESMA_QUESTION_CSDC_50&gt;</w:t>
      </w:r>
    </w:p>
    <w:p w14:paraId="62C0BE44" w14:textId="77777777" w:rsidR="00C507A3" w:rsidRDefault="00C507A3" w:rsidP="00113E80">
      <w:permStart w:id="457271116" w:edGrp="everyone"/>
      <w:r w:rsidRPr="00C507A3">
        <w:t>We have no comments.</w:t>
      </w:r>
    </w:p>
    <w:permEnd w:id="457271116"/>
    <w:p w14:paraId="3F2B26D3" w14:textId="386A580D"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2EFCEF05" w14:textId="77777777" w:rsidR="00C507A3" w:rsidRDefault="00C507A3" w:rsidP="00113E80">
      <w:permStart w:id="1535070435" w:edGrp="everyone"/>
      <w:r w:rsidRPr="00C507A3">
        <w:t>We have no comments.</w:t>
      </w:r>
    </w:p>
    <w:permEnd w:id="1535070435"/>
    <w:p w14:paraId="3F0A2AF3" w14:textId="1148C010"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70D6525F" w14:textId="49681BDC" w:rsidR="00C507A3" w:rsidRDefault="00C507A3" w:rsidP="00C507A3">
      <w:permStart w:id="517953238" w:edGrp="everyone"/>
      <w:r>
        <w:t>The introduction of the CSDR cash penalty regime in February 2022 has not improved the settlement efficiency for the German Buy-Side. Asset managers must rely on the information/accuracy obtained by the (fund) custodians to react in cases of settlement fails. The custodians must ensure that all relevant settlement information needs to be sent as fast as possible to the fund management companies. This will enable the investment fund management companies to solve all discrepancies for unsettled and failing trades where a decision is required by the custodians from the investment managers. According to our observations the main reason for settlement fails are missing securities, instructions that are sent too late to the markets, or problems with the settlement instructions (SSIs).</w:t>
      </w:r>
    </w:p>
    <w:p w14:paraId="6922F04F" w14:textId="77777777" w:rsidR="00C507A3" w:rsidRDefault="00C507A3" w:rsidP="00C507A3"/>
    <w:p w14:paraId="7C69F2D1" w14:textId="77777777" w:rsidR="00C507A3" w:rsidRDefault="00C507A3" w:rsidP="00C507A3">
      <w:r>
        <w:t>The introduction of the CSDR cash penalty system has increased the operational burden for the Buy-Side as they need to monitor every penalty of a failed trade which belongs to investment funds without increasing settlement efficiency. German asset managers are responsible only for a very small fraction of settlement fails and therefore are usually a net receiver when it comes to the CSDR cash penalties.</w:t>
      </w:r>
    </w:p>
    <w:p w14:paraId="07954041" w14:textId="77777777" w:rsidR="00C507A3" w:rsidRDefault="00C507A3" w:rsidP="00C507A3"/>
    <w:p w14:paraId="03CEA8B3" w14:textId="77777777" w:rsidR="00C507A3" w:rsidRDefault="00C507A3" w:rsidP="00C507A3">
      <w:r>
        <w:t>However, there are various approaches in place to negotiate the redistribution and penalties for the final investor of the investment fund in respect of a debit penalty. In this case, fund management companies often incur penalty costs although they are not responsible for the debit. (Low) value debit cash penalties generate disproportionately high operational burden for the German Buy-Side.</w:t>
      </w:r>
    </w:p>
    <w:p w14:paraId="2A2A9F83" w14:textId="77777777" w:rsidR="00C507A3" w:rsidRDefault="00C507A3" w:rsidP="00C507A3"/>
    <w:p w14:paraId="40363F2E" w14:textId="77777777" w:rsidR="00C507A3" w:rsidRDefault="00C507A3" w:rsidP="00C507A3">
      <w:r>
        <w:t>For instance, some German asset managers strongly insist on a EUR 10 debit cash penalty being re-imbursed as they argue they cannot bear debits due to the legal interpretation either of the EU fund regulation (UCITS/AIF) and the German fund law which require the trustee to go after the payment even though the operational costs and custody fees are much higher than the reimbursement value of the penalty.</w:t>
      </w:r>
    </w:p>
    <w:p w14:paraId="7C229256" w14:textId="77777777" w:rsidR="00C507A3" w:rsidRDefault="00C507A3" w:rsidP="00C507A3"/>
    <w:p w14:paraId="5554EA26" w14:textId="77777777" w:rsidR="00C507A3" w:rsidRDefault="00C507A3" w:rsidP="00C507A3">
      <w:r>
        <w:t>We acknowledge the fact that the CSDR cash penalty system should bring down all settlement fails, not just those above a certain market threshold (e.g. AFME Guideline with a de-minimis threshold of EUR 500).</w:t>
      </w:r>
    </w:p>
    <w:p w14:paraId="35A785DA" w14:textId="77777777" w:rsidR="00C507A3" w:rsidRDefault="00C507A3" w:rsidP="00C507A3"/>
    <w:p w14:paraId="76C6D20F" w14:textId="76B3FB89" w:rsidR="00C507A3" w:rsidRDefault="00C507A3" w:rsidP="00C507A3">
      <w:r>
        <w:t>Whilst it could be argued that creating a de-minimis threshold may remove the incentive for the biggest offenders to improve their processes, the counterargument is that these will not be prioritised for resolution anyway. Brokers/Dealers could face large numbers of net debits comprised of an array of values and are likely to have a relatively high threshold to write-off low value cash penalties and will look to resolve and solve for the larger values. We appreciate, that some of the operational impact of pro-cessing these penalties could be a further deterrent behind settlement fails, but these are also felt by some of the entities being failed into who may have little influence in resolving the root cause of the settlement fail (e.g. German Buy-Side).</w:t>
      </w:r>
    </w:p>
    <w:p w14:paraId="44758FCC" w14:textId="77777777" w:rsidR="00C507A3" w:rsidRDefault="00C507A3" w:rsidP="00C507A3"/>
    <w:p w14:paraId="6D1A52CF" w14:textId="71C5B971" w:rsidR="00C507A3" w:rsidRDefault="00C507A3" w:rsidP="00C507A3">
      <w:r>
        <w:lastRenderedPageBreak/>
        <w:t>In this context, it is worth to mention that European Central Bank (ECB) has pointed out that the settlement discipline regime should be based on the principle of proportionality and that the “</w:t>
      </w:r>
      <w:r w:rsidRPr="00C507A3">
        <w:rPr>
          <w:i/>
          <w:iCs/>
        </w:rPr>
        <w:t>review of the settlement discipline regime should take as its starting point the aim of sanctioning only those settlement fails that result in adverse financial effects for the counterparty of the failing party</w:t>
      </w:r>
      <w:r>
        <w:t>”.</w:t>
      </w:r>
      <w:r w:rsidRPr="00C507A3">
        <w:rPr>
          <w:rStyle w:val="Textkrper-ErstzeileneinzugZchn"/>
          <w:rFonts w:cs="Arial"/>
          <w:i/>
          <w:iCs/>
          <w:sz w:val="20"/>
        </w:rPr>
        <w:t xml:space="preserve"> </w:t>
      </w:r>
      <w:r>
        <w:rPr>
          <w:rStyle w:val="Funotenzeichen"/>
          <w:rFonts w:cs="Arial"/>
          <w:i/>
          <w:iCs/>
          <w:sz w:val="20"/>
        </w:rPr>
        <w:footnoteReference w:id="3"/>
      </w:r>
      <w:r>
        <w:t xml:space="preserve"> </w:t>
      </w:r>
    </w:p>
    <w:p w14:paraId="25E7B6E7" w14:textId="77777777" w:rsidR="00C507A3" w:rsidRDefault="00C507A3" w:rsidP="00C507A3"/>
    <w:p w14:paraId="3D274E4F" w14:textId="695DD6A2" w:rsidR="00C507A3" w:rsidRDefault="00C507A3" w:rsidP="00113E80">
      <w:r>
        <w:t xml:space="preserve">Therefore, we propose to introduce a de-minimis threshold for EU-CSDs to be applied for cash penal-ties before these are processed. This would lead to a more operationally proportional system, while still providing sufficient incentive to improve the settlement infrastructure within European CSDs. Furthermore, such a de minimis threshold will remove the operational pressure of investigating, pro-cessing and reconciling cash penalties and will give our members more capacity to further investigate and solve real settlement causes thereby improving settlement rates. Therefore, we encourage ESMA to take our proposal into considerations </w:t>
      </w:r>
    </w:p>
    <w:permEnd w:id="517953238"/>
    <w:p w14:paraId="4660DEF1" w14:textId="21DD2D80"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lastRenderedPageBreak/>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6DC994C9" w14:textId="77777777" w:rsidR="00C507A3" w:rsidRDefault="00C507A3" w:rsidP="00113E80">
      <w:permStart w:id="857702025" w:edGrp="everyone"/>
      <w:r w:rsidRPr="00C507A3">
        <w:t>We have no comments.</w:t>
      </w:r>
    </w:p>
    <w:permEnd w:id="857702025"/>
    <w:p w14:paraId="055A4F61" w14:textId="72B03AB8"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 w:id="2">
    <w:p w14:paraId="25BBFB4C" w14:textId="77777777" w:rsidR="007C5B13" w:rsidRPr="006547CF" w:rsidRDefault="007C5B13" w:rsidP="007C5B13">
      <w:pPr>
        <w:jc w:val="left"/>
        <w:rPr>
          <w:rFonts w:cs="Arial"/>
          <w:sz w:val="16"/>
          <w:szCs w:val="16"/>
          <w:lang w:val="en-US"/>
        </w:rPr>
      </w:pPr>
      <w:r w:rsidRPr="00C17BB7">
        <w:rPr>
          <w:rStyle w:val="Funotenzeichen"/>
          <w:rFonts w:cs="Arial"/>
          <w:szCs w:val="16"/>
        </w:rPr>
        <w:footnoteRef/>
      </w:r>
      <w:r w:rsidRPr="00C17BB7">
        <w:rPr>
          <w:rFonts w:cs="Arial"/>
          <w:sz w:val="16"/>
          <w:szCs w:val="16"/>
          <w:lang w:val="en-US"/>
        </w:rPr>
        <w:t xml:space="preserve"> </w:t>
      </w:r>
      <w:r w:rsidRPr="0060036C">
        <w:rPr>
          <w:rFonts w:cs="Arial"/>
          <w:sz w:val="16"/>
          <w:szCs w:val="16"/>
          <w:lang w:val="en-US"/>
        </w:rPr>
        <w:t xml:space="preserve">BVI represents the interests of the German fund industry at national and international level. The association promotes sensible regulation of the fund business as well as fair competition vis-à-vis policy makers and regulators. Asset </w:t>
      </w:r>
      <w:r>
        <w:rPr>
          <w:rFonts w:cs="Arial"/>
          <w:sz w:val="16"/>
          <w:szCs w:val="16"/>
          <w:lang w:val="en-US"/>
        </w:rPr>
        <w:t>m</w:t>
      </w:r>
      <w:r w:rsidRPr="0060036C">
        <w:rPr>
          <w:rFonts w:cs="Arial"/>
          <w:sz w:val="16"/>
          <w:szCs w:val="16"/>
          <w:lang w:val="en-US"/>
        </w:rPr>
        <w:t>anagers act as trustees in the sole interest of the investor and are subject to strict regulation. Funds match funding investors and the capital demands of companies and governments, thus fulfilling an important macro-economic function. BVI’s 11</w:t>
      </w:r>
      <w:r>
        <w:rPr>
          <w:rFonts w:cs="Arial"/>
          <w:sz w:val="16"/>
          <w:szCs w:val="16"/>
          <w:lang w:val="en-US"/>
        </w:rPr>
        <w:t>5</w:t>
      </w:r>
      <w:r w:rsidRPr="0060036C">
        <w:rPr>
          <w:rFonts w:cs="Arial"/>
          <w:sz w:val="16"/>
          <w:szCs w:val="16"/>
          <w:lang w:val="en-US"/>
        </w:rPr>
        <w:t xml:space="preserve"> members manage assets</w:t>
      </w:r>
      <w:r>
        <w:rPr>
          <w:rFonts w:cs="Arial"/>
          <w:sz w:val="16"/>
          <w:szCs w:val="16"/>
          <w:lang w:val="en-US"/>
        </w:rPr>
        <w:t xml:space="preserve"> of</w:t>
      </w:r>
      <w:r w:rsidRPr="0060036C">
        <w:rPr>
          <w:rFonts w:cs="Arial"/>
          <w:sz w:val="16"/>
          <w:szCs w:val="16"/>
          <w:lang w:val="en-US"/>
        </w:rPr>
        <w:t xml:space="preserve"> </w:t>
      </w:r>
      <w:r>
        <w:rPr>
          <w:rFonts w:cs="Arial"/>
          <w:sz w:val="16"/>
          <w:szCs w:val="16"/>
          <w:lang w:val="en-US"/>
        </w:rPr>
        <w:t>EUR 4.5</w:t>
      </w:r>
      <w:r w:rsidRPr="0060036C">
        <w:rPr>
          <w:rFonts w:cs="Arial"/>
          <w:sz w:val="16"/>
          <w:szCs w:val="16"/>
          <w:lang w:val="en-US"/>
        </w:rPr>
        <w:t xml:space="preserve"> trillion for retail investors, insurance companies, pension and retirement schemes, banks, churches and foundations. With a share of 2</w:t>
      </w:r>
      <w:r>
        <w:rPr>
          <w:rFonts w:cs="Arial"/>
          <w:sz w:val="16"/>
          <w:szCs w:val="16"/>
          <w:lang w:val="en-US"/>
        </w:rPr>
        <w:t>7</w:t>
      </w:r>
      <w:r w:rsidRPr="0060036C">
        <w:rPr>
          <w:rFonts w:cs="Arial"/>
          <w:sz w:val="16"/>
          <w:szCs w:val="16"/>
          <w:lang w:val="en-US"/>
        </w:rPr>
        <w:t>%, Germany represents the largest fund market in the EU. BVI’s ID number in the EU Transparency Register is 96816064173-47. For more information, please visit www.bvi.de/en.</w:t>
      </w:r>
    </w:p>
  </w:footnote>
  <w:footnote w:id="3">
    <w:p w14:paraId="4160F87E" w14:textId="77777777" w:rsidR="00C507A3" w:rsidRDefault="00C507A3" w:rsidP="00C507A3">
      <w:pPr>
        <w:pStyle w:val="Funotentext"/>
      </w:pPr>
      <w:r>
        <w:rPr>
          <w:rStyle w:val="Funotenzeichen"/>
        </w:rPr>
        <w:footnoteRef/>
      </w:r>
      <w:r>
        <w:t xml:space="preserve"> </w:t>
      </w:r>
      <w:hyperlink r:id="rId1" w:history="1">
        <w:r w:rsidRPr="008703F0">
          <w:rPr>
            <w:rStyle w:val="Hyperlink"/>
          </w:rPr>
          <w:t>https://eur-lex.europa.eu/legal-content/EN/TXT/PDF/?uri=CELEX:52022AB0025</w:t>
        </w:r>
      </w:hyperlink>
    </w:p>
    <w:p w14:paraId="4029E2F9" w14:textId="77777777" w:rsidR="00C507A3" w:rsidRPr="0071014B" w:rsidRDefault="00C507A3" w:rsidP="00C507A3">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84A7CEE" w:rsidR="00D77369" w:rsidRPr="00DB2FD6" w:rsidRDefault="00D77369" w:rsidP="008858FE">
    <w:pPr>
      <w:pStyle w:val="Kopfzeil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0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B13"/>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5549"/>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3F9"/>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1ECC"/>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4D3A"/>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274"/>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56FA5"/>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AC4"/>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7A3"/>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612"/>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370"/>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0F"/>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327"/>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character" w:customStyle="1" w:styleId="normaltextrun">
    <w:name w:val="normaltextrun"/>
    <w:basedOn w:val="Absatz-Standardschriftar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22AB0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tzhalt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tzhalt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22006"/>
    <w:rsid w:val="00B46CAE"/>
    <w:rsid w:val="00B56FA5"/>
    <w:rsid w:val="00C95612"/>
    <w:rsid w:val="00D52831"/>
    <w:rsid w:val="00DC3796"/>
    <w:rsid w:val="00DC4211"/>
    <w:rsid w:val="00E2480F"/>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4429</Words>
  <Characters>27907</Characters>
  <Application>Microsoft Office Word</Application>
  <DocSecurity>8</DocSecurity>
  <Lines>232</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Melanie Döring</cp:lastModifiedBy>
  <cp:revision>5</cp:revision>
  <cp:lastPrinted>2025-02-19T16:07:00Z</cp:lastPrinted>
  <dcterms:created xsi:type="dcterms:W3CDTF">2025-02-19T16:08:00Z</dcterms:created>
  <dcterms:modified xsi:type="dcterms:W3CDTF">2025-04-14T14:48:00Z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