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EastAsia" w:hAnsiTheme="minorHAnsi" w:cstheme="minorBidi"/>
          <w:b w:val="0"/>
          <w:color w:val="181818" w:themeColor="background1" w:themeShade="1A"/>
          <w:spacing w:val="0"/>
          <w:sz w:val="28"/>
          <w:szCs w:val="28"/>
        </w:rPr>
        <w:id w:val="-973058580"/>
        <w:docPartObj>
          <w:docPartGallery w:val="Cover Pages"/>
          <w:docPartUnique/>
        </w:docPartObj>
      </w:sdtPr>
      <w:sdtEndPr/>
      <w:sdtContent>
        <w:p w14:paraId="3B41FE3C" w14:textId="77777777" w:rsidR="00D465F8" w:rsidRDefault="00D465F8" w:rsidP="00F72D28">
          <w:pPr>
            <w:pStyle w:val="Title"/>
            <w:rPr>
              <w:rFonts w:asciiTheme="minorHAnsi" w:eastAsiaTheme="minorEastAsia" w:hAnsiTheme="minorHAnsi" w:cstheme="minorBidi"/>
              <w:b w:val="0"/>
              <w:color w:val="181818" w:themeColor="background1" w:themeShade="1A"/>
              <w:spacing w:val="0"/>
              <w:sz w:val="28"/>
              <w:szCs w:val="28"/>
            </w:rPr>
          </w:pPr>
        </w:p>
        <w:p w14:paraId="6F85FCB5" w14:textId="77777777" w:rsidR="00D465F8" w:rsidRDefault="00D465F8" w:rsidP="00F72D28">
          <w:pPr>
            <w:pStyle w:val="Title"/>
            <w:rPr>
              <w:rFonts w:asciiTheme="minorHAnsi" w:eastAsiaTheme="minorEastAsia" w:hAnsiTheme="minorHAnsi" w:cstheme="minorBidi"/>
              <w:b w:val="0"/>
              <w:color w:val="181818" w:themeColor="background1" w:themeShade="1A"/>
              <w:spacing w:val="0"/>
              <w:sz w:val="28"/>
              <w:szCs w:val="28"/>
            </w:rPr>
          </w:pPr>
        </w:p>
        <w:p w14:paraId="68819715" w14:textId="77777777" w:rsidR="00D465F8" w:rsidRDefault="00D465F8" w:rsidP="00F72D28">
          <w:pPr>
            <w:pStyle w:val="Title"/>
            <w:rPr>
              <w:rFonts w:asciiTheme="minorHAnsi" w:eastAsiaTheme="minorEastAsia" w:hAnsiTheme="minorHAnsi" w:cstheme="minorBidi"/>
              <w:b w:val="0"/>
              <w:color w:val="181818" w:themeColor="background1" w:themeShade="1A"/>
              <w:spacing w:val="0"/>
              <w:sz w:val="28"/>
              <w:szCs w:val="28"/>
            </w:rPr>
          </w:pPr>
        </w:p>
        <w:p w14:paraId="01438AE1" w14:textId="023C9089" w:rsidR="00563C1F" w:rsidRDefault="00EC6066" w:rsidP="00F72D28">
          <w:pPr>
            <w:pStyle w:val="Title"/>
          </w:pPr>
          <w:r>
            <w:t xml:space="preserve">Reply </w:t>
          </w:r>
          <w:r w:rsidR="00DD03DC">
            <w:t>F</w:t>
          </w:r>
          <w:r>
            <w:t>orm</w:t>
          </w:r>
        </w:p>
        <w:p w14:paraId="031F2108" w14:textId="42AAFBB0" w:rsidR="007E7997" w:rsidRPr="00C01571" w:rsidRDefault="00113E80" w:rsidP="00D77369">
          <w:pPr>
            <w:pStyle w:val="Subtitle"/>
            <w:rPr>
              <w:rFonts w:cs="Arial"/>
              <w:sz w:val="36"/>
              <w:szCs w:val="36"/>
            </w:rPr>
          </w:pPr>
          <w:r>
            <w:rPr>
              <w:rStyle w:val="normaltextrun"/>
              <w:rFonts w:ascii="Arial" w:hAnsi="Arial" w:cs="Arial"/>
              <w:color w:val="181818"/>
              <w:szCs w:val="28"/>
              <w:bdr w:val="none" w:sz="0" w:space="0" w:color="auto" w:frame="1"/>
            </w:rPr>
            <w:t xml:space="preserve">Consultation Paper on the Amendments to the RTS on Settlement Discipline </w:t>
          </w:r>
          <w:r w:rsidR="00D77369" w:rsidRPr="00C01571">
            <w:rPr>
              <w:noProof/>
              <w:sz w:val="36"/>
              <w:szCs w:val="36"/>
            </w:rPr>
            <mc:AlternateContent>
              <mc:Choice Requires="wps">
                <w:drawing>
                  <wp:anchor distT="0" distB="0" distL="114300" distR="114300" simplePos="0" relativeHeight="251658240" behindDoc="1" locked="1" layoutInCell="1" allowOverlap="0" wp14:anchorId="72CBE987" wp14:editId="5CFA8051">
                    <wp:simplePos x="0" y="0"/>
                    <wp:positionH relativeFrom="page">
                      <wp:posOffset>17145</wp:posOffset>
                    </wp:positionH>
                    <wp:positionV relativeFrom="paragraph">
                      <wp:posOffset>541020</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1"/>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2296A1" id="Freeform: Shape 1" o:spid="_x0000_s1026" style="position:absolute;margin-left:1.35pt;margin-top:42.6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CFoGfT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2"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p w14:paraId="5C42D2D2" w14:textId="77777777" w:rsidR="00D77369" w:rsidRDefault="00D77369" w:rsidP="00D77369"/>
        <w:p w14:paraId="0A9EB4DC" w14:textId="77777777" w:rsidR="00D77369" w:rsidRPr="00D77369" w:rsidRDefault="00D77369" w:rsidP="00D77369">
          <w:pPr>
            <w:sectPr w:rsidR="00D77369" w:rsidRPr="00D77369" w:rsidSect="0043139E">
              <w:headerReference w:type="first" r:id="rId13"/>
              <w:pgSz w:w="11906" w:h="16838"/>
              <w:pgMar w:top="1417" w:right="1417" w:bottom="1417" w:left="1417" w:header="862" w:footer="708" w:gutter="0"/>
              <w:pgNumType w:start="0"/>
              <w:cols w:space="708"/>
              <w:titlePg/>
              <w:docGrid w:linePitch="360"/>
            </w:sectPr>
          </w:pPr>
        </w:p>
        <w:p w14:paraId="11777801" w14:textId="2BBC7B15" w:rsidR="002533FC" w:rsidRPr="005B6B12" w:rsidRDefault="002533FC" w:rsidP="002533FC">
          <w:pPr>
            <w:pStyle w:val="Subtitle"/>
          </w:pPr>
          <w:r w:rsidRPr="005B6B12">
            <w:lastRenderedPageBreak/>
            <w:t xml:space="preserve">Responding to this </w:t>
          </w:r>
          <w:r w:rsidR="00191207">
            <w:t>Consultation P</w:t>
          </w:r>
          <w:r w:rsidRPr="005B6B12">
            <w:t xml:space="preserve">aper </w:t>
          </w:r>
        </w:p>
        <w:p w14:paraId="2F436F98" w14:textId="63D3E10F" w:rsidR="002533FC" w:rsidRPr="005B6B12" w:rsidRDefault="002533FC" w:rsidP="002533FC">
          <w:r w:rsidRPr="005B6B12">
            <w:t xml:space="preserve">ESMA invites comments on all matters in this </w:t>
          </w:r>
          <w:r w:rsidR="002F0D34">
            <w:t>C</w:t>
          </w:r>
          <w:r w:rsidR="00191207">
            <w:t xml:space="preserve">onsultation </w:t>
          </w:r>
          <w:r w:rsidR="002F0D34">
            <w:t>P</w:t>
          </w:r>
          <w:r w:rsidRPr="005B6B12">
            <w:t xml:space="preserve">aper and in particular </w:t>
          </w:r>
          <w:r>
            <w:t>on the specific questions summa</w:t>
          </w:r>
          <w:r w:rsidRPr="005B6B12">
            <w:t>rised in Annex 1. Comments are most helpful if they:</w:t>
          </w:r>
        </w:p>
        <w:p w14:paraId="491CDAA8" w14:textId="77777777" w:rsidR="002533FC" w:rsidRPr="00DB2FD6" w:rsidRDefault="002533FC" w:rsidP="00EC6066">
          <w:pPr>
            <w:pStyle w:val="ListParagraph"/>
            <w:rPr>
              <w:lang w:val="en-GB"/>
            </w:rPr>
          </w:pPr>
          <w:r w:rsidRPr="00DB2FD6">
            <w:rPr>
              <w:lang w:val="en-GB"/>
            </w:rPr>
            <w:t>respond to the question stated;</w:t>
          </w:r>
        </w:p>
        <w:p w14:paraId="72FD40F6" w14:textId="77777777" w:rsidR="002533FC" w:rsidRPr="00DB2FD6" w:rsidRDefault="002533FC" w:rsidP="00EC6066">
          <w:pPr>
            <w:pStyle w:val="ListParagraph"/>
            <w:rPr>
              <w:lang w:val="en-GB"/>
            </w:rPr>
          </w:pPr>
          <w:r w:rsidRPr="00DB2FD6">
            <w:rPr>
              <w:lang w:val="en-GB"/>
            </w:rPr>
            <w:t>indicate the specific question to which the comment relates;</w:t>
          </w:r>
        </w:p>
        <w:p w14:paraId="78B206B7" w14:textId="77777777" w:rsidR="002533FC" w:rsidRPr="00E13D25" w:rsidRDefault="002533FC" w:rsidP="00EC6066">
          <w:pPr>
            <w:pStyle w:val="ListParagraph"/>
          </w:pPr>
          <w:r w:rsidRPr="00E13D25">
            <w:t>contain a clear rationale; and</w:t>
          </w:r>
        </w:p>
        <w:p w14:paraId="60B8834E" w14:textId="77777777" w:rsidR="002533FC" w:rsidRPr="00DB2FD6" w:rsidRDefault="002533FC" w:rsidP="00EC6066">
          <w:pPr>
            <w:pStyle w:val="ListParagraph"/>
            <w:rPr>
              <w:lang w:val="en-GB"/>
            </w:rPr>
          </w:pPr>
          <w:r w:rsidRPr="00DB2FD6">
            <w:rPr>
              <w:lang w:val="en-GB"/>
            </w:rPr>
            <w:t>describe any alternatives ESMA should consider.</w:t>
          </w:r>
        </w:p>
        <w:p w14:paraId="219225AC" w14:textId="38E74FD1" w:rsidR="002533FC" w:rsidRPr="005B6B12" w:rsidRDefault="002533FC" w:rsidP="002533FC">
          <w:r w:rsidRPr="005B6B12">
            <w:t xml:space="preserve">ESMA will consider all comments received by </w:t>
          </w:r>
          <w:r w:rsidR="00113E80">
            <w:rPr>
              <w:b/>
            </w:rPr>
            <w:t>14 April 2025</w:t>
          </w:r>
          <w:r w:rsidRPr="005B6B12">
            <w:rPr>
              <w:b/>
            </w:rPr>
            <w:t xml:space="preserve">. </w:t>
          </w:r>
        </w:p>
        <w:p w14:paraId="7EBC0542" w14:textId="0CD5B31D" w:rsidR="002533FC" w:rsidRDefault="002533FC" w:rsidP="002533FC">
          <w:r w:rsidRPr="005B6B12">
            <w:t xml:space="preserve">All contributions should be submitted online at </w:t>
          </w:r>
          <w:hyperlink r:id="rId14" w:history="1">
            <w:r w:rsidRPr="005B6B12">
              <w:rPr>
                <w:rStyle w:val="Hyperlink"/>
              </w:rPr>
              <w:t>www.esma.europa.eu</w:t>
            </w:r>
          </w:hyperlink>
          <w:r w:rsidRPr="005B6B12">
            <w:t xml:space="preserve"> under the heading ‘Your input - Consultations’. </w:t>
          </w:r>
        </w:p>
        <w:p w14:paraId="5E44C845" w14:textId="77777777" w:rsidR="00EC6066" w:rsidRPr="0026459D" w:rsidRDefault="00EC6066" w:rsidP="00EC6066">
          <w:pPr>
            <w:pStyle w:val="Subtitle"/>
            <w:rPr>
              <w:b/>
              <w:sz w:val="24"/>
              <w:szCs w:val="22"/>
            </w:rPr>
          </w:pPr>
          <w:r w:rsidRPr="00013CA1">
            <w:t>Instructions</w:t>
          </w:r>
        </w:p>
        <w:p w14:paraId="0FC3DC5B" w14:textId="77777777" w:rsidR="00EC6066" w:rsidRPr="0026459D" w:rsidRDefault="00EC6066" w:rsidP="00EC6066">
          <w:pPr>
            <w:rPr>
              <w:bCs/>
            </w:rPr>
          </w:pPr>
          <w:r w:rsidRPr="0026459D">
            <w:rPr>
              <w:bCs/>
            </w:rPr>
            <w:t>In order to facilitate analysis of responses to the Consultation Paper, respondents are requested to follow the below steps when preparing and submitting their response:</w:t>
          </w:r>
        </w:p>
        <w:p w14:paraId="67E94801" w14:textId="77777777" w:rsidR="00EC6066" w:rsidRPr="0026459D" w:rsidRDefault="00EC6066" w:rsidP="00EC6066">
          <w:pPr>
            <w:ind w:left="142"/>
            <w:rPr>
              <w:bCs/>
            </w:rPr>
          </w:pPr>
          <w:r w:rsidRPr="0026459D">
            <w:rPr>
              <w:bCs/>
            </w:rPr>
            <w:t>•</w:t>
          </w:r>
          <w:r w:rsidRPr="0026459D">
            <w:rPr>
              <w:bCs/>
            </w:rPr>
            <w:tab/>
            <w:t xml:space="preserve">Insert your responses to the questions in the Consultation Paper in this reply form. </w:t>
          </w:r>
        </w:p>
        <w:p w14:paraId="7B7C29FF" w14:textId="3046E949" w:rsidR="00EC6066" w:rsidRPr="00C5469A" w:rsidRDefault="00EC6066" w:rsidP="00EC6066">
          <w:pPr>
            <w:ind w:left="142"/>
            <w:rPr>
              <w:bCs/>
            </w:rPr>
          </w:pPr>
          <w:r w:rsidRPr="0026459D">
            <w:rPr>
              <w:bCs/>
            </w:rPr>
            <w:t>•</w:t>
          </w:r>
          <w:r w:rsidRPr="0026459D">
            <w:rPr>
              <w:bCs/>
            </w:rPr>
            <w:tab/>
            <w:t>Please do not remove tags of the type &lt;</w:t>
          </w:r>
          <w:r w:rsidRPr="00557BD2">
            <w:t xml:space="preserve"> </w:t>
          </w:r>
          <w:r w:rsidRPr="00557BD2">
            <w:rPr>
              <w:bCs/>
            </w:rPr>
            <w:t>ESMA_</w:t>
          </w:r>
          <w:r w:rsidRPr="00C5469A">
            <w:rPr>
              <w:bCs/>
            </w:rPr>
            <w:t>QUESTION</w:t>
          </w:r>
          <w:r w:rsidR="00C62B79">
            <w:rPr>
              <w:bCs/>
            </w:rPr>
            <w:t>_</w:t>
          </w:r>
          <w:r w:rsidR="00ED75A2">
            <w:rPr>
              <w:bCs/>
            </w:rPr>
            <w:t>C</w:t>
          </w:r>
          <w:r w:rsidR="005B2269">
            <w:rPr>
              <w:bCs/>
            </w:rPr>
            <w:t>SDC</w:t>
          </w:r>
          <w:r w:rsidR="00C62B79">
            <w:rPr>
              <w:bCs/>
            </w:rPr>
            <w:t>_</w:t>
          </w:r>
          <w:r w:rsidRPr="00C5469A">
            <w:rPr>
              <w:bCs/>
            </w:rPr>
            <w:t xml:space="preserve">0&gt;. Your response </w:t>
          </w:r>
          <w:r w:rsidRPr="00C5469A">
            <w:rPr>
              <w:bCs/>
            </w:rPr>
            <w:tab/>
            <w:t>to each question has to be framed by the two tags corresponding to the question.</w:t>
          </w:r>
        </w:p>
        <w:p w14:paraId="65642175" w14:textId="77777777" w:rsidR="00EC6066" w:rsidRPr="00C5469A" w:rsidRDefault="00EC6066" w:rsidP="00EC6066">
          <w:pPr>
            <w:ind w:left="142"/>
            <w:rPr>
              <w:bCs/>
            </w:rPr>
          </w:pPr>
          <w:r w:rsidRPr="00C5469A">
            <w:rPr>
              <w:bCs/>
            </w:rPr>
            <w:t>•</w:t>
          </w:r>
          <w:r w:rsidRPr="00C5469A">
            <w:rPr>
              <w:bCs/>
            </w:rPr>
            <w:tab/>
            <w:t xml:space="preserve">If you do not wish to respond to a given question, please do not delete it but simply </w:t>
          </w:r>
          <w:r w:rsidRPr="00C5469A">
            <w:rPr>
              <w:bCs/>
            </w:rPr>
            <w:tab/>
            <w:t>leave the text “TYPE YOUR TEXT HERE” between the tags.</w:t>
          </w:r>
        </w:p>
        <w:p w14:paraId="4D646F3A" w14:textId="1341D4ED" w:rsidR="00EC6066" w:rsidRPr="00C5469A" w:rsidRDefault="00EC6066" w:rsidP="00EC6066">
          <w:pPr>
            <w:ind w:left="142"/>
            <w:rPr>
              <w:bCs/>
            </w:rPr>
          </w:pPr>
          <w:r w:rsidRPr="00C5469A">
            <w:rPr>
              <w:bCs/>
            </w:rPr>
            <w:t>•</w:t>
          </w:r>
          <w:r w:rsidRPr="00C5469A">
            <w:rPr>
              <w:bCs/>
            </w:rPr>
            <w:tab/>
            <w:t xml:space="preserve">When you have drafted your responses, save the reply form according to the following </w:t>
          </w:r>
          <w:r w:rsidRPr="00C5469A">
            <w:rPr>
              <w:bCs/>
            </w:rPr>
            <w:tab/>
            <w:t>convention: ESMA_CP1_</w:t>
          </w:r>
          <w:r w:rsidR="00DB2FD6" w:rsidRPr="00DB2FD6">
            <w:rPr>
              <w:bCs/>
            </w:rPr>
            <w:t xml:space="preserve"> </w:t>
          </w:r>
          <w:r w:rsidR="00ED75A2">
            <w:rPr>
              <w:bCs/>
            </w:rPr>
            <w:t>C</w:t>
          </w:r>
          <w:r w:rsidR="005B2269">
            <w:rPr>
              <w:bCs/>
            </w:rPr>
            <w:t>SDC</w:t>
          </w:r>
          <w:r w:rsidRPr="00C5469A">
            <w:rPr>
              <w:bCs/>
            </w:rPr>
            <w:t xml:space="preserve">_nameofrespondent. </w:t>
          </w:r>
        </w:p>
        <w:p w14:paraId="210BE93A" w14:textId="077AA6C4" w:rsidR="00EC6066" w:rsidRPr="0026459D" w:rsidRDefault="00EC6066" w:rsidP="00EC6066">
          <w:pPr>
            <w:ind w:left="142"/>
            <w:rPr>
              <w:bCs/>
            </w:rPr>
          </w:pPr>
          <w:r w:rsidRPr="00C5469A">
            <w:rPr>
              <w:bCs/>
            </w:rPr>
            <w:tab/>
            <w:t xml:space="preserve">For example, for a respondent named ABCD, the reply form would be saved with the </w:t>
          </w:r>
          <w:r w:rsidRPr="00C5469A">
            <w:rPr>
              <w:bCs/>
            </w:rPr>
            <w:tab/>
            <w:t>following name: ESMA_CP1_</w:t>
          </w:r>
          <w:r w:rsidR="00DB2FD6" w:rsidRPr="00DB2FD6">
            <w:rPr>
              <w:bCs/>
            </w:rPr>
            <w:t xml:space="preserve"> </w:t>
          </w:r>
          <w:r w:rsidR="00ED75A2">
            <w:rPr>
              <w:bCs/>
            </w:rPr>
            <w:t>C</w:t>
          </w:r>
          <w:r w:rsidR="005B2269">
            <w:rPr>
              <w:bCs/>
            </w:rPr>
            <w:t>SDC</w:t>
          </w:r>
          <w:r w:rsidRPr="00C5469A">
            <w:rPr>
              <w:bCs/>
            </w:rPr>
            <w:t>_ABCD.</w:t>
          </w:r>
        </w:p>
        <w:p w14:paraId="2E70CEDD" w14:textId="640173CC" w:rsidR="004035C7" w:rsidRDefault="00EC6066" w:rsidP="004035C7">
          <w:pPr>
            <w:ind w:left="142"/>
            <w:rPr>
              <w:bCs/>
              <w:i/>
              <w:iCs/>
            </w:rPr>
          </w:pPr>
          <w:r w:rsidRPr="0026459D">
            <w:rPr>
              <w:bCs/>
            </w:rPr>
            <w:t>•</w:t>
          </w:r>
          <w:r w:rsidRPr="0026459D">
            <w:rPr>
              <w:bCs/>
            </w:rPr>
            <w:tab/>
            <w:t>Upload the Word reply form containing your responses to ESMA’s website (</w:t>
          </w:r>
          <w:r w:rsidRPr="0026459D">
            <w:rPr>
              <w:b/>
            </w:rPr>
            <w:t xml:space="preserve">pdf </w:t>
          </w:r>
          <w:r w:rsidRPr="0026459D">
            <w:rPr>
              <w:b/>
            </w:rPr>
            <w:tab/>
            <w:t>documents will not be considered except for annexes</w:t>
          </w:r>
          <w:r w:rsidRPr="0026459D">
            <w:rPr>
              <w:bCs/>
            </w:rPr>
            <w:t xml:space="preserve">). All contributions should be </w:t>
          </w:r>
          <w:r>
            <w:rPr>
              <w:bCs/>
            </w:rPr>
            <w:tab/>
          </w:r>
          <w:r w:rsidRPr="0026459D">
            <w:rPr>
              <w:bCs/>
            </w:rPr>
            <w:t xml:space="preserve">submitted online at </w:t>
          </w:r>
          <w:r w:rsidRPr="00557BD2">
            <w:rPr>
              <w:bCs/>
              <w:i/>
              <w:iCs/>
            </w:rPr>
            <w:t>www.esma.europa.eu</w:t>
          </w:r>
          <w:r w:rsidRPr="0026459D">
            <w:rPr>
              <w:bCs/>
            </w:rPr>
            <w:t xml:space="preserve"> under the heading </w:t>
          </w:r>
          <w:r w:rsidRPr="00557BD2">
            <w:rPr>
              <w:bCs/>
              <w:i/>
              <w:iCs/>
            </w:rPr>
            <w:t xml:space="preserve">‘Your input - </w:t>
          </w:r>
          <w:r w:rsidRPr="00557BD2">
            <w:rPr>
              <w:bCs/>
              <w:i/>
              <w:iCs/>
            </w:rPr>
            <w:tab/>
            <w:t>Consultations’.</w:t>
          </w:r>
        </w:p>
        <w:p w14:paraId="50B53C82" w14:textId="77777777" w:rsidR="004035C7" w:rsidRPr="004035C7" w:rsidRDefault="004035C7" w:rsidP="004035C7">
          <w:pPr>
            <w:ind w:left="142"/>
            <w:rPr>
              <w:bCs/>
              <w:i/>
              <w:iCs/>
            </w:rPr>
          </w:pPr>
        </w:p>
        <w:p w14:paraId="6B61FE84" w14:textId="77777777" w:rsidR="00EC6066" w:rsidRPr="005B6B12" w:rsidRDefault="00EC6066" w:rsidP="00EC6066">
          <w:pPr>
            <w:rPr>
              <w:b/>
            </w:rPr>
          </w:pPr>
          <w:r w:rsidRPr="005B6B12">
            <w:rPr>
              <w:b/>
            </w:rPr>
            <w:lastRenderedPageBreak/>
            <w:t>Publication of responses</w:t>
          </w:r>
        </w:p>
        <w:p w14:paraId="296E0671" w14:textId="77777777" w:rsidR="00EC6066" w:rsidRPr="005B6B12" w:rsidRDefault="00EC6066" w:rsidP="00EC6066">
          <w:r w:rsidRPr="005B6B12">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CF9D385" w14:textId="77777777" w:rsidR="00EC6066" w:rsidRPr="005B6B12" w:rsidRDefault="00EC6066" w:rsidP="00EC6066">
          <w:pPr>
            <w:rPr>
              <w:b/>
            </w:rPr>
          </w:pPr>
          <w:r w:rsidRPr="005B6B12">
            <w:rPr>
              <w:b/>
            </w:rPr>
            <w:t>Data protection</w:t>
          </w:r>
        </w:p>
        <w:p w14:paraId="1734978B" w14:textId="77777777" w:rsidR="00EC6066" w:rsidRPr="005B6B12" w:rsidRDefault="00EC6066" w:rsidP="00EC6066">
          <w:r w:rsidRPr="005B6B12">
            <w:t xml:space="preserve">Information on data protection can be found at </w:t>
          </w:r>
          <w:hyperlink r:id="rId15" w:history="1">
            <w:r w:rsidRPr="005B6B12">
              <w:rPr>
                <w:rStyle w:val="Hyperlink"/>
              </w:rPr>
              <w:t>www.esma.europa.eu</w:t>
            </w:r>
          </w:hyperlink>
          <w:r w:rsidRPr="005B6B12">
            <w:t xml:space="preserve"> under the heading </w:t>
          </w:r>
          <w:r w:rsidRPr="00025A7F">
            <w:rPr>
              <w:rStyle w:val="Hyperlink"/>
            </w:rPr>
            <w:t>‘</w:t>
          </w:r>
          <w:hyperlink r:id="rId16" w:history="1">
            <w:r>
              <w:rPr>
                <w:rStyle w:val="Hyperlink"/>
              </w:rPr>
              <w:t>Data protection</w:t>
            </w:r>
          </w:hyperlink>
          <w:r>
            <w:rPr>
              <w:rStyle w:val="Hyperlink"/>
            </w:rPr>
            <w:t>’</w:t>
          </w:r>
          <w:r w:rsidRPr="005B6B12">
            <w:t>.</w:t>
          </w:r>
        </w:p>
        <w:p w14:paraId="57A67DA5" w14:textId="77777777" w:rsidR="00EC6066" w:rsidRPr="005B6B12" w:rsidRDefault="00EC6066" w:rsidP="00EC6066">
          <w:pPr>
            <w:rPr>
              <w:b/>
            </w:rPr>
          </w:pPr>
          <w:r w:rsidRPr="005B6B12">
            <w:rPr>
              <w:b/>
            </w:rPr>
            <w:t>Who should read this paper?</w:t>
          </w:r>
        </w:p>
        <w:p w14:paraId="39BF27F5" w14:textId="1405DA9D" w:rsidR="00EC6066" w:rsidRDefault="00EC6066" w:rsidP="00EC6066">
          <w:r>
            <w:t xml:space="preserve">All interested stakeholders are invited to respond to this consultation paper. In particular, ESMA invites market infrastructures (CSDs, CCPs, trading venues), their members and participants, other investment firms, </w:t>
          </w:r>
          <w:r w:rsidR="001F6749">
            <w:t>credit institutions,</w:t>
          </w:r>
          <w:r>
            <w:t xml:space="preserve"> issuers, fund managers, retail and wholesale investors, and their representatives to provide their views to the questions asked in this paper. </w:t>
          </w:r>
        </w:p>
      </w:sdtContent>
    </w:sdt>
    <w:p w14:paraId="4690CAFC" w14:textId="77777777" w:rsidR="00EC6066" w:rsidRDefault="00EC6066" w:rsidP="00EC6066"/>
    <w:p w14:paraId="50C0B880" w14:textId="3D997326" w:rsidR="005171FF" w:rsidRDefault="005171FF">
      <w:pPr>
        <w:spacing w:after="120" w:line="264" w:lineRule="auto"/>
        <w:jc w:val="left"/>
        <w:rPr>
          <w:rFonts w:asciiTheme="majorHAnsi" w:eastAsiaTheme="majorEastAsia" w:hAnsiTheme="majorHAnsi" w:cstheme="majorBidi"/>
          <w:sz w:val="28"/>
          <w:szCs w:val="24"/>
          <w:highlight w:val="yellow"/>
        </w:rPr>
      </w:pPr>
      <w:r>
        <w:rPr>
          <w:rFonts w:asciiTheme="majorHAnsi" w:eastAsiaTheme="majorEastAsia" w:hAnsiTheme="majorHAnsi" w:cstheme="majorBidi"/>
          <w:sz w:val="28"/>
          <w:szCs w:val="24"/>
          <w:highlight w:val="yellow"/>
        </w:rPr>
        <w:br w:type="page"/>
      </w:r>
    </w:p>
    <w:p w14:paraId="687A8108" w14:textId="18C0BEFD" w:rsidR="00635BCA" w:rsidRPr="00E40D2C" w:rsidRDefault="00635BCA" w:rsidP="00635BCA">
      <w:pPr>
        <w:pStyle w:val="Heading1"/>
        <w:rPr>
          <w:lang w:val="fr-BE"/>
        </w:rPr>
      </w:pPr>
      <w:r>
        <w:rPr>
          <w:lang w:val="fr-BE"/>
        </w:rPr>
        <w:lastRenderedPageBreak/>
        <w:t xml:space="preserve">General information about </w:t>
      </w:r>
      <w:r w:rsidRPr="00501EF4">
        <w:t>respondent</w:t>
      </w:r>
    </w:p>
    <w:tbl>
      <w:tblPr>
        <w:tblStyle w:val="TableGrid"/>
        <w:tblW w:w="0" w:type="auto"/>
        <w:tblLook w:val="04A0" w:firstRow="1" w:lastRow="0" w:firstColumn="1" w:lastColumn="0" w:noHBand="0" w:noVBand="1"/>
      </w:tblPr>
      <w:tblGrid>
        <w:gridCol w:w="4531"/>
        <w:gridCol w:w="4531"/>
      </w:tblGrid>
      <w:tr w:rsidR="00E40D2C" w:rsidRPr="00557BD2" w14:paraId="44F115DF" w14:textId="77777777" w:rsidTr="00743CD9">
        <w:tc>
          <w:tcPr>
            <w:tcW w:w="4531" w:type="dxa"/>
          </w:tcPr>
          <w:p w14:paraId="2E826C88" w14:textId="77777777" w:rsidR="00E40D2C" w:rsidRPr="00557BD2" w:rsidRDefault="00E40D2C" w:rsidP="00743CD9">
            <w:pPr>
              <w:rPr>
                <w:color w:val="00379F" w:themeColor="text1"/>
                <w:sz w:val="24"/>
                <w:szCs w:val="22"/>
              </w:rPr>
            </w:pPr>
            <w:r w:rsidRPr="00557BD2">
              <w:rPr>
                <w:color w:val="00379F" w:themeColor="text1"/>
                <w:sz w:val="24"/>
                <w:szCs w:val="22"/>
              </w:rPr>
              <w:t>Name of the company / organisation</w:t>
            </w:r>
          </w:p>
        </w:tc>
        <w:permStart w:id="289486921" w:edGrp="everyone" w:displacedByCustomXml="next"/>
        <w:sdt>
          <w:sdtPr>
            <w:id w:val="925615268"/>
            <w:placeholder>
              <w:docPart w:val="BB304192735D4F2E9B95179F2819F853"/>
            </w:placeholder>
          </w:sdtPr>
          <w:sdtEndPr/>
          <w:sdtContent>
            <w:tc>
              <w:tcPr>
                <w:tcW w:w="4531" w:type="dxa"/>
              </w:tcPr>
              <w:p w14:paraId="5C8A6928" w14:textId="3D35A3B9" w:rsidR="00E40D2C" w:rsidRPr="00557BD2" w:rsidRDefault="00485834" w:rsidP="00743CD9">
                <w:r>
                  <w:t>The International Securities Lending Association (ISLA)</w:t>
                </w:r>
              </w:p>
            </w:tc>
          </w:sdtContent>
        </w:sdt>
      </w:tr>
      <w:tr w:rsidR="00E40D2C" w:rsidRPr="00557BD2" w14:paraId="749BD8C2" w14:textId="77777777" w:rsidTr="00743CD9">
        <w:tc>
          <w:tcPr>
            <w:tcW w:w="4531" w:type="dxa"/>
          </w:tcPr>
          <w:p w14:paraId="6FE0ECE4" w14:textId="77777777" w:rsidR="00E40D2C" w:rsidRDefault="00E40D2C" w:rsidP="00743CD9">
            <w:pPr>
              <w:rPr>
                <w:color w:val="00379F" w:themeColor="text1"/>
                <w:sz w:val="24"/>
                <w:szCs w:val="22"/>
              </w:rPr>
            </w:pPr>
            <w:permStart w:id="1501374178" w:edGrp="everyone" w:colFirst="1" w:colLast="1"/>
            <w:permEnd w:id="289486921"/>
            <w:r>
              <w:rPr>
                <w:color w:val="00379F" w:themeColor="text1"/>
                <w:sz w:val="24"/>
                <w:szCs w:val="22"/>
              </w:rPr>
              <w:t>Activity</w:t>
            </w:r>
          </w:p>
        </w:tc>
        <w:sdt>
          <w:sdtPr>
            <w:alias w:val="Select an activity"/>
            <w:tag w:val="Select an activity"/>
            <w:id w:val="1608545486"/>
            <w:placeholder>
              <w:docPart w:val="01EE1C7859204274A669423EC64EE100"/>
            </w:placeholder>
            <w:comboBox>
              <w:listItem w:value="Choose an item."/>
              <w:listItem w:displayText="CSD" w:value="CSD"/>
              <w:listItem w:displayText="Investment firm" w:value="Investment firm"/>
              <w:listItem w:displayText="Credit institution" w:value="Credit institution"/>
              <w:listItem w:displayText="Asset management company" w:value="Asset management company"/>
              <w:listItem w:displayText="Issuer" w:value="Issuer"/>
              <w:listItem w:displayText="Retail investor" w:value="Retail investor"/>
              <w:listItem w:displayText="Public authority" w:value="Public authority"/>
              <w:listItem w:displayText="Other" w:value="Other"/>
            </w:comboBox>
          </w:sdtPr>
          <w:sdtEndPr/>
          <w:sdtContent>
            <w:tc>
              <w:tcPr>
                <w:tcW w:w="4531" w:type="dxa"/>
              </w:tcPr>
              <w:p w14:paraId="22ECE1B6" w14:textId="371AF8E5" w:rsidR="00E40D2C" w:rsidRDefault="00485834" w:rsidP="00743CD9">
                <w:r>
                  <w:t>Other</w:t>
                </w:r>
              </w:p>
            </w:tc>
          </w:sdtContent>
        </w:sdt>
      </w:tr>
      <w:permEnd w:id="1501374178"/>
      <w:tr w:rsidR="00E40D2C" w:rsidRPr="00557BD2" w14:paraId="431B28C6" w14:textId="77777777" w:rsidTr="00743CD9">
        <w:tc>
          <w:tcPr>
            <w:tcW w:w="4531" w:type="dxa"/>
          </w:tcPr>
          <w:p w14:paraId="19D77BEC" w14:textId="77777777" w:rsidR="00E40D2C" w:rsidRPr="00557BD2" w:rsidRDefault="00E40D2C" w:rsidP="00743CD9">
            <w:pPr>
              <w:rPr>
                <w:color w:val="00379F" w:themeColor="text1"/>
                <w:sz w:val="24"/>
                <w:szCs w:val="22"/>
              </w:rPr>
            </w:pPr>
            <w:r>
              <w:rPr>
                <w:color w:val="00379F" w:themeColor="text1"/>
                <w:sz w:val="24"/>
                <w:szCs w:val="22"/>
              </w:rPr>
              <w:t>Are you representing an association?</w:t>
            </w:r>
          </w:p>
        </w:tc>
        <w:sdt>
          <w:sdtPr>
            <w:id w:val="225122840"/>
            <w14:checkbox>
              <w14:checked w14:val="1"/>
              <w14:checkedState w14:val="2612" w14:font="MS Gothic"/>
              <w14:uncheckedState w14:val="2610" w14:font="MS Gothic"/>
            </w14:checkbox>
          </w:sdtPr>
          <w:sdtEndPr/>
          <w:sdtContent>
            <w:permStart w:id="996560612" w:edGrp="everyone" w:displacedByCustomXml="prev"/>
            <w:tc>
              <w:tcPr>
                <w:tcW w:w="4531" w:type="dxa"/>
              </w:tcPr>
              <w:p w14:paraId="7AB9C082" w14:textId="5AD88929" w:rsidR="00E40D2C" w:rsidRDefault="00F86F02" w:rsidP="00743CD9">
                <w:r>
                  <w:rPr>
                    <w:rFonts w:ascii="MS Gothic" w:eastAsia="MS Gothic" w:hAnsi="MS Gothic" w:hint="eastAsia"/>
                  </w:rPr>
                  <w:t>☒</w:t>
                </w:r>
              </w:p>
            </w:tc>
            <w:permEnd w:id="996560612" w:displacedByCustomXml="next"/>
          </w:sdtContent>
        </w:sdt>
      </w:tr>
      <w:tr w:rsidR="00E40D2C" w:rsidRPr="00557BD2" w14:paraId="3720260B" w14:textId="77777777" w:rsidTr="00743CD9">
        <w:tc>
          <w:tcPr>
            <w:tcW w:w="4531" w:type="dxa"/>
          </w:tcPr>
          <w:p w14:paraId="03F7FCFD" w14:textId="77777777" w:rsidR="00E40D2C" w:rsidRPr="00557BD2" w:rsidRDefault="00E40D2C" w:rsidP="00743CD9">
            <w:pPr>
              <w:rPr>
                <w:color w:val="00379F" w:themeColor="text1"/>
                <w:sz w:val="24"/>
                <w:szCs w:val="22"/>
              </w:rPr>
            </w:pPr>
            <w:r w:rsidRPr="00557BD2">
              <w:rPr>
                <w:color w:val="00379F" w:themeColor="text1"/>
                <w:sz w:val="24"/>
                <w:szCs w:val="22"/>
              </w:rPr>
              <w:t>Country / Region</w:t>
            </w:r>
          </w:p>
        </w:tc>
        <w:sdt>
          <w:sdtPr>
            <w:alias w:val="Select a country/region"/>
            <w:tag w:val="Select a country/region"/>
            <w:id w:val="466400774"/>
            <w:placeholder>
              <w:docPart w:val="D404D71EE61B44F68217F5015889DA12"/>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1922924511" w:edGrp="everyone" w:displacedByCustomXml="prev"/>
            <w:tc>
              <w:tcPr>
                <w:tcW w:w="4531" w:type="dxa"/>
              </w:tcPr>
              <w:p w14:paraId="5BB12D35" w14:textId="2FCCDBBF" w:rsidR="00E40D2C" w:rsidRPr="00557BD2" w:rsidRDefault="00485834" w:rsidP="00743CD9">
                <w:r>
                  <w:t>Europe</w:t>
                </w:r>
              </w:p>
            </w:tc>
            <w:permEnd w:id="1922924511" w:displacedByCustomXml="next"/>
          </w:sdtContent>
        </w:sdt>
      </w:tr>
    </w:tbl>
    <w:p w14:paraId="4B3A6DDF" w14:textId="77777777" w:rsidR="00E40D2C" w:rsidRPr="00053B66" w:rsidRDefault="00E40D2C" w:rsidP="00635BCA"/>
    <w:p w14:paraId="5D0F86B1" w14:textId="49DACBB9" w:rsidR="00413D4F" w:rsidRDefault="00635BCA" w:rsidP="00635BCA">
      <w:pPr>
        <w:pStyle w:val="Heading1"/>
        <w:rPr>
          <w:lang w:val="fr-BE"/>
        </w:rPr>
      </w:pPr>
      <w:r w:rsidRPr="00557BD2">
        <w:rPr>
          <w:lang w:val="fr-BE"/>
        </w:rPr>
        <w:t>Questions</w:t>
      </w:r>
    </w:p>
    <w:p w14:paraId="5230794C" w14:textId="77777777" w:rsidR="00113E80" w:rsidRDefault="00113E80">
      <w:pPr>
        <w:spacing w:after="120" w:line="264" w:lineRule="auto"/>
        <w:jc w:val="left"/>
      </w:pPr>
      <w:r>
        <w:br w:type="page"/>
      </w:r>
    </w:p>
    <w:p w14:paraId="7D52DCC6" w14:textId="5E3F9284" w:rsidR="004F5A02" w:rsidRDefault="004F5A02" w:rsidP="004F5A02">
      <w:pPr>
        <w:rPr>
          <w:b/>
          <w:bCs/>
        </w:rPr>
      </w:pPr>
      <w:r w:rsidRPr="004F5A02">
        <w:rPr>
          <w:b/>
          <w:bCs/>
        </w:rPr>
        <w:lastRenderedPageBreak/>
        <w:t>3.1.1</w:t>
      </w:r>
      <w:r w:rsidRPr="004F5A02">
        <w:rPr>
          <w:b/>
          <w:bCs/>
        </w:rPr>
        <w:tab/>
        <w:t>Timing of allocations and confirmations</w:t>
      </w:r>
    </w:p>
    <w:p w14:paraId="2DC903F4" w14:textId="77777777" w:rsidR="005C5C54" w:rsidRPr="004F5A02" w:rsidRDefault="005C5C54" w:rsidP="004F5A02">
      <w:pPr>
        <w:rPr>
          <w:b/>
          <w:bCs/>
        </w:rPr>
      </w:pPr>
    </w:p>
    <w:p w14:paraId="78B91BA4" w14:textId="3B13F0DB" w:rsidR="00113E80" w:rsidRDefault="00113E80" w:rsidP="00113E80">
      <w:pPr>
        <w:pStyle w:val="Questionstyle"/>
        <w:numPr>
          <w:ilvl w:val="0"/>
          <w:numId w:val="14"/>
        </w:numPr>
        <w:tabs>
          <w:tab w:val="clear" w:pos="567"/>
        </w:tabs>
        <w:spacing w:after="240" w:line="256" w:lineRule="auto"/>
        <w:ind w:left="851" w:hanging="851"/>
        <w:rPr>
          <w:color w:val="auto"/>
        </w:rPr>
      </w:pPr>
      <w:r>
        <w:rPr>
          <w:bCs/>
        </w:rPr>
        <w:t>Do you agree with the proposed amendments to Articles 2(2) and 3 of CDR 2018/1229?</w:t>
      </w:r>
    </w:p>
    <w:p w14:paraId="70664FD2" w14:textId="77777777" w:rsidR="00113E80" w:rsidRDefault="00113E80" w:rsidP="00113E80">
      <w:r>
        <w:t>&lt;ESMA_QUESTION_CSDC_1&gt;</w:t>
      </w:r>
    </w:p>
    <w:p w14:paraId="14F30EF8" w14:textId="77777777" w:rsidR="00BC795D" w:rsidRPr="00FD7D95" w:rsidRDefault="00BC795D" w:rsidP="00FD7D95">
      <w:pPr>
        <w:ind w:left="426" w:right="543"/>
        <w:rPr>
          <w:rFonts w:ascii="Calibri" w:hAnsi="Calibri" w:cs="Calibri"/>
          <w:color w:val="008080"/>
        </w:rPr>
      </w:pPr>
      <w:permStart w:id="495002546" w:edGrp="everyone"/>
      <w:r w:rsidRPr="00FD7D95">
        <w:rPr>
          <w:rFonts w:ascii="Calibri" w:hAnsi="Calibri" w:cs="Calibri"/>
          <w:color w:val="008080"/>
        </w:rPr>
        <w:t>ISLA does not agree with the proposed amendments to Article 2(2) and 3 of the Commission Delegated Regulation 2018/1229 as we believe that the EU should look to seek global alignment where possible. In its final report, the UK's Accelerated Settlement Taskforce recommended a single deadline of 23:59 on T for allocations and confirmations. A similar approach has also been adopted in the US whereby there is a single deadline on T. ISLA members however agree with the proposal to delete the exemption for orders executed after 16.00 CET. ISLA recommends that the EU should maintain a similar approach as bifurcations of deadlines across jurisdictions will be more difficult for industry participants to manage and plus a single deadline on T would be more appropriate in a T+1 environment. To further support synchronisation of market practices, this requirement should come into effect concurrently with the T+1 requirement.</w:t>
      </w:r>
    </w:p>
    <w:permEnd w:id="495002546"/>
    <w:p w14:paraId="4CCCDD62" w14:textId="77777777" w:rsidR="00113E80" w:rsidRDefault="00113E80" w:rsidP="00113E80">
      <w:r>
        <w:t>&lt;ESMA_QUESTION_CSDC_1&gt;</w:t>
      </w:r>
    </w:p>
    <w:p w14:paraId="6A55D9DB" w14:textId="77777777" w:rsidR="00113E80" w:rsidRDefault="00113E80" w:rsidP="00113E80"/>
    <w:p w14:paraId="7A939DEB" w14:textId="77777777" w:rsidR="00113E80" w:rsidRDefault="00113E80" w:rsidP="00113E80">
      <w:pPr>
        <w:pStyle w:val="Questionstyle"/>
        <w:numPr>
          <w:ilvl w:val="0"/>
          <w:numId w:val="14"/>
        </w:numPr>
        <w:tabs>
          <w:tab w:val="clear" w:pos="567"/>
        </w:tabs>
        <w:spacing w:after="240" w:line="256" w:lineRule="auto"/>
        <w:ind w:left="851" w:hanging="851"/>
      </w:pPr>
      <w:r>
        <w:rPr>
          <w:bCs/>
        </w:rPr>
        <w:t>Would you see merit in introducing an obligation for investment firms to notify their professional clients the execution details of their orders as soon as these orders are fulfilled (in a way that allows STP)? If yes, should it be cumulative to the proposed amendments to Articles 2(2) and 3 of CDR 2018/1229?</w:t>
      </w:r>
    </w:p>
    <w:p w14:paraId="0C1E27C7" w14:textId="77777777" w:rsidR="00113E80" w:rsidRDefault="00113E80" w:rsidP="00113E80">
      <w:r>
        <w:t>&lt;ESMA_QUESTION_CSDC_2&gt;</w:t>
      </w:r>
    </w:p>
    <w:p w14:paraId="0866E244" w14:textId="77777777" w:rsidR="00013387" w:rsidRPr="00FD7D95" w:rsidRDefault="00013387" w:rsidP="00FD7D95">
      <w:pPr>
        <w:ind w:left="426" w:right="543"/>
        <w:rPr>
          <w:rFonts w:ascii="Calibri" w:hAnsi="Calibri" w:cs="Calibri"/>
          <w:color w:val="008080"/>
        </w:rPr>
      </w:pPr>
      <w:permStart w:id="212869392" w:edGrp="everyone"/>
      <w:r w:rsidRPr="00FD7D95">
        <w:rPr>
          <w:rFonts w:ascii="Calibri" w:hAnsi="Calibri" w:cs="Calibri"/>
          <w:color w:val="008080"/>
        </w:rPr>
        <w:t>ISLA notes that Article 59 of the MiFID II Delegated Regulation (EU) 2017/565 already sets out a requirement for investment firms to provide clients with essential information on the execution of their orders as soon as possible, but no later than the next business day after execution. Therefore, we do not consider that it is necessary to incorporate any additional mandate in CSDR.</w:t>
      </w:r>
    </w:p>
    <w:permEnd w:id="212869392"/>
    <w:p w14:paraId="26E3DD7C" w14:textId="77777777" w:rsidR="00113E80" w:rsidRDefault="00113E80" w:rsidP="00113E80">
      <w:r>
        <w:t>&lt;ESMA_QUESTION_CSDC_2&gt;</w:t>
      </w:r>
    </w:p>
    <w:p w14:paraId="0EB4A382" w14:textId="77777777" w:rsidR="00113E80" w:rsidRDefault="00113E80" w:rsidP="00113E80"/>
    <w:p w14:paraId="42F17450" w14:textId="77777777" w:rsidR="00113E80" w:rsidRDefault="00113E80" w:rsidP="00113E80">
      <w:pPr>
        <w:pStyle w:val="Questionstyle"/>
        <w:numPr>
          <w:ilvl w:val="0"/>
          <w:numId w:val="14"/>
        </w:numPr>
        <w:tabs>
          <w:tab w:val="clear" w:pos="567"/>
        </w:tabs>
        <w:spacing w:after="240" w:line="256" w:lineRule="auto"/>
        <w:ind w:left="851" w:hanging="851"/>
      </w:pPr>
      <w:r>
        <w:rPr>
          <w:bCs/>
        </w:rPr>
        <w:lastRenderedPageBreak/>
        <w:t>If you support an obligation for investment firms to notify their professional clients the execution as soon as the orders are fulfilled, do you think that clients should be allowed a maximum number of business hours for the allocations and confirmations from the moment of notification by investment firms, instead of having fixed deadlines? If yes, how many hours would be necessary for that?</w:t>
      </w:r>
    </w:p>
    <w:p w14:paraId="440802D8" w14:textId="77777777" w:rsidR="00113E80" w:rsidRDefault="00113E80" w:rsidP="00113E80">
      <w:r>
        <w:t>&lt;ESMA_QUESTION_CSDC_3&gt;</w:t>
      </w:r>
    </w:p>
    <w:p w14:paraId="0E689494" w14:textId="41D743C0" w:rsidR="00E4661C" w:rsidRPr="00FD7D95" w:rsidRDefault="00645B39" w:rsidP="00FD7D95">
      <w:pPr>
        <w:ind w:left="426" w:right="543"/>
        <w:rPr>
          <w:rFonts w:ascii="Calibri" w:hAnsi="Calibri" w:cs="Calibri"/>
          <w:color w:val="008080"/>
        </w:rPr>
      </w:pPr>
      <w:permStart w:id="633560411" w:edGrp="everyone"/>
      <w:r w:rsidRPr="00FD7D95">
        <w:rPr>
          <w:rFonts w:ascii="Calibri" w:hAnsi="Calibri" w:cs="Calibri"/>
          <w:color w:val="008080"/>
        </w:rPr>
        <w:t xml:space="preserve">As noted in response to Question 2, ISLA members consider that the requirements outlined in MiFID II is </w:t>
      </w:r>
      <w:r w:rsidR="00005AA0" w:rsidRPr="00FD7D95">
        <w:rPr>
          <w:rFonts w:ascii="Calibri" w:hAnsi="Calibri" w:cs="Calibri"/>
          <w:color w:val="008080"/>
        </w:rPr>
        <w:t>sufficient.</w:t>
      </w:r>
      <w:r w:rsidRPr="00FD7D95">
        <w:rPr>
          <w:rFonts w:ascii="Calibri" w:hAnsi="Calibri" w:cs="Calibri"/>
          <w:color w:val="008080"/>
        </w:rPr>
        <w:t xml:space="preserve"> </w:t>
      </w:r>
    </w:p>
    <w:permEnd w:id="633560411"/>
    <w:p w14:paraId="02D5EFA9" w14:textId="2E79B6DA" w:rsidR="00113E80" w:rsidRDefault="00113E80" w:rsidP="00113E80">
      <w:r>
        <w:t>&lt;ESMA_QUESTION_CSDC_3&gt;</w:t>
      </w:r>
    </w:p>
    <w:p w14:paraId="6457CF9B" w14:textId="77777777" w:rsidR="00113E80" w:rsidRDefault="00113E80" w:rsidP="00113E80"/>
    <w:p w14:paraId="17C45A67" w14:textId="77777777" w:rsidR="00113E80" w:rsidRDefault="00113E80" w:rsidP="00113E80">
      <w:pPr>
        <w:pStyle w:val="Questionstyle"/>
        <w:numPr>
          <w:ilvl w:val="0"/>
          <w:numId w:val="14"/>
        </w:numPr>
        <w:tabs>
          <w:tab w:val="clear" w:pos="567"/>
        </w:tabs>
        <w:spacing w:after="240" w:line="256" w:lineRule="auto"/>
        <w:ind w:left="851" w:hanging="851"/>
      </w:pPr>
      <w:r>
        <w:rPr>
          <w:bCs/>
        </w:rPr>
        <w:t>Should CDR 2018/1229 further specify the term ‘close of business’ for the purpose of Article 2(2)? If yes, how should this take into account the business day at CSD level?</w:t>
      </w:r>
    </w:p>
    <w:p w14:paraId="62CCDF3B" w14:textId="77777777" w:rsidR="00113E80" w:rsidRDefault="00113E80" w:rsidP="00113E80">
      <w:r>
        <w:t>&lt;ESMA_QUESTION_CSDC_4&gt;</w:t>
      </w:r>
    </w:p>
    <w:p w14:paraId="50582C2E" w14:textId="77777777" w:rsidR="00E4661C" w:rsidRPr="00FD7D95" w:rsidRDefault="00E4661C" w:rsidP="00FD7D95">
      <w:pPr>
        <w:ind w:right="543"/>
        <w:rPr>
          <w:rFonts w:ascii="Calibri" w:hAnsi="Calibri" w:cs="Calibri"/>
          <w:color w:val="008080"/>
        </w:rPr>
      </w:pPr>
      <w:permStart w:id="953572439" w:edGrp="everyone"/>
      <w:r w:rsidRPr="00FD7D95">
        <w:rPr>
          <w:rFonts w:ascii="Calibri" w:hAnsi="Calibri" w:cs="Calibri"/>
          <w:color w:val="008080"/>
        </w:rPr>
        <w:t>ISLA does not deem it necessary to specify the term ‘close of business’ for the purposes of Article 2(2), particularly in relation to securities lending practices, which are typically governed by Master Agreements and established best practices.</w:t>
      </w:r>
    </w:p>
    <w:p w14:paraId="169060DC" w14:textId="775CCE4C" w:rsidR="00FD7D95" w:rsidRDefault="00E4661C" w:rsidP="00113E80">
      <w:pPr>
        <w:rPr>
          <w:rFonts w:ascii="Calibri" w:hAnsi="Calibri" w:cs="Calibri"/>
          <w:color w:val="008080"/>
        </w:rPr>
      </w:pPr>
      <w:r w:rsidRPr="00FD7D95">
        <w:rPr>
          <w:rFonts w:ascii="Calibri" w:hAnsi="Calibri" w:cs="Calibri"/>
          <w:color w:val="008080"/>
        </w:rPr>
        <w:t xml:space="preserve">Instead, ISLA advocates for market-driven initiatives to guide operational practices, thereby providing the necessary flexibility to accommodate new technological </w:t>
      </w:r>
      <w:r w:rsidR="004E02C0" w:rsidRPr="00FD7D95">
        <w:rPr>
          <w:rFonts w:ascii="Calibri" w:hAnsi="Calibri" w:cs="Calibri"/>
          <w:color w:val="008080"/>
        </w:rPr>
        <w:t>developments.</w:t>
      </w:r>
    </w:p>
    <w:permEnd w:id="953572439"/>
    <w:p w14:paraId="63A4DA96" w14:textId="449801F8" w:rsidR="00113E80" w:rsidRDefault="00113E80" w:rsidP="00113E80">
      <w:r>
        <w:t>&lt;ESMA_QUESTION_CSDC_4&gt;</w:t>
      </w:r>
    </w:p>
    <w:p w14:paraId="4662880E" w14:textId="77777777" w:rsidR="00113E80" w:rsidRDefault="00113E80" w:rsidP="00113E80"/>
    <w:p w14:paraId="4D0A5993" w14:textId="77777777" w:rsidR="00113E80" w:rsidRDefault="00113E80" w:rsidP="00113E80">
      <w:pPr>
        <w:pStyle w:val="Questionstyle"/>
        <w:numPr>
          <w:ilvl w:val="0"/>
          <w:numId w:val="14"/>
        </w:numPr>
        <w:tabs>
          <w:tab w:val="clear" w:pos="567"/>
        </w:tabs>
        <w:spacing w:after="240" w:line="256" w:lineRule="auto"/>
        <w:ind w:left="851" w:hanging="851"/>
      </w:pPr>
      <w:r>
        <w:rPr>
          <w:bCs/>
        </w:rPr>
        <w:t>Should the 10:00 CET deadline for professional clients in different time zones and retail clients be brought forward to 07:00 CET on T+1, to be aligned with the UK deadline?</w:t>
      </w:r>
    </w:p>
    <w:p w14:paraId="211B4A19" w14:textId="77777777" w:rsidR="00113E80" w:rsidRDefault="00113E80" w:rsidP="00113E80">
      <w:r>
        <w:t>&lt;ESMA_QUESTION_CSDC_5&gt;</w:t>
      </w:r>
    </w:p>
    <w:p w14:paraId="722EA8A0" w14:textId="77777777" w:rsidR="00800C90" w:rsidRPr="00E37D2E" w:rsidRDefault="00800C90" w:rsidP="00800C90">
      <w:pPr>
        <w:ind w:left="426" w:right="543"/>
        <w:rPr>
          <w:rFonts w:ascii="Calibri" w:hAnsi="Calibri" w:cs="Calibri"/>
          <w:color w:val="008080"/>
        </w:rPr>
      </w:pPr>
      <w:permStart w:id="2044342554" w:edGrp="everyone"/>
      <w:r w:rsidRPr="00E37D2E">
        <w:rPr>
          <w:rFonts w:ascii="Calibri" w:hAnsi="Calibri" w:cs="Calibri"/>
          <w:color w:val="008080"/>
        </w:rPr>
        <w:t xml:space="preserve">ISLA would like to note that the UK suggested a single deadline for processing allocations and confirmations no later than 23:59 on trade date however, the deadline that ESMA refers to is with regards to the deadline for settlement instructions, which is 5:59 UK Time (6:59 CET), hence moving the deadline to 10:00 CET would not achieve alignment. As </w:t>
      </w:r>
      <w:r w:rsidRPr="00E37D2E">
        <w:rPr>
          <w:rFonts w:ascii="Calibri" w:hAnsi="Calibri" w:cs="Calibri"/>
          <w:color w:val="008080"/>
        </w:rPr>
        <w:lastRenderedPageBreak/>
        <w:t xml:space="preserve">referred to in our response to question 1, ISLA would propose a single deadline for allocations and conformations at 23.59 on Trade Date. </w:t>
      </w:r>
    </w:p>
    <w:p w14:paraId="2EF677ED" w14:textId="7A89F5E4" w:rsidR="00113E80" w:rsidRDefault="00800C90" w:rsidP="00FD7D95">
      <w:pPr>
        <w:ind w:left="426" w:right="543"/>
      </w:pPr>
      <w:r w:rsidRPr="00E37D2E">
        <w:rPr>
          <w:rFonts w:ascii="Calibri" w:hAnsi="Calibri" w:cs="Calibri"/>
          <w:color w:val="008080"/>
        </w:rPr>
        <w:t>We do not support the introduction of the proposed regulatory deadline and refer to our answer to Q1, highlighting that notification timelines and recognition of local business day are well catered for in Best Practices and the governing GMSLA.</w:t>
      </w:r>
    </w:p>
    <w:permEnd w:id="2044342554"/>
    <w:p w14:paraId="40638694" w14:textId="77777777" w:rsidR="00113E80" w:rsidRDefault="00113E80" w:rsidP="00113E80">
      <w:r>
        <w:t>&lt;ESMA_QUESTION_CSDC_5&gt;</w:t>
      </w:r>
    </w:p>
    <w:p w14:paraId="452EC08B" w14:textId="77777777" w:rsidR="00113E80" w:rsidRDefault="00113E80" w:rsidP="00113E80"/>
    <w:p w14:paraId="2D9D7A1A" w14:textId="77777777" w:rsidR="00113E80" w:rsidRDefault="00113E80" w:rsidP="00113E80">
      <w:pPr>
        <w:pStyle w:val="Questionstyle"/>
        <w:numPr>
          <w:ilvl w:val="0"/>
          <w:numId w:val="14"/>
        </w:numPr>
        <w:tabs>
          <w:tab w:val="clear" w:pos="567"/>
        </w:tabs>
        <w:spacing w:after="240" w:line="256" w:lineRule="auto"/>
        <w:ind w:left="851" w:hanging="851"/>
      </w:pPr>
      <w:r>
        <w:t>Can you suggest any other means to achieve the same objective? If yes, please elaborate</w:t>
      </w:r>
    </w:p>
    <w:p w14:paraId="0D61F69D" w14:textId="77777777" w:rsidR="00113E80" w:rsidRDefault="00113E80" w:rsidP="00113E80">
      <w:r>
        <w:t>&lt;ESMA_QUESTION_CSDC_6&gt;</w:t>
      </w:r>
    </w:p>
    <w:p w14:paraId="34805DA2" w14:textId="211C37B7" w:rsidR="00C9103C" w:rsidRPr="00887537" w:rsidRDefault="00C9103C" w:rsidP="00C9103C">
      <w:pPr>
        <w:ind w:left="426" w:right="543"/>
        <w:rPr>
          <w:rFonts w:ascii="Calibri" w:hAnsi="Calibri" w:cs="Calibri"/>
          <w:color w:val="008080"/>
        </w:rPr>
      </w:pPr>
      <w:permStart w:id="1632175159" w:edGrp="everyone"/>
      <w:r w:rsidRPr="00887537">
        <w:rPr>
          <w:rFonts w:ascii="Calibri" w:hAnsi="Calibri" w:cs="Calibri"/>
          <w:color w:val="008080"/>
        </w:rPr>
        <w:t xml:space="preserve">ISLA does not suggest any additional regulatory </w:t>
      </w:r>
      <w:r w:rsidR="004E02C0" w:rsidRPr="00887537">
        <w:rPr>
          <w:rFonts w:ascii="Calibri" w:hAnsi="Calibri" w:cs="Calibri"/>
          <w:color w:val="008080"/>
        </w:rPr>
        <w:t>requirements; however,</w:t>
      </w:r>
      <w:r w:rsidRPr="00887537">
        <w:rPr>
          <w:rFonts w:ascii="Calibri" w:hAnsi="Calibri" w:cs="Calibri"/>
          <w:color w:val="008080"/>
        </w:rPr>
        <w:t xml:space="preserve"> it should be noted that best practice recommendations under the EU T+1 Industry Committee are currently working on a set of recommendations that should be read in conjunction with the RTS. </w:t>
      </w:r>
    </w:p>
    <w:permEnd w:id="1632175159"/>
    <w:p w14:paraId="3722C31D" w14:textId="77777777" w:rsidR="00113E80" w:rsidRDefault="00113E80" w:rsidP="00113E80">
      <w:r>
        <w:t>&lt;ESMA_QUESTION_CSDC_6&gt;</w:t>
      </w:r>
    </w:p>
    <w:p w14:paraId="359036A3" w14:textId="77777777" w:rsidR="005C5C54" w:rsidRDefault="005C5C54" w:rsidP="00113E80"/>
    <w:p w14:paraId="4BA411D8" w14:textId="7C721964" w:rsidR="00113E80" w:rsidRDefault="005C5C54" w:rsidP="00113E80">
      <w:pPr>
        <w:rPr>
          <w:b/>
          <w:bCs/>
        </w:rPr>
      </w:pPr>
      <w:r w:rsidRPr="005C5C54">
        <w:rPr>
          <w:b/>
          <w:bCs/>
        </w:rPr>
        <w:t>3.1.2</w:t>
      </w:r>
      <w:r w:rsidRPr="005C5C54">
        <w:rPr>
          <w:b/>
          <w:bCs/>
        </w:rPr>
        <w:tab/>
        <w:t>Means for sending allocations and confirmations</w:t>
      </w:r>
    </w:p>
    <w:p w14:paraId="5113B20F" w14:textId="77777777" w:rsidR="005C5C54" w:rsidRPr="005C5C54" w:rsidRDefault="005C5C54" w:rsidP="00113E80">
      <w:pPr>
        <w:rPr>
          <w:b/>
          <w:bCs/>
        </w:rPr>
      </w:pPr>
    </w:p>
    <w:p w14:paraId="704D61EF" w14:textId="77777777" w:rsidR="00113E80" w:rsidRDefault="00113E80" w:rsidP="00113E80">
      <w:pPr>
        <w:pStyle w:val="Questionstyle"/>
        <w:numPr>
          <w:ilvl w:val="0"/>
          <w:numId w:val="14"/>
        </w:numPr>
        <w:tabs>
          <w:tab w:val="clear" w:pos="567"/>
        </w:tabs>
        <w:spacing w:after="240" w:line="256" w:lineRule="auto"/>
        <w:ind w:left="851" w:hanging="851"/>
      </w:pPr>
      <w:r>
        <w:t>Do you agree to make the use of electronic and machine-readable format that allow for STP mandatory for written allocations?</w:t>
      </w:r>
    </w:p>
    <w:p w14:paraId="63B2FF30" w14:textId="77777777" w:rsidR="00113E80" w:rsidRDefault="00113E80" w:rsidP="00113E80">
      <w:r>
        <w:t>&lt;ESMA_QUESTION_CSDC_7&gt;</w:t>
      </w:r>
    </w:p>
    <w:p w14:paraId="6931040A" w14:textId="77777777" w:rsidR="00E13BB5" w:rsidRPr="003C3D37" w:rsidRDefault="00E13BB5" w:rsidP="00E13BB5">
      <w:pPr>
        <w:ind w:left="426" w:right="543"/>
        <w:rPr>
          <w:rFonts w:ascii="Calibri" w:hAnsi="Calibri" w:cs="Calibri"/>
          <w:color w:val="008080"/>
        </w:rPr>
      </w:pPr>
      <w:permStart w:id="710046495" w:edGrp="everyone"/>
      <w:r w:rsidRPr="003C3D37">
        <w:rPr>
          <w:rFonts w:ascii="Calibri" w:hAnsi="Calibri" w:cs="Calibri"/>
          <w:color w:val="008080"/>
        </w:rPr>
        <w:t xml:space="preserve">ISLA supports the mandatory adoption of ‘electronic and machine-readable’ formats that allow STP for the communication of allocations and confirmations. ISLA would however request that ESMA review the definition of ‘machine-readable’ as we do not believe that, for example, Bloomberg Chat and Email </w:t>
      </w:r>
      <w:r>
        <w:rPr>
          <w:rFonts w:ascii="Calibri" w:hAnsi="Calibri" w:cs="Calibri"/>
          <w:color w:val="008080"/>
        </w:rPr>
        <w:t xml:space="preserve">should </w:t>
      </w:r>
      <w:r w:rsidRPr="003C3D37">
        <w:rPr>
          <w:rFonts w:ascii="Calibri" w:hAnsi="Calibri" w:cs="Calibri"/>
          <w:color w:val="008080"/>
        </w:rPr>
        <w:t>be considered in this category. ISLA would propose this is confirmed by ESMA in Level 3 guidance</w:t>
      </w:r>
      <w:r>
        <w:rPr>
          <w:rFonts w:ascii="Calibri" w:hAnsi="Calibri" w:cs="Calibri"/>
          <w:color w:val="008080"/>
        </w:rPr>
        <w:t>,</w:t>
      </w:r>
      <w:r w:rsidRPr="003C3D37">
        <w:rPr>
          <w:rFonts w:ascii="Calibri" w:hAnsi="Calibri" w:cs="Calibri"/>
          <w:color w:val="008080"/>
        </w:rPr>
        <w:t xml:space="preserve"> to include communication via standardised formats such as CSV, JSON, and </w:t>
      </w:r>
      <w:r>
        <w:rPr>
          <w:rFonts w:ascii="Calibri" w:hAnsi="Calibri" w:cs="Calibri"/>
          <w:color w:val="008080"/>
        </w:rPr>
        <w:t xml:space="preserve">XML </w:t>
      </w:r>
      <w:r w:rsidRPr="003C3D37">
        <w:rPr>
          <w:rFonts w:ascii="Calibri" w:hAnsi="Calibri" w:cs="Calibri"/>
          <w:color w:val="008080"/>
        </w:rPr>
        <w:t xml:space="preserve">as an example. </w:t>
      </w:r>
    </w:p>
    <w:p w14:paraId="1874E60D" w14:textId="77777777" w:rsidR="00E13BB5" w:rsidRDefault="00E13BB5" w:rsidP="00E13BB5">
      <w:pPr>
        <w:ind w:left="426" w:right="543"/>
        <w:rPr>
          <w:rFonts w:ascii="Calibri" w:hAnsi="Calibri" w:cs="Calibri"/>
          <w:color w:val="008080"/>
        </w:rPr>
      </w:pPr>
      <w:r w:rsidRPr="003C3D37">
        <w:rPr>
          <w:rFonts w:ascii="Calibri" w:hAnsi="Calibri" w:cs="Calibri"/>
          <w:color w:val="008080"/>
        </w:rPr>
        <w:t>Furthermore, ISLA would like to make ESMA aware that we are currently developing, in conjunction with ISDA and ICMA, a Common Domain Model</w:t>
      </w:r>
      <w:r>
        <w:rPr>
          <w:rFonts w:ascii="Calibri" w:hAnsi="Calibri" w:cs="Calibri"/>
          <w:color w:val="008080"/>
        </w:rPr>
        <w:t xml:space="preserve"> (CDM)</w:t>
      </w:r>
      <w:r w:rsidRPr="003C3D37">
        <w:rPr>
          <w:rFonts w:ascii="Calibri" w:hAnsi="Calibri" w:cs="Calibri"/>
          <w:color w:val="008080"/>
        </w:rPr>
        <w:t xml:space="preserve"> that is designed to </w:t>
      </w:r>
      <w:r w:rsidRPr="003C3D37">
        <w:rPr>
          <w:rFonts w:ascii="Calibri" w:hAnsi="Calibri" w:cs="Calibri"/>
          <w:color w:val="008080"/>
        </w:rPr>
        <w:lastRenderedPageBreak/>
        <w:t>standardise communication amongst market participants</w:t>
      </w:r>
      <w:r>
        <w:rPr>
          <w:rFonts w:ascii="Calibri" w:hAnsi="Calibri" w:cs="Calibri"/>
          <w:color w:val="008080"/>
        </w:rPr>
        <w:t xml:space="preserve"> as well as </w:t>
      </w:r>
      <w:r w:rsidRPr="00C116FB">
        <w:rPr>
          <w:rFonts w:ascii="Calibri" w:hAnsi="Calibri" w:cs="Calibri"/>
          <w:color w:val="008080"/>
        </w:rPr>
        <w:t>unify a series of actions, life cycle events and product definitions though the development of a single language or code</w:t>
      </w:r>
      <w:r>
        <w:rPr>
          <w:rFonts w:ascii="Calibri" w:hAnsi="Calibri" w:cs="Calibri"/>
          <w:color w:val="008080"/>
        </w:rPr>
        <w:t xml:space="preserve">. </w:t>
      </w:r>
      <w:r w:rsidRPr="003C3D37">
        <w:rPr>
          <w:rFonts w:ascii="Calibri" w:hAnsi="Calibri" w:cs="Calibri"/>
          <w:color w:val="008080"/>
        </w:rPr>
        <w:t>The CDM provides a standardi</w:t>
      </w:r>
      <w:r>
        <w:rPr>
          <w:rFonts w:ascii="Calibri" w:hAnsi="Calibri" w:cs="Calibri"/>
          <w:color w:val="008080"/>
        </w:rPr>
        <w:t>s</w:t>
      </w:r>
      <w:r w:rsidRPr="003C3D37">
        <w:rPr>
          <w:rFonts w:ascii="Calibri" w:hAnsi="Calibri" w:cs="Calibri"/>
          <w:color w:val="008080"/>
        </w:rPr>
        <w:t>ed, machine-readable, and machine-executable model that represents financial products and their lifecycle events. This standardi</w:t>
      </w:r>
      <w:r>
        <w:rPr>
          <w:rFonts w:ascii="Calibri" w:hAnsi="Calibri" w:cs="Calibri"/>
          <w:color w:val="008080"/>
        </w:rPr>
        <w:t>s</w:t>
      </w:r>
      <w:r w:rsidRPr="003C3D37">
        <w:rPr>
          <w:rFonts w:ascii="Calibri" w:hAnsi="Calibri" w:cs="Calibri"/>
          <w:color w:val="008080"/>
        </w:rPr>
        <w:t xml:space="preserve">ation is crucial for ensuring consistency in how data is exchanged between different parties. By establishing a common language and structure, </w:t>
      </w:r>
      <w:r>
        <w:rPr>
          <w:rFonts w:ascii="Calibri" w:hAnsi="Calibri" w:cs="Calibri"/>
          <w:color w:val="008080"/>
        </w:rPr>
        <w:t>adoption of the</w:t>
      </w:r>
      <w:r w:rsidRPr="003C3D37">
        <w:rPr>
          <w:rFonts w:ascii="Calibri" w:hAnsi="Calibri" w:cs="Calibri"/>
          <w:color w:val="008080"/>
        </w:rPr>
        <w:t xml:space="preserve"> CDM</w:t>
      </w:r>
      <w:r>
        <w:rPr>
          <w:rFonts w:ascii="Calibri" w:hAnsi="Calibri" w:cs="Calibri"/>
          <w:color w:val="008080"/>
        </w:rPr>
        <w:t xml:space="preserve"> would </w:t>
      </w:r>
      <w:r w:rsidRPr="003C3D37">
        <w:rPr>
          <w:rFonts w:ascii="Calibri" w:hAnsi="Calibri" w:cs="Calibri"/>
          <w:color w:val="008080"/>
        </w:rPr>
        <w:t>reduce ambiguities and discrepancies that often lead to errors and delays in allocation and confirmation processes.</w:t>
      </w:r>
    </w:p>
    <w:p w14:paraId="57AA4235" w14:textId="77777777" w:rsidR="00E13BB5" w:rsidRDefault="00E13BB5" w:rsidP="00E13BB5">
      <w:pPr>
        <w:ind w:left="426" w:right="543"/>
        <w:rPr>
          <w:rFonts w:ascii="Calibri" w:hAnsi="Calibri" w:cs="Calibri"/>
          <w:color w:val="008080"/>
        </w:rPr>
      </w:pPr>
      <w:r w:rsidRPr="00932955">
        <w:rPr>
          <w:rFonts w:ascii="Calibri" w:hAnsi="Calibri" w:cs="Calibri"/>
          <w:color w:val="008080"/>
        </w:rPr>
        <w:t>A key goal of the CDM is to improve interoperability between different systems and platforms used by market participants. This is particularly relevant for allocations and confirmations, which often involve the exchange of data between multiple parties and systems. Standardi</w:t>
      </w:r>
      <w:r>
        <w:rPr>
          <w:rFonts w:ascii="Calibri" w:hAnsi="Calibri" w:cs="Calibri"/>
          <w:color w:val="008080"/>
        </w:rPr>
        <w:t>s</w:t>
      </w:r>
      <w:r w:rsidRPr="00932955">
        <w:rPr>
          <w:rFonts w:ascii="Calibri" w:hAnsi="Calibri" w:cs="Calibri"/>
          <w:color w:val="008080"/>
        </w:rPr>
        <w:t xml:space="preserve">ation through the CDM </w:t>
      </w:r>
      <w:r>
        <w:rPr>
          <w:rFonts w:ascii="Calibri" w:hAnsi="Calibri" w:cs="Calibri"/>
          <w:color w:val="008080"/>
        </w:rPr>
        <w:t xml:space="preserve">would </w:t>
      </w:r>
      <w:r w:rsidRPr="00932955">
        <w:rPr>
          <w:rFonts w:ascii="Calibri" w:hAnsi="Calibri" w:cs="Calibri"/>
          <w:color w:val="008080"/>
        </w:rPr>
        <w:t>facilitate seamless data exchange, reducing the need for manual reconciliation and improving straight-through processing</w:t>
      </w:r>
      <w:r>
        <w:rPr>
          <w:rFonts w:ascii="Calibri" w:hAnsi="Calibri" w:cs="Calibri"/>
          <w:color w:val="008080"/>
        </w:rPr>
        <w:t>. It also significantly reduces operational risk.</w:t>
      </w:r>
    </w:p>
    <w:p w14:paraId="39BAE204" w14:textId="77777777" w:rsidR="00E13BB5" w:rsidRPr="00843EF1" w:rsidRDefault="00E13BB5" w:rsidP="00E13BB5">
      <w:pPr>
        <w:spacing w:after="0"/>
        <w:ind w:left="426" w:right="543"/>
        <w:rPr>
          <w:rFonts w:ascii="Calibri" w:hAnsi="Calibri" w:cs="Calibri"/>
        </w:rPr>
      </w:pPr>
      <w:r>
        <w:rPr>
          <w:rFonts w:ascii="Calibri" w:hAnsi="Calibri" w:cs="Calibri"/>
          <w:color w:val="008080"/>
        </w:rPr>
        <w:t xml:space="preserve">Adoption of the CDM market standards would ensure </w:t>
      </w:r>
      <w:r w:rsidRPr="00116E74">
        <w:rPr>
          <w:rFonts w:ascii="Calibri" w:hAnsi="Calibri" w:cs="Calibri"/>
          <w:color w:val="008080"/>
        </w:rPr>
        <w:t>that allocations are communicated in a standardised, electronic format.</w:t>
      </w:r>
      <w:r>
        <w:rPr>
          <w:rFonts w:ascii="Calibri" w:hAnsi="Calibri" w:cs="Calibri"/>
        </w:rPr>
        <w:t xml:space="preserve"> </w:t>
      </w:r>
      <w:r>
        <w:rPr>
          <w:rFonts w:ascii="Calibri" w:hAnsi="Calibri" w:cs="Calibri"/>
          <w:color w:val="008080"/>
        </w:rPr>
        <w:t xml:space="preserve">For more information on the ISLA, ICMA and ISDA Common Domain Model, please click </w:t>
      </w:r>
      <w:hyperlink r:id="rId17" w:history="1">
        <w:r w:rsidRPr="0069576A">
          <w:rPr>
            <w:rStyle w:val="Hyperlink"/>
            <w:rFonts w:ascii="Calibri" w:hAnsi="Calibri" w:cs="Calibri"/>
            <w:color w:val="CC0066"/>
          </w:rPr>
          <w:t>here</w:t>
        </w:r>
      </w:hyperlink>
      <w:r>
        <w:rPr>
          <w:rFonts w:ascii="Calibri" w:hAnsi="Calibri" w:cs="Calibri"/>
          <w:color w:val="008080"/>
        </w:rPr>
        <w:t xml:space="preserve">. </w:t>
      </w:r>
    </w:p>
    <w:permEnd w:id="710046495"/>
    <w:p w14:paraId="1E8BB4E4" w14:textId="77777777" w:rsidR="00113E80" w:rsidRDefault="00113E80" w:rsidP="00113E80">
      <w:r>
        <w:t>&lt;ESMA_QUESTION_CSDC_7&gt;</w:t>
      </w:r>
    </w:p>
    <w:p w14:paraId="70A75B7A" w14:textId="77777777" w:rsidR="00113E80" w:rsidRDefault="00113E80" w:rsidP="00113E80"/>
    <w:p w14:paraId="5F6D508D" w14:textId="77777777" w:rsidR="00113E80" w:rsidRDefault="00113E80" w:rsidP="00113E80">
      <w:pPr>
        <w:pStyle w:val="Questionstyle"/>
        <w:numPr>
          <w:ilvl w:val="0"/>
          <w:numId w:val="14"/>
        </w:numPr>
        <w:tabs>
          <w:tab w:val="clear" w:pos="567"/>
        </w:tabs>
        <w:spacing w:after="240" w:line="256" w:lineRule="auto"/>
        <w:ind w:left="851" w:hanging="851"/>
      </w:pPr>
      <w:r>
        <w:rPr>
          <w:bCs/>
        </w:rPr>
        <w:t>Would you see merit in introducing optionality for investment firms to set deadlines based on whether an electronic, machine-readable format of the communication is used? In such case, do you agree that an earlier deadline could be set for non-machine readable formats, so clients are disincentivised to use them? Which should be such deadline?</w:t>
      </w:r>
    </w:p>
    <w:p w14:paraId="7FB82D86" w14:textId="77777777" w:rsidR="00113E80" w:rsidRDefault="00113E80" w:rsidP="00113E80">
      <w:r>
        <w:t>&lt;ESMA_QUESTION_CSDC_8&gt;</w:t>
      </w:r>
    </w:p>
    <w:p w14:paraId="3E040916" w14:textId="77777777" w:rsidR="00CA649D" w:rsidRPr="00F700F8" w:rsidRDefault="00CA649D" w:rsidP="00CA649D">
      <w:pPr>
        <w:ind w:left="426" w:right="543"/>
        <w:rPr>
          <w:rFonts w:ascii="Calibri" w:hAnsi="Calibri" w:cs="Calibri"/>
          <w:color w:val="008080"/>
        </w:rPr>
      </w:pPr>
      <w:permStart w:id="1760119091" w:edGrp="everyone"/>
      <w:r w:rsidRPr="000C2413">
        <w:rPr>
          <w:rFonts w:ascii="Calibri" w:hAnsi="Calibri" w:cs="Calibri"/>
          <w:color w:val="008080"/>
        </w:rPr>
        <w:t xml:space="preserve">ISLA does not support the introduction of optionality for investment firms to set deadlines based on whether an electronic, or machine-readable format of communication is used. This would introduce unnecessary fragmentation of processes which could ultimately lead to inefficiencies in </w:t>
      </w:r>
      <w:r>
        <w:rPr>
          <w:rFonts w:ascii="Calibri" w:hAnsi="Calibri" w:cs="Calibri"/>
          <w:color w:val="008080"/>
        </w:rPr>
        <w:t xml:space="preserve">the </w:t>
      </w:r>
      <w:r w:rsidRPr="000C2413">
        <w:rPr>
          <w:rFonts w:ascii="Calibri" w:hAnsi="Calibri" w:cs="Calibri"/>
          <w:color w:val="008080"/>
        </w:rPr>
        <w:t>settlement process.</w:t>
      </w:r>
    </w:p>
    <w:permEnd w:id="1760119091"/>
    <w:p w14:paraId="34F6524B" w14:textId="77777777" w:rsidR="00113E80" w:rsidRDefault="00113E80" w:rsidP="00113E80">
      <w:r>
        <w:t>&lt;ESMA_QUESTION_CSDC_8&gt;</w:t>
      </w:r>
    </w:p>
    <w:p w14:paraId="68BFCFED" w14:textId="77777777" w:rsidR="00113E80" w:rsidRDefault="00113E80" w:rsidP="00113E80"/>
    <w:p w14:paraId="21989848" w14:textId="77777777" w:rsidR="00113E80" w:rsidRDefault="00113E80" w:rsidP="00113E80">
      <w:pPr>
        <w:pStyle w:val="Questionstyle"/>
        <w:numPr>
          <w:ilvl w:val="0"/>
          <w:numId w:val="14"/>
        </w:numPr>
        <w:tabs>
          <w:tab w:val="clear" w:pos="567"/>
        </w:tabs>
        <w:spacing w:after="240" w:line="256" w:lineRule="auto"/>
        <w:ind w:left="851" w:hanging="851"/>
      </w:pPr>
      <w:r>
        <w:lastRenderedPageBreak/>
        <w:t>Please provide quantitative evidence regarding the use of non-machine readable formats for written allocations and confirmations.</w:t>
      </w:r>
    </w:p>
    <w:p w14:paraId="7616CC2F" w14:textId="77777777" w:rsidR="00113E80" w:rsidRDefault="00113E80" w:rsidP="00113E80">
      <w:r>
        <w:t>&lt;ESMA_QUESTION_CSDC_9&gt;</w:t>
      </w:r>
    </w:p>
    <w:p w14:paraId="4AAB11BE" w14:textId="77777777" w:rsidR="00065A12" w:rsidRPr="001F3B1D" w:rsidRDefault="00065A12" w:rsidP="00065A12">
      <w:pPr>
        <w:ind w:left="426" w:right="543"/>
        <w:rPr>
          <w:rFonts w:ascii="Calibri" w:hAnsi="Calibri" w:cs="Calibri"/>
          <w:color w:val="008080"/>
        </w:rPr>
      </w:pPr>
      <w:permStart w:id="310472498" w:edGrp="everyone"/>
      <w:r>
        <w:rPr>
          <w:rFonts w:ascii="Calibri" w:hAnsi="Calibri" w:cs="Calibri"/>
          <w:color w:val="008080"/>
        </w:rPr>
        <w:t xml:space="preserve">Although ISLA members acknowledge that use of non-machine-readable formats for communication exist today, we would recommend that to allow for STP, it is necessary to promote the use of machine-readable formats of communication. </w:t>
      </w:r>
      <w:r w:rsidRPr="001F3B1D">
        <w:rPr>
          <w:rFonts w:ascii="Calibri" w:hAnsi="Calibri" w:cs="Calibri"/>
          <w:color w:val="008080"/>
        </w:rPr>
        <w:t xml:space="preserve">ISLA members discussed the possibility of gathering </w:t>
      </w:r>
      <w:r>
        <w:rPr>
          <w:rFonts w:ascii="Calibri" w:hAnsi="Calibri" w:cs="Calibri"/>
          <w:color w:val="008080"/>
        </w:rPr>
        <w:t>estimations and volumes of allocations and confirmations received in these formats h</w:t>
      </w:r>
      <w:r w:rsidRPr="001F3B1D">
        <w:rPr>
          <w:rFonts w:ascii="Calibri" w:hAnsi="Calibri" w:cs="Calibri"/>
          <w:color w:val="008080"/>
        </w:rPr>
        <w:t>owever</w:t>
      </w:r>
      <w:r>
        <w:rPr>
          <w:rFonts w:ascii="Calibri" w:hAnsi="Calibri" w:cs="Calibri"/>
          <w:color w:val="008080"/>
        </w:rPr>
        <w:t>,</w:t>
      </w:r>
      <w:r w:rsidRPr="001F3B1D">
        <w:rPr>
          <w:rFonts w:ascii="Calibri" w:hAnsi="Calibri" w:cs="Calibri"/>
          <w:color w:val="008080"/>
        </w:rPr>
        <w:t xml:space="preserve"> the time required to collate th</w:t>
      </w:r>
      <w:r>
        <w:rPr>
          <w:rFonts w:ascii="Calibri" w:hAnsi="Calibri" w:cs="Calibri"/>
          <w:color w:val="008080"/>
        </w:rPr>
        <w:t>is information</w:t>
      </w:r>
      <w:r w:rsidRPr="001F3B1D">
        <w:rPr>
          <w:rFonts w:ascii="Calibri" w:hAnsi="Calibri" w:cs="Calibri"/>
          <w:color w:val="008080"/>
        </w:rPr>
        <w:t xml:space="preserve"> exceed</w:t>
      </w:r>
      <w:r>
        <w:rPr>
          <w:rFonts w:ascii="Calibri" w:hAnsi="Calibri" w:cs="Calibri"/>
          <w:color w:val="008080"/>
        </w:rPr>
        <w:t>ed</w:t>
      </w:r>
      <w:r w:rsidRPr="001F3B1D">
        <w:rPr>
          <w:rFonts w:ascii="Calibri" w:hAnsi="Calibri" w:cs="Calibri"/>
          <w:color w:val="008080"/>
        </w:rPr>
        <w:t xml:space="preserve"> the available duration of this consultation. </w:t>
      </w:r>
      <w:r>
        <w:rPr>
          <w:rFonts w:ascii="Calibri" w:hAnsi="Calibri" w:cs="Calibri"/>
          <w:color w:val="008080"/>
        </w:rPr>
        <w:t>ISLA</w:t>
      </w:r>
      <w:r w:rsidRPr="001F3B1D">
        <w:rPr>
          <w:rFonts w:ascii="Calibri" w:hAnsi="Calibri" w:cs="Calibri"/>
          <w:color w:val="008080"/>
        </w:rPr>
        <w:t xml:space="preserve"> will continue to work with members </w:t>
      </w:r>
      <w:r>
        <w:rPr>
          <w:rFonts w:ascii="Calibri" w:hAnsi="Calibri" w:cs="Calibri"/>
          <w:color w:val="008080"/>
        </w:rPr>
        <w:t xml:space="preserve">to gather evidence on volumes. </w:t>
      </w:r>
    </w:p>
    <w:permEnd w:id="310472498"/>
    <w:p w14:paraId="286A443C" w14:textId="77777777" w:rsidR="00113E80" w:rsidRDefault="00113E80" w:rsidP="00113E80">
      <w:r>
        <w:t>&lt;ESMA_QUESTION_CSDC_9&gt;</w:t>
      </w:r>
    </w:p>
    <w:p w14:paraId="0FC884AC" w14:textId="77777777" w:rsidR="00113E80" w:rsidRDefault="00113E80" w:rsidP="00113E80"/>
    <w:p w14:paraId="1A9669EB" w14:textId="77777777" w:rsidR="00113E80" w:rsidRDefault="00113E80" w:rsidP="00113E80">
      <w:pPr>
        <w:pStyle w:val="Questionstyle"/>
        <w:numPr>
          <w:ilvl w:val="0"/>
          <w:numId w:val="14"/>
        </w:numPr>
        <w:tabs>
          <w:tab w:val="clear" w:pos="567"/>
        </w:tabs>
        <w:spacing w:after="240" w:line="256" w:lineRule="auto"/>
        <w:ind w:left="851" w:hanging="851"/>
      </w:pPr>
      <w:r>
        <w:rPr>
          <w:bCs/>
        </w:rPr>
        <w:t xml:space="preserve">Would it be necessary to introduce a similar obligation in other steps of the settlement chain? If yes, please elaborate. </w:t>
      </w:r>
    </w:p>
    <w:p w14:paraId="176A0F07" w14:textId="77777777" w:rsidR="00113E80" w:rsidRDefault="00113E80" w:rsidP="00113E80">
      <w:r>
        <w:t>&lt;ESMA_QUESTION_CSDC_10&gt;</w:t>
      </w:r>
    </w:p>
    <w:p w14:paraId="229BA12F" w14:textId="77777777" w:rsidR="007006FE" w:rsidRPr="008C0D8E" w:rsidRDefault="007006FE" w:rsidP="007006FE">
      <w:pPr>
        <w:pStyle w:val="ListParagraph"/>
        <w:ind w:left="426" w:right="543"/>
        <w:rPr>
          <w:rFonts w:ascii="Calibri" w:hAnsi="Calibri" w:cs="Calibri"/>
        </w:rPr>
      </w:pPr>
      <w:permStart w:id="2082210732" w:edGrp="everyone"/>
      <w:r>
        <w:rPr>
          <w:rFonts w:ascii="Calibri" w:hAnsi="Calibri" w:cs="Calibri"/>
          <w:color w:val="008080"/>
        </w:rPr>
        <w:t xml:space="preserve">No. </w:t>
      </w:r>
      <w:r w:rsidRPr="005F29D5">
        <w:rPr>
          <w:rFonts w:ascii="Calibri" w:hAnsi="Calibri" w:cs="Calibri"/>
          <w:color w:val="008080"/>
        </w:rPr>
        <w:t xml:space="preserve">ISLA notes that </w:t>
      </w:r>
      <w:r>
        <w:rPr>
          <w:rFonts w:ascii="Calibri" w:hAnsi="Calibri" w:cs="Calibri"/>
          <w:color w:val="008080"/>
        </w:rPr>
        <w:t>its</w:t>
      </w:r>
      <w:r w:rsidRPr="005F29D5">
        <w:rPr>
          <w:rFonts w:ascii="Calibri" w:hAnsi="Calibri" w:cs="Calibri"/>
          <w:color w:val="008080"/>
        </w:rPr>
        <w:t xml:space="preserve"> Best Practices, being a representative consensus of our members, support the adoption of automation throughout the lifecycle of a transaction. It is acknowledged that the industry must move to a standard if it is to evolve and adopt interoperability and digitisation</w:t>
      </w:r>
      <w:r>
        <w:rPr>
          <w:rFonts w:ascii="Calibri" w:hAnsi="Calibri" w:cs="Calibri"/>
          <w:color w:val="008080"/>
        </w:rPr>
        <w:t xml:space="preserve">. The majority of post trade processes are already largely automated and further best practices will be outlined in the recommendations of the EU T+1 industry committee. </w:t>
      </w:r>
    </w:p>
    <w:permEnd w:id="2082210732"/>
    <w:p w14:paraId="58AEA674" w14:textId="77777777" w:rsidR="00113E80" w:rsidRDefault="00113E80" w:rsidP="00113E80">
      <w:r>
        <w:t>&lt;ESMA_QUESTION_CSDC_10&gt;</w:t>
      </w:r>
    </w:p>
    <w:p w14:paraId="3F34A09C" w14:textId="77777777" w:rsidR="00113E80" w:rsidRDefault="00113E80" w:rsidP="00113E80"/>
    <w:p w14:paraId="61024CCC" w14:textId="77777777" w:rsidR="00113E80" w:rsidRDefault="00113E80" w:rsidP="00113E80">
      <w:pPr>
        <w:pStyle w:val="Questionstyle"/>
        <w:numPr>
          <w:ilvl w:val="0"/>
          <w:numId w:val="14"/>
        </w:numPr>
        <w:tabs>
          <w:tab w:val="clear" w:pos="567"/>
        </w:tabs>
        <w:spacing w:after="240" w:line="256" w:lineRule="auto"/>
        <w:ind w:left="851" w:hanging="851"/>
      </w:pPr>
      <w:r>
        <w:rPr>
          <w:bCs/>
        </w:rPr>
        <w:t>Can you suggest any other means to achieve the same objective? If yes, please elaborate</w:t>
      </w:r>
      <w:r>
        <w:t xml:space="preserve"> </w:t>
      </w:r>
    </w:p>
    <w:p w14:paraId="30491CEE" w14:textId="77777777" w:rsidR="00113E80" w:rsidRDefault="00113E80" w:rsidP="00113E80">
      <w:r>
        <w:t>&lt;ESMA_QUESTION_CSDC_11&gt;</w:t>
      </w:r>
    </w:p>
    <w:p w14:paraId="79418799" w14:textId="77777777" w:rsidR="002E73AB" w:rsidRPr="00B24636" w:rsidRDefault="002E73AB" w:rsidP="002E73AB">
      <w:pPr>
        <w:ind w:left="426" w:right="543"/>
        <w:rPr>
          <w:rFonts w:ascii="Calibri" w:hAnsi="Calibri" w:cs="Calibri"/>
          <w:color w:val="008080"/>
        </w:rPr>
      </w:pPr>
      <w:permStart w:id="121250484" w:edGrp="everyone"/>
      <w:r w:rsidRPr="00B24636">
        <w:rPr>
          <w:rFonts w:ascii="Calibri" w:hAnsi="Calibri" w:cs="Calibri"/>
          <w:color w:val="008080"/>
        </w:rPr>
        <w:t xml:space="preserve">Further to previous answer, ISLA </w:t>
      </w:r>
      <w:r>
        <w:rPr>
          <w:rFonts w:ascii="Calibri" w:hAnsi="Calibri" w:cs="Calibri"/>
          <w:color w:val="008080"/>
        </w:rPr>
        <w:t xml:space="preserve">believes </w:t>
      </w:r>
      <w:r w:rsidRPr="00575CEC">
        <w:rPr>
          <w:rFonts w:ascii="Calibri" w:hAnsi="Calibri" w:cs="Calibri"/>
          <w:color w:val="008080"/>
        </w:rPr>
        <w:t>that industry-led initiatives and the continued adoption of best practices in automation and standardisation should be the primary drivers of efficiency</w:t>
      </w:r>
      <w:r>
        <w:rPr>
          <w:rFonts w:ascii="Calibri" w:hAnsi="Calibri" w:cs="Calibri"/>
          <w:color w:val="008080"/>
        </w:rPr>
        <w:t xml:space="preserve"> and</w:t>
      </w:r>
      <w:r w:rsidRPr="00B24636">
        <w:rPr>
          <w:rFonts w:ascii="Calibri" w:hAnsi="Calibri" w:cs="Calibri"/>
          <w:color w:val="008080"/>
        </w:rPr>
        <w:t xml:space="preserve"> have historically published details regarding data format standards. More recently, in partnership with other associations, we now also publish an open-source data </w:t>
      </w:r>
      <w:r w:rsidRPr="00B24636">
        <w:rPr>
          <w:rFonts w:ascii="Calibri" w:hAnsi="Calibri" w:cs="Calibri"/>
          <w:color w:val="008080"/>
        </w:rPr>
        <w:lastRenderedPageBreak/>
        <w:t xml:space="preserve">model via Fintech Open-Source Foundation (FINOS). This Common Domain Model (CDM) represents the entire lifecycle of a securities lending transaction, from negotiation to final settlement. </w:t>
      </w:r>
    </w:p>
    <w:p w14:paraId="61FBE933" w14:textId="77777777" w:rsidR="002E73AB" w:rsidRPr="00B24636" w:rsidRDefault="002E73AB" w:rsidP="002E73AB">
      <w:pPr>
        <w:ind w:left="426" w:right="543"/>
        <w:rPr>
          <w:rFonts w:ascii="Calibri" w:hAnsi="Calibri" w:cs="Calibri"/>
          <w:color w:val="008080"/>
        </w:rPr>
      </w:pPr>
      <w:r w:rsidRPr="00B24636">
        <w:rPr>
          <w:rFonts w:ascii="Calibri" w:hAnsi="Calibri" w:cs="Calibri"/>
          <w:color w:val="008080"/>
        </w:rPr>
        <w:t xml:space="preserve">We believe that such a common standard is one solution to many ongoing challenges, with some believing that its adoption is the only viable solution. </w:t>
      </w:r>
    </w:p>
    <w:p w14:paraId="182E23AB" w14:textId="77777777" w:rsidR="002E73AB" w:rsidRPr="00B24636" w:rsidRDefault="002E73AB" w:rsidP="002E73AB">
      <w:pPr>
        <w:ind w:left="426" w:right="543"/>
        <w:rPr>
          <w:rFonts w:ascii="Calibri" w:hAnsi="Calibri" w:cs="Calibri"/>
          <w:color w:val="008080"/>
        </w:rPr>
      </w:pPr>
      <w:r w:rsidRPr="00B24636">
        <w:rPr>
          <w:rFonts w:ascii="Calibri" w:hAnsi="Calibri" w:cs="Calibri"/>
          <w:color w:val="008080"/>
        </w:rPr>
        <w:t xml:space="preserve">ISLA have also noted the use of the CDM proof-of-concept project run by various regulatory and supervisory bodies that has concluded that the adoption of such a machine-readable format would support the introduction of natural language regulation, with implied cost saving and efficiency for both regulators and market participants. </w:t>
      </w:r>
    </w:p>
    <w:permEnd w:id="121250484"/>
    <w:p w14:paraId="745B030D" w14:textId="77777777" w:rsidR="00113E80" w:rsidRDefault="00113E80" w:rsidP="00113E80">
      <w:r>
        <w:t>&lt;ESMA_QUESTION_CSDC_11&gt;</w:t>
      </w:r>
    </w:p>
    <w:p w14:paraId="6290F432" w14:textId="77777777" w:rsidR="00113E80" w:rsidRPr="005C5C54" w:rsidRDefault="00113E80" w:rsidP="00113E80">
      <w:pPr>
        <w:rPr>
          <w:b/>
          <w:bCs/>
        </w:rPr>
      </w:pPr>
    </w:p>
    <w:p w14:paraId="49E16D18" w14:textId="11CB7E73" w:rsidR="005C5C54" w:rsidRPr="005C5C54" w:rsidRDefault="005C5C54" w:rsidP="00113E80">
      <w:pPr>
        <w:rPr>
          <w:b/>
          <w:bCs/>
        </w:rPr>
      </w:pPr>
      <w:r w:rsidRPr="005C5C54">
        <w:rPr>
          <w:b/>
          <w:bCs/>
        </w:rPr>
        <w:t>3.1.3</w:t>
      </w:r>
      <w:r w:rsidRPr="005C5C54">
        <w:rPr>
          <w:b/>
          <w:bCs/>
        </w:rPr>
        <w:tab/>
        <w:t>The use of international open communication procedures and standards for messaging and reference data to exchange allocations and confirmations</w:t>
      </w:r>
    </w:p>
    <w:p w14:paraId="6126B82C" w14:textId="77777777" w:rsidR="005C5C54" w:rsidRDefault="005C5C54" w:rsidP="00113E80"/>
    <w:p w14:paraId="6DF50059" w14:textId="77777777" w:rsidR="00113E80" w:rsidRDefault="00113E80" w:rsidP="00113E80">
      <w:pPr>
        <w:pStyle w:val="Questionstyle"/>
        <w:numPr>
          <w:ilvl w:val="0"/>
          <w:numId w:val="14"/>
        </w:numPr>
        <w:tabs>
          <w:tab w:val="clear" w:pos="567"/>
        </w:tabs>
        <w:spacing w:after="240" w:line="256" w:lineRule="auto"/>
        <w:ind w:left="851" w:hanging="851"/>
        <w:rPr>
          <w:bCs/>
        </w:rPr>
      </w:pPr>
      <w:r>
        <w:rPr>
          <w:bCs/>
        </w:rPr>
        <w:t>Do you agree with the proposed amendment to Article 2 of CDR 2018/1229?</w:t>
      </w:r>
    </w:p>
    <w:p w14:paraId="6B1B3C88" w14:textId="77777777" w:rsidR="00113E80" w:rsidRDefault="00113E80" w:rsidP="00113E80">
      <w:r>
        <w:t>&lt;ESMA_QUESTION_CSDC_12&gt;</w:t>
      </w:r>
    </w:p>
    <w:p w14:paraId="024C63FE" w14:textId="77777777" w:rsidR="00717A73" w:rsidRPr="00E63FAC" w:rsidRDefault="00717A73" w:rsidP="00717A73">
      <w:pPr>
        <w:ind w:left="426" w:right="543"/>
        <w:rPr>
          <w:rFonts w:ascii="Calibri" w:hAnsi="Calibri" w:cs="Calibri"/>
          <w:color w:val="008080"/>
        </w:rPr>
      </w:pPr>
      <w:permStart w:id="1944546360" w:edGrp="everyone"/>
      <w:r w:rsidRPr="00E63FAC">
        <w:rPr>
          <w:rFonts w:ascii="Calibri" w:hAnsi="Calibri" w:cs="Calibri"/>
          <w:color w:val="008080"/>
        </w:rPr>
        <w:t>Although broadly agreeing with the sentiment,</w:t>
      </w:r>
      <w:r>
        <w:rPr>
          <w:rFonts w:ascii="Calibri" w:hAnsi="Calibri" w:cs="Calibri"/>
          <w:color w:val="008080"/>
        </w:rPr>
        <w:t xml:space="preserve"> ISLA</w:t>
      </w:r>
      <w:r w:rsidRPr="00E63FAC">
        <w:rPr>
          <w:rFonts w:ascii="Calibri" w:hAnsi="Calibri" w:cs="Calibri"/>
          <w:color w:val="008080"/>
        </w:rPr>
        <w:t xml:space="preserve"> do</w:t>
      </w:r>
      <w:r>
        <w:rPr>
          <w:rFonts w:ascii="Calibri" w:hAnsi="Calibri" w:cs="Calibri"/>
          <w:color w:val="008080"/>
        </w:rPr>
        <w:t>es</w:t>
      </w:r>
      <w:r w:rsidRPr="00E63FAC">
        <w:rPr>
          <w:rFonts w:ascii="Calibri" w:hAnsi="Calibri" w:cs="Calibri"/>
          <w:color w:val="008080"/>
        </w:rPr>
        <w:t xml:space="preserve"> not agree with the proposed change of wording, whereby investment firms would be specifically mandated by regulation to require their professional clients to send written allocations and confirmation messages using international communication procedures and standards.</w:t>
      </w:r>
    </w:p>
    <w:p w14:paraId="47A4BE7F" w14:textId="77777777" w:rsidR="00717A73" w:rsidRPr="00E63FAC" w:rsidRDefault="00717A73" w:rsidP="00717A73">
      <w:pPr>
        <w:ind w:left="426" w:right="543"/>
        <w:rPr>
          <w:rFonts w:ascii="Calibri" w:hAnsi="Calibri" w:cs="Calibri"/>
          <w:color w:val="008080"/>
        </w:rPr>
      </w:pPr>
      <w:r w:rsidRPr="00E63FAC">
        <w:rPr>
          <w:rFonts w:ascii="Calibri" w:hAnsi="Calibri" w:cs="Calibri"/>
          <w:color w:val="008080"/>
        </w:rPr>
        <w:t xml:space="preserve">A change such as this, in the time scale implied by this regulation, would place an additional burden on investment firms by imposing a prescriptive approach to communication that may not be necessary or suitable for all client relationships. </w:t>
      </w:r>
    </w:p>
    <w:p w14:paraId="162CE2F6" w14:textId="77777777" w:rsidR="00717A73" w:rsidRPr="00E63FAC" w:rsidRDefault="00717A73" w:rsidP="00717A73">
      <w:pPr>
        <w:ind w:left="426" w:right="543"/>
        <w:rPr>
          <w:rFonts w:ascii="Calibri" w:hAnsi="Calibri" w:cs="Calibri"/>
          <w:color w:val="008080"/>
        </w:rPr>
      </w:pPr>
      <w:r w:rsidRPr="00E63FAC">
        <w:rPr>
          <w:rFonts w:ascii="Calibri" w:hAnsi="Calibri" w:cs="Calibri"/>
          <w:color w:val="008080"/>
        </w:rPr>
        <w:t>We believe that the decision on how investment firms receive allocation and confirmation messages should remain a matter of agreement between the firm and its clients, provided that the chosen method ensures Straight-Through-Processing (STP) and is sent in a machine-readable format.</w:t>
      </w:r>
    </w:p>
    <w:permEnd w:id="1944546360"/>
    <w:p w14:paraId="60F41B74" w14:textId="77777777" w:rsidR="00113E80" w:rsidRDefault="00113E80" w:rsidP="00113E80">
      <w:r>
        <w:t>&lt;ESMA_QUESTION_CSDC_12&gt;</w:t>
      </w:r>
    </w:p>
    <w:p w14:paraId="0FCE1DCA" w14:textId="77777777" w:rsidR="00113E80" w:rsidRDefault="00113E80" w:rsidP="00113E80"/>
    <w:p w14:paraId="71599064" w14:textId="77777777" w:rsidR="00113E80" w:rsidRDefault="00113E80" w:rsidP="00113E80">
      <w:pPr>
        <w:pStyle w:val="Questionstyle"/>
        <w:numPr>
          <w:ilvl w:val="0"/>
          <w:numId w:val="14"/>
        </w:numPr>
        <w:tabs>
          <w:tab w:val="clear" w:pos="567"/>
        </w:tabs>
        <w:spacing w:after="240" w:line="256" w:lineRule="auto"/>
        <w:ind w:left="851" w:hanging="851"/>
      </w:pPr>
      <w:r>
        <w:lastRenderedPageBreak/>
        <w:t>Do you agree that settlement efficiency would improve if all parties in the transaction and settlement chain used the latest international standards, such as the ISO 20022 messaging standards, in particular whenever A2A messages and data are exchanged? If not, please elaborate. How long would it take for all parties to adapt to ISO20022?</w:t>
      </w:r>
    </w:p>
    <w:p w14:paraId="14054D82" w14:textId="77777777" w:rsidR="00113E80" w:rsidRDefault="00113E80" w:rsidP="00113E80">
      <w:r>
        <w:t>&lt;ESMA_QUESTION_CSDC_13&gt;</w:t>
      </w:r>
    </w:p>
    <w:p w14:paraId="047B9D43" w14:textId="77777777" w:rsidR="00A65393" w:rsidRPr="00A5501B" w:rsidRDefault="00A65393" w:rsidP="00A65393">
      <w:pPr>
        <w:spacing w:after="0" w:line="259" w:lineRule="auto"/>
        <w:ind w:left="426" w:right="543"/>
        <w:rPr>
          <w:rFonts w:ascii="Calibri" w:hAnsi="Calibri" w:cs="Calibri"/>
        </w:rPr>
      </w:pPr>
      <w:permStart w:id="368068282" w:edGrp="everyone"/>
      <w:r w:rsidRPr="00A5501B">
        <w:rPr>
          <w:rFonts w:ascii="Calibri" w:hAnsi="Calibri" w:cs="Calibri"/>
          <w:color w:val="008080"/>
        </w:rPr>
        <w:t xml:space="preserve">Whilst recognising the benefit of standards such as ISO2022, we would instead recommend that rather than mandating a specific messaging standard, the first priority </w:t>
      </w:r>
      <w:r>
        <w:rPr>
          <w:rFonts w:ascii="Calibri" w:hAnsi="Calibri" w:cs="Calibri"/>
          <w:color w:val="008080"/>
        </w:rPr>
        <w:t xml:space="preserve">would </w:t>
      </w:r>
      <w:r w:rsidRPr="00A5501B">
        <w:rPr>
          <w:rFonts w:ascii="Calibri" w:hAnsi="Calibri" w:cs="Calibri"/>
          <w:color w:val="008080"/>
        </w:rPr>
        <w:t xml:space="preserve">be </w:t>
      </w:r>
      <w:r>
        <w:rPr>
          <w:rFonts w:ascii="Calibri" w:hAnsi="Calibri" w:cs="Calibri"/>
          <w:color w:val="008080"/>
        </w:rPr>
        <w:t xml:space="preserve">to </w:t>
      </w:r>
      <w:r w:rsidRPr="00A5501B">
        <w:rPr>
          <w:rFonts w:ascii="Calibri" w:hAnsi="Calibri" w:cs="Calibri"/>
          <w:color w:val="008080"/>
        </w:rPr>
        <w:t>defin</w:t>
      </w:r>
      <w:r>
        <w:rPr>
          <w:rFonts w:ascii="Calibri" w:hAnsi="Calibri" w:cs="Calibri"/>
          <w:color w:val="008080"/>
        </w:rPr>
        <w:t>e</w:t>
      </w:r>
      <w:r w:rsidRPr="00A5501B">
        <w:rPr>
          <w:rFonts w:ascii="Calibri" w:hAnsi="Calibri" w:cs="Calibri"/>
          <w:color w:val="008080"/>
        </w:rPr>
        <w:t xml:space="preserve"> key data fields that are exchanged. </w:t>
      </w:r>
    </w:p>
    <w:p w14:paraId="154CD13C" w14:textId="77777777" w:rsidR="00A65393" w:rsidRPr="00A5501B" w:rsidRDefault="00A65393" w:rsidP="00A65393">
      <w:pPr>
        <w:ind w:left="426" w:right="543"/>
        <w:rPr>
          <w:rFonts w:ascii="Calibri" w:hAnsi="Calibri" w:cs="Calibri"/>
          <w:color w:val="008080"/>
        </w:rPr>
      </w:pPr>
      <w:r w:rsidRPr="00A5501B">
        <w:rPr>
          <w:rFonts w:ascii="Calibri" w:hAnsi="Calibri" w:cs="Calibri"/>
          <w:color w:val="008080"/>
        </w:rPr>
        <w:t>This consideration raises how, despite using a</w:t>
      </w:r>
      <w:r>
        <w:rPr>
          <w:rFonts w:ascii="Calibri" w:hAnsi="Calibri" w:cs="Calibri"/>
          <w:color w:val="008080"/>
        </w:rPr>
        <w:t>n</w:t>
      </w:r>
      <w:r w:rsidRPr="00A5501B">
        <w:rPr>
          <w:rFonts w:ascii="Calibri" w:hAnsi="Calibri" w:cs="Calibri"/>
          <w:color w:val="008080"/>
        </w:rPr>
        <w:t xml:space="preserve"> ISO standard, we see </w:t>
      </w:r>
      <w:r>
        <w:rPr>
          <w:rFonts w:ascii="Calibri" w:hAnsi="Calibri" w:cs="Calibri"/>
          <w:color w:val="008080"/>
        </w:rPr>
        <w:t xml:space="preserve">the same </w:t>
      </w:r>
      <w:r w:rsidRPr="00A5501B">
        <w:rPr>
          <w:rFonts w:ascii="Calibri" w:hAnsi="Calibri" w:cs="Calibri"/>
          <w:color w:val="008080"/>
        </w:rPr>
        <w:t>data fields populated today with different information. For example, in relation to SFTR Article 4 reporting, firms are required to populate fields with data that is not a mirror reflection of their books and records</w:t>
      </w:r>
      <w:r>
        <w:rPr>
          <w:rFonts w:ascii="Calibri" w:hAnsi="Calibri" w:cs="Calibri"/>
          <w:color w:val="008080"/>
        </w:rPr>
        <w:t>,</w:t>
      </w:r>
      <w:r w:rsidRPr="00A5501B">
        <w:rPr>
          <w:rFonts w:ascii="Calibri" w:hAnsi="Calibri" w:cs="Calibri"/>
          <w:color w:val="008080"/>
        </w:rPr>
        <w:t xml:space="preserve"> and th</w:t>
      </w:r>
      <w:r>
        <w:rPr>
          <w:rFonts w:ascii="Calibri" w:hAnsi="Calibri" w:cs="Calibri"/>
          <w:color w:val="008080"/>
        </w:rPr>
        <w:t>is</w:t>
      </w:r>
      <w:r w:rsidRPr="00A5501B">
        <w:rPr>
          <w:rFonts w:ascii="Calibri" w:hAnsi="Calibri" w:cs="Calibri"/>
          <w:color w:val="008080"/>
        </w:rPr>
        <w:t xml:space="preserve"> would not be beneficial in some A2A messages.</w:t>
      </w:r>
    </w:p>
    <w:p w14:paraId="3F039F9F" w14:textId="77777777" w:rsidR="00A65393" w:rsidRPr="00A5501B" w:rsidRDefault="00A65393" w:rsidP="00A65393">
      <w:pPr>
        <w:ind w:left="426" w:right="543"/>
        <w:rPr>
          <w:rFonts w:ascii="Calibri" w:hAnsi="Calibri" w:cs="Calibri"/>
          <w:color w:val="008080"/>
        </w:rPr>
      </w:pPr>
      <w:r w:rsidRPr="00A5501B">
        <w:rPr>
          <w:rFonts w:ascii="Calibri" w:hAnsi="Calibri" w:cs="Calibri"/>
          <w:color w:val="008080"/>
        </w:rPr>
        <w:t>Instead, we believe that the standard represented by ISO 20022 be a guiding template and that where required, other standard data models may be adopted.</w:t>
      </w:r>
    </w:p>
    <w:p w14:paraId="090F72C7" w14:textId="77777777" w:rsidR="00A65393" w:rsidRPr="00A5501B" w:rsidRDefault="00A65393" w:rsidP="00A65393">
      <w:pPr>
        <w:ind w:left="426" w:right="543"/>
        <w:rPr>
          <w:rFonts w:ascii="Calibri" w:hAnsi="Calibri" w:cs="Calibri"/>
          <w:color w:val="008080"/>
        </w:rPr>
      </w:pPr>
      <w:r w:rsidRPr="00A5501B">
        <w:rPr>
          <w:rFonts w:ascii="Calibri" w:hAnsi="Calibri" w:cs="Calibri"/>
          <w:color w:val="008080"/>
        </w:rPr>
        <w:t xml:space="preserve">Enforcing ISO 20022 could potentially have unintended consequences, particularly where that standard </w:t>
      </w:r>
      <w:r>
        <w:rPr>
          <w:rFonts w:ascii="Calibri" w:hAnsi="Calibri" w:cs="Calibri"/>
          <w:color w:val="008080"/>
        </w:rPr>
        <w:t>does</w:t>
      </w:r>
      <w:r w:rsidRPr="00A5501B">
        <w:rPr>
          <w:rFonts w:ascii="Calibri" w:hAnsi="Calibri" w:cs="Calibri"/>
          <w:color w:val="008080"/>
        </w:rPr>
        <w:t xml:space="preserve"> not have sufficient clarity to represent some market activity.</w:t>
      </w:r>
    </w:p>
    <w:permEnd w:id="368068282"/>
    <w:p w14:paraId="52896C3C" w14:textId="77777777" w:rsidR="00113E80" w:rsidRDefault="00113E80" w:rsidP="00113E80">
      <w:r>
        <w:t>&lt;ESMA_QUESTION_CSDC_13&gt;</w:t>
      </w:r>
    </w:p>
    <w:p w14:paraId="7D0A0CE4" w14:textId="77777777" w:rsidR="00113E80" w:rsidRDefault="00113E80" w:rsidP="00113E80"/>
    <w:p w14:paraId="059D7188" w14:textId="77777777" w:rsidR="00113E80" w:rsidRDefault="00113E80" w:rsidP="00113E80">
      <w:pPr>
        <w:pStyle w:val="Questionstyle"/>
        <w:numPr>
          <w:ilvl w:val="0"/>
          <w:numId w:val="14"/>
        </w:numPr>
        <w:tabs>
          <w:tab w:val="clear" w:pos="567"/>
        </w:tabs>
        <w:spacing w:after="240" w:line="256" w:lineRule="auto"/>
        <w:ind w:left="851" w:hanging="851"/>
      </w:pPr>
      <w:r>
        <w:t>Can you provide figures (by number and type of financial entities, jurisdictions) regarding the current use of international open communication procedures and standards such as: a) ISO 20022, b) ISO 15022, c) others (please specify)?</w:t>
      </w:r>
    </w:p>
    <w:p w14:paraId="041914B3" w14:textId="77777777" w:rsidR="00113E80" w:rsidRDefault="00113E80" w:rsidP="00113E80">
      <w:r>
        <w:t>&lt;ESMA_QUESTION_CSDC_14&gt;</w:t>
      </w:r>
    </w:p>
    <w:p w14:paraId="513BC389" w14:textId="77777777" w:rsidR="00113E80" w:rsidRDefault="00113E80" w:rsidP="00113E80">
      <w:permStart w:id="1359430245" w:edGrp="everyone"/>
      <w:r>
        <w:t>TYPE YOUR TEXT HERE</w:t>
      </w:r>
    </w:p>
    <w:permEnd w:id="1359430245"/>
    <w:p w14:paraId="7CC9348F" w14:textId="77777777" w:rsidR="00113E80" w:rsidRDefault="00113E80" w:rsidP="00113E80">
      <w:r>
        <w:t>&lt;ESMA_QUESTION_CSDC_14&gt;</w:t>
      </w:r>
    </w:p>
    <w:p w14:paraId="4DF25154" w14:textId="77777777" w:rsidR="00113E80" w:rsidRDefault="00113E80" w:rsidP="00113E80"/>
    <w:p w14:paraId="6426D543" w14:textId="77777777" w:rsidR="00113E80" w:rsidRDefault="00113E80" w:rsidP="00113E80">
      <w:pPr>
        <w:pStyle w:val="Questionstyle"/>
        <w:numPr>
          <w:ilvl w:val="0"/>
          <w:numId w:val="14"/>
        </w:numPr>
        <w:tabs>
          <w:tab w:val="clear" w:pos="567"/>
        </w:tabs>
        <w:spacing w:after="240" w:line="256" w:lineRule="auto"/>
        <w:ind w:left="851" w:hanging="851"/>
      </w:pPr>
      <w:r>
        <w:rPr>
          <w:bCs/>
        </w:rPr>
        <w:t>Do you agree with the proposal of the EU Industry Task Force whereby allocation requirements should be aligned with CSD-level matching requirements? If not, please elaborate.</w:t>
      </w:r>
    </w:p>
    <w:p w14:paraId="40D04BB3" w14:textId="77777777" w:rsidR="00113E80" w:rsidRDefault="00113E80" w:rsidP="00113E80">
      <w:r>
        <w:t>&lt;ESMA_QUESTION_CSDC_15&gt;</w:t>
      </w:r>
    </w:p>
    <w:p w14:paraId="2084D2EC" w14:textId="77777777" w:rsidR="006B0B1C" w:rsidRPr="007903BF" w:rsidRDefault="006B0B1C" w:rsidP="006B0B1C">
      <w:pPr>
        <w:spacing w:after="0" w:line="259" w:lineRule="auto"/>
        <w:ind w:left="426" w:right="543"/>
        <w:rPr>
          <w:rFonts w:ascii="Calibri" w:hAnsi="Calibri" w:cs="Calibri"/>
          <w:color w:val="008080"/>
        </w:rPr>
      </w:pPr>
      <w:permStart w:id="145703960" w:edGrp="everyone"/>
      <w:r w:rsidRPr="007903BF">
        <w:rPr>
          <w:rFonts w:ascii="Calibri" w:hAnsi="Calibri" w:cs="Calibri"/>
          <w:color w:val="008080"/>
        </w:rPr>
        <w:lastRenderedPageBreak/>
        <w:t>In line with the views expressed by the EU T+1 I</w:t>
      </w:r>
      <w:r>
        <w:rPr>
          <w:rFonts w:ascii="Calibri" w:hAnsi="Calibri" w:cs="Calibri"/>
          <w:color w:val="008080"/>
        </w:rPr>
        <w:t xml:space="preserve">ndustry </w:t>
      </w:r>
      <w:r w:rsidRPr="007903BF">
        <w:rPr>
          <w:rFonts w:ascii="Calibri" w:hAnsi="Calibri" w:cs="Calibri"/>
          <w:color w:val="008080"/>
        </w:rPr>
        <w:t>T</w:t>
      </w:r>
      <w:r>
        <w:rPr>
          <w:rFonts w:ascii="Calibri" w:hAnsi="Calibri" w:cs="Calibri"/>
          <w:color w:val="008080"/>
        </w:rPr>
        <w:t xml:space="preserve">ask </w:t>
      </w:r>
      <w:r w:rsidRPr="007903BF">
        <w:rPr>
          <w:rFonts w:ascii="Calibri" w:hAnsi="Calibri" w:cs="Calibri"/>
          <w:color w:val="008080"/>
        </w:rPr>
        <w:t>F</w:t>
      </w:r>
      <w:r>
        <w:rPr>
          <w:rFonts w:ascii="Calibri" w:hAnsi="Calibri" w:cs="Calibri"/>
          <w:color w:val="008080"/>
        </w:rPr>
        <w:t>orce</w:t>
      </w:r>
      <w:r w:rsidRPr="007903BF">
        <w:rPr>
          <w:rFonts w:ascii="Calibri" w:hAnsi="Calibri" w:cs="Calibri"/>
          <w:color w:val="008080"/>
        </w:rPr>
        <w:t xml:space="preserve">, we believe that information provided early in the Post Trade process should remain constant to ensure consistency throughout the settlement flow. Therefore, we support allocation requirements to be aligned with the matching criteria at CSD level. </w:t>
      </w:r>
    </w:p>
    <w:p w14:paraId="229C5E96" w14:textId="77777777" w:rsidR="006B0B1C" w:rsidRPr="007903BF" w:rsidRDefault="006B0B1C" w:rsidP="006B0B1C">
      <w:pPr>
        <w:spacing w:after="0" w:line="259" w:lineRule="auto"/>
        <w:ind w:left="426" w:right="543"/>
        <w:rPr>
          <w:rFonts w:ascii="Calibri" w:hAnsi="Calibri" w:cs="Calibri"/>
          <w:color w:val="008080"/>
        </w:rPr>
      </w:pPr>
      <w:r w:rsidRPr="007903BF">
        <w:rPr>
          <w:rFonts w:ascii="Calibri" w:hAnsi="Calibri" w:cs="Calibri"/>
          <w:color w:val="008080"/>
        </w:rPr>
        <w:t>Indeed, paragraph 47 in the consultation paper, elaborated in ‘footnote 22’ references ‘existing requirements in the current RTS’ and demonstrates significant overlap between the fields in allocations and settlement instructions. Including (h) the total amount of cash to be delivered or received which would be improved by referencing the need for this to align with the tolerances expressed in Article 6 of the RTS and (j) and (k) the identifier and entity where the securities and cash are held. Feedback from members suggests that this is not adhered to creating issues ‘downstream’ at the settlement level.</w:t>
      </w:r>
    </w:p>
    <w:p w14:paraId="63E55278" w14:textId="77777777" w:rsidR="006B0B1C" w:rsidRPr="007903BF" w:rsidRDefault="006B0B1C" w:rsidP="006B0B1C">
      <w:pPr>
        <w:spacing w:after="0" w:line="259" w:lineRule="auto"/>
        <w:ind w:left="426" w:right="543"/>
        <w:rPr>
          <w:rFonts w:ascii="Calibri" w:hAnsi="Calibri" w:cs="Calibri"/>
          <w:color w:val="008080"/>
        </w:rPr>
      </w:pPr>
      <w:r w:rsidRPr="007903BF">
        <w:rPr>
          <w:rFonts w:ascii="Calibri" w:hAnsi="Calibri" w:cs="Calibri"/>
          <w:color w:val="008080"/>
        </w:rPr>
        <w:t>We therefore recognise and support the benefits of synchronising allocation requirements with CSD-level matching to improve settlement efficiency. However, we note that there are complexities around monitoring and enforcing such alignment across different market participants and infrastructures, therefore we believe that a requirement in the RTS for industry best practices to support the existing regulatory mandate in Article 6 of CDR 2018/1229 would offer a more practical approach to ensure there is adherence to this important requirement.</w:t>
      </w:r>
    </w:p>
    <w:permEnd w:id="145703960"/>
    <w:p w14:paraId="79ADD07A" w14:textId="77777777" w:rsidR="00113E80" w:rsidRDefault="00113E80" w:rsidP="00113E80">
      <w:r>
        <w:t>&lt;ESMA_QUESTION_CSDC_15&gt;</w:t>
      </w:r>
    </w:p>
    <w:p w14:paraId="1C23C724" w14:textId="77777777" w:rsidR="00113E80" w:rsidRDefault="00113E80" w:rsidP="00113E80"/>
    <w:p w14:paraId="239B7C6F" w14:textId="77777777" w:rsidR="00113E80" w:rsidRDefault="00113E80" w:rsidP="00113E80">
      <w:pPr>
        <w:pStyle w:val="Questionstyle"/>
        <w:numPr>
          <w:ilvl w:val="0"/>
          <w:numId w:val="14"/>
        </w:numPr>
        <w:tabs>
          <w:tab w:val="clear" w:pos="567"/>
        </w:tabs>
        <w:spacing w:after="240" w:line="256" w:lineRule="auto"/>
        <w:ind w:left="851" w:hanging="851"/>
      </w:pPr>
      <w:r>
        <w:rPr>
          <w:bCs/>
        </w:rPr>
        <w:t>Can you suggest any other means to achieve the same objective? If yes, please elaborate.</w:t>
      </w:r>
    </w:p>
    <w:p w14:paraId="1F016553" w14:textId="77777777" w:rsidR="00113E80" w:rsidRDefault="00113E80" w:rsidP="00113E80">
      <w:r>
        <w:t>&lt;ESMA_QUESTION_CSDC_16&gt;</w:t>
      </w:r>
    </w:p>
    <w:p w14:paraId="1398E112" w14:textId="77777777" w:rsidR="00113E80" w:rsidRDefault="00113E80" w:rsidP="00113E80">
      <w:permStart w:id="1663978526" w:edGrp="everyone"/>
      <w:r>
        <w:t>TYPE YOUR TEXT HERE</w:t>
      </w:r>
    </w:p>
    <w:permEnd w:id="1663978526"/>
    <w:p w14:paraId="6AFF20B1" w14:textId="77777777" w:rsidR="00113E80" w:rsidRDefault="00113E80" w:rsidP="00113E80">
      <w:r>
        <w:t>&lt;ESMA_QUESTION_CSDC_16&gt;</w:t>
      </w:r>
    </w:p>
    <w:p w14:paraId="50316FC7" w14:textId="77777777" w:rsidR="005C5C54" w:rsidRDefault="005C5C54" w:rsidP="00113E80">
      <w:pPr>
        <w:rPr>
          <w:b/>
          <w:bCs/>
        </w:rPr>
      </w:pPr>
    </w:p>
    <w:p w14:paraId="2706860F" w14:textId="63265255" w:rsidR="005C5C54" w:rsidRPr="005C5C54" w:rsidRDefault="005C5C54" w:rsidP="00113E80">
      <w:pPr>
        <w:rPr>
          <w:b/>
          <w:bCs/>
        </w:rPr>
      </w:pPr>
      <w:r w:rsidRPr="005C5C54">
        <w:rPr>
          <w:b/>
          <w:bCs/>
        </w:rPr>
        <w:t>3.1.4</w:t>
      </w:r>
      <w:r w:rsidRPr="005C5C54">
        <w:rPr>
          <w:b/>
          <w:bCs/>
        </w:rPr>
        <w:tab/>
        <w:t>Onboarding of new clients</w:t>
      </w:r>
    </w:p>
    <w:p w14:paraId="58960622" w14:textId="77777777" w:rsidR="00113E80" w:rsidRDefault="00113E80" w:rsidP="00113E80"/>
    <w:p w14:paraId="0E762C7B" w14:textId="77777777" w:rsidR="00113E80" w:rsidRDefault="00113E80" w:rsidP="00113E80">
      <w:pPr>
        <w:pStyle w:val="Questionstyle"/>
        <w:numPr>
          <w:ilvl w:val="0"/>
          <w:numId w:val="14"/>
        </w:numPr>
        <w:tabs>
          <w:tab w:val="clear" w:pos="567"/>
        </w:tabs>
        <w:spacing w:after="240" w:line="256" w:lineRule="auto"/>
        <w:ind w:left="851" w:hanging="851"/>
      </w:pPr>
      <w:r>
        <w:t>Do you agree with the proposed regulatory change to introduce an obligation for investment firms to collect the data necessary to settle a trade from professional clients during their onboarding and to keep it updated? If not, please explain.</w:t>
      </w:r>
    </w:p>
    <w:p w14:paraId="66953443" w14:textId="77777777" w:rsidR="00113E80" w:rsidRDefault="00113E80" w:rsidP="00113E80">
      <w:r>
        <w:t>&lt;ESMA_QUESTION_CSDC_17&gt;</w:t>
      </w:r>
    </w:p>
    <w:p w14:paraId="7EDBDB96" w14:textId="77777777" w:rsidR="00E91AF8" w:rsidRPr="002E1749" w:rsidRDefault="00E91AF8" w:rsidP="00E91AF8">
      <w:pPr>
        <w:ind w:left="426" w:right="543"/>
        <w:rPr>
          <w:rFonts w:ascii="Calibri" w:hAnsi="Calibri" w:cs="Calibri"/>
          <w:color w:val="008080"/>
        </w:rPr>
      </w:pPr>
      <w:permStart w:id="1657810091" w:edGrp="everyone"/>
      <w:r w:rsidRPr="002E1749">
        <w:rPr>
          <w:rFonts w:ascii="Calibri" w:hAnsi="Calibri" w:cs="Calibri"/>
          <w:color w:val="008080"/>
        </w:rPr>
        <w:lastRenderedPageBreak/>
        <w:t>ISLA does not support mandating that investment firms solely rely on the collection of trade settlement data during onboarding, as it may become outdated by the time the first trade is executed. The KYC and onboarding processes often occur well before any trading activity which could lead to potential inaccuracies in client data at the point of trade.</w:t>
      </w:r>
    </w:p>
    <w:p w14:paraId="53840BCB" w14:textId="77777777" w:rsidR="00E91AF8" w:rsidRPr="002E1749" w:rsidRDefault="00E91AF8" w:rsidP="00E91AF8">
      <w:pPr>
        <w:ind w:left="426" w:right="543"/>
        <w:rPr>
          <w:rFonts w:ascii="Calibri" w:hAnsi="Calibri" w:cs="Calibri"/>
          <w:color w:val="008080"/>
        </w:rPr>
      </w:pPr>
      <w:r w:rsidRPr="002E1749">
        <w:rPr>
          <w:rFonts w:ascii="Calibri" w:hAnsi="Calibri" w:cs="Calibri"/>
          <w:color w:val="008080"/>
        </w:rPr>
        <w:t>We would like to highlight that ISLA Best Practices support and recommend the sharing of all relevant KYC information. This should be carried out through recognised mechanisms and be done in a manner that ensures information captured by firm’s systems remain up-to-date. This should include periodic data reviews or trigger-based updates where client information is refreshed at key milestones (e.g., before the execution of the first trade or when significant changes occur in the client’s profile) or at the point of the trade’s lifecycle event, when new or extra information are required.</w:t>
      </w:r>
    </w:p>
    <w:p w14:paraId="0BC53FCB" w14:textId="77777777" w:rsidR="00E91AF8" w:rsidRPr="002E1749" w:rsidRDefault="00E91AF8" w:rsidP="00E91AF8">
      <w:pPr>
        <w:ind w:left="426" w:right="543"/>
        <w:rPr>
          <w:rFonts w:ascii="Calibri" w:hAnsi="Calibri" w:cs="Calibri"/>
          <w:color w:val="008080"/>
        </w:rPr>
      </w:pPr>
      <w:r w:rsidRPr="002E1749">
        <w:rPr>
          <w:rFonts w:ascii="Calibri" w:hAnsi="Calibri" w:cs="Calibri"/>
          <w:color w:val="008080"/>
        </w:rPr>
        <w:t xml:space="preserve">The use of electronic SSI repositories, adhering to an agreed formatting standard, should also be encouraged for ongoing immediacy and accuracy. </w:t>
      </w:r>
    </w:p>
    <w:p w14:paraId="292D0871" w14:textId="77777777" w:rsidR="00E91AF8" w:rsidRPr="002E1749" w:rsidRDefault="00E91AF8" w:rsidP="00E91AF8">
      <w:pPr>
        <w:ind w:left="426" w:right="543"/>
        <w:rPr>
          <w:rFonts w:ascii="Calibri" w:hAnsi="Calibri" w:cs="Calibri"/>
          <w:color w:val="008080"/>
        </w:rPr>
      </w:pPr>
      <w:r w:rsidRPr="002E1749">
        <w:rPr>
          <w:rFonts w:ascii="Calibri" w:hAnsi="Calibri" w:cs="Calibri"/>
          <w:color w:val="008080"/>
        </w:rPr>
        <w:t>Therefore, we recommend the adoption of standards be developed through market practice rather than regulation.</w:t>
      </w:r>
    </w:p>
    <w:permEnd w:id="1657810091"/>
    <w:p w14:paraId="58E885CF" w14:textId="77777777" w:rsidR="00113E80" w:rsidRDefault="00113E80" w:rsidP="00113E80">
      <w:r>
        <w:t>&lt;ESMA_QUESTION_CSDC_17&gt;</w:t>
      </w:r>
    </w:p>
    <w:p w14:paraId="6B624637" w14:textId="77777777" w:rsidR="00113E80" w:rsidRDefault="00113E80" w:rsidP="00113E80"/>
    <w:p w14:paraId="342C9B06" w14:textId="77777777" w:rsidR="00113E80" w:rsidRDefault="00113E80" w:rsidP="00113E80">
      <w:pPr>
        <w:pStyle w:val="Questionstyle"/>
        <w:numPr>
          <w:ilvl w:val="0"/>
          <w:numId w:val="14"/>
        </w:numPr>
        <w:tabs>
          <w:tab w:val="clear" w:pos="567"/>
        </w:tabs>
        <w:spacing w:after="240" w:line="256" w:lineRule="auto"/>
        <w:ind w:left="851" w:hanging="851"/>
      </w:pPr>
      <w:r>
        <w:t>Can you suggest any other means to achieve the same objective? If yes, please elaborate.</w:t>
      </w:r>
    </w:p>
    <w:p w14:paraId="2E441683" w14:textId="77777777" w:rsidR="00113E80" w:rsidRDefault="00113E80" w:rsidP="00113E80">
      <w:r>
        <w:t>&lt;ESMA_QUESTION_CSDC_18&gt;</w:t>
      </w:r>
    </w:p>
    <w:p w14:paraId="0520778F" w14:textId="77777777" w:rsidR="00113E80" w:rsidRDefault="00113E80" w:rsidP="00113E80">
      <w:permStart w:id="693599968" w:edGrp="everyone"/>
      <w:r>
        <w:t>TYPE YOUR TEXT HERE</w:t>
      </w:r>
    </w:p>
    <w:permEnd w:id="693599968"/>
    <w:p w14:paraId="499765DE" w14:textId="77777777" w:rsidR="00113E80" w:rsidRDefault="00113E80" w:rsidP="00113E80">
      <w:r>
        <w:t>&lt;ESMA_QUESTION_CSDC_18&gt;</w:t>
      </w:r>
    </w:p>
    <w:p w14:paraId="060AEB64" w14:textId="77777777" w:rsidR="005A35CA" w:rsidRDefault="005A35CA" w:rsidP="00113E80"/>
    <w:p w14:paraId="361D05CA" w14:textId="4970F6D9" w:rsidR="005A35CA" w:rsidRPr="005A35CA" w:rsidRDefault="005A35CA" w:rsidP="00113E80">
      <w:pPr>
        <w:rPr>
          <w:b/>
          <w:bCs/>
        </w:rPr>
      </w:pPr>
      <w:r w:rsidRPr="005A35CA">
        <w:rPr>
          <w:b/>
          <w:bCs/>
        </w:rPr>
        <w:t>3.1.6</w:t>
      </w:r>
      <w:r w:rsidRPr="005A35CA">
        <w:rPr>
          <w:b/>
          <w:bCs/>
        </w:rPr>
        <w:tab/>
        <w:t>Partial settlement</w:t>
      </w:r>
    </w:p>
    <w:p w14:paraId="502BC2F9" w14:textId="77777777" w:rsidR="00113E80" w:rsidRDefault="00113E80" w:rsidP="00113E80"/>
    <w:p w14:paraId="39E3B5AE" w14:textId="77777777" w:rsidR="00113E80" w:rsidRDefault="00113E80" w:rsidP="00113E80">
      <w:pPr>
        <w:pStyle w:val="Questionstyle"/>
        <w:numPr>
          <w:ilvl w:val="0"/>
          <w:numId w:val="14"/>
        </w:numPr>
        <w:tabs>
          <w:tab w:val="clear" w:pos="567"/>
        </w:tabs>
        <w:spacing w:after="240" w:line="256" w:lineRule="auto"/>
        <w:ind w:left="851" w:hanging="851"/>
      </w:pPr>
      <w:r>
        <w:t>Do you agree with the proposed amendment to Article 10 of CDR 2018/1229? If not, please elaborate.</w:t>
      </w:r>
    </w:p>
    <w:p w14:paraId="6FBDAB46" w14:textId="77777777" w:rsidR="00113E80" w:rsidRDefault="00113E80" w:rsidP="00113E80">
      <w:r>
        <w:t>&lt;ESMA_QUESTION_CSDC_19&gt;</w:t>
      </w:r>
    </w:p>
    <w:p w14:paraId="3E10D418" w14:textId="77777777" w:rsidR="00C60D25" w:rsidRPr="008C0D8E" w:rsidRDefault="00C60D25" w:rsidP="00C60D25">
      <w:pPr>
        <w:pStyle w:val="NoSpacing"/>
      </w:pPr>
      <w:permStart w:id="628694048" w:edGrp="everyone"/>
      <w:r w:rsidRPr="008C0D8E">
        <w:lastRenderedPageBreak/>
        <w:t xml:space="preserve">It is essential to acknowledge the inherent complexity of </w:t>
      </w:r>
      <w:r>
        <w:t>s</w:t>
      </w:r>
      <w:r w:rsidRPr="008C0D8E">
        <w:t xml:space="preserve">ecurities </w:t>
      </w:r>
      <w:r>
        <w:t>l</w:t>
      </w:r>
      <w:r w:rsidRPr="008C0D8E">
        <w:t>ending activities, particularly concerning those transactions arranged between a borrower and a lending agent. Such transactions are typically represented by a single parent transaction between borrower and agent</w:t>
      </w:r>
      <w:r>
        <w:t>,</w:t>
      </w:r>
      <w:r w:rsidRPr="008C0D8E">
        <w:t xml:space="preserve"> </w:t>
      </w:r>
      <w:r>
        <w:t>with</w:t>
      </w:r>
      <w:r w:rsidRPr="008C0D8E">
        <w:t xml:space="preserve"> a significant multiple of child instructions representing </w:t>
      </w:r>
      <w:r>
        <w:t xml:space="preserve">the </w:t>
      </w:r>
      <w:r w:rsidRPr="008C0D8E">
        <w:t xml:space="preserve">underlying beneficial owners. </w:t>
      </w:r>
    </w:p>
    <w:p w14:paraId="26A56EFE" w14:textId="77777777" w:rsidR="00C60D25" w:rsidRPr="008C0D8E" w:rsidRDefault="00C60D25" w:rsidP="00C60D25">
      <w:pPr>
        <w:pStyle w:val="NoSpacing"/>
      </w:pPr>
      <w:r>
        <w:t>‘</w:t>
      </w:r>
      <w:r w:rsidRPr="008C0D8E">
        <w:t>Beneficial owners</w:t>
      </w:r>
      <w:r>
        <w:t>’</w:t>
      </w:r>
      <w:r w:rsidRPr="008C0D8E">
        <w:t xml:space="preserve"> is a collective term used to describe institutional investors such as pension funds, mutual funds, insurance companies, and other large asset managers, otherwise known as the buy-side community. </w:t>
      </w:r>
    </w:p>
    <w:p w14:paraId="339FCAAF" w14:textId="77777777" w:rsidR="00C60D25" w:rsidRPr="008C0D8E" w:rsidRDefault="00C60D25" w:rsidP="00C60D25">
      <w:pPr>
        <w:pStyle w:val="NoSpacing"/>
      </w:pPr>
      <w:r w:rsidRPr="008C0D8E">
        <w:t xml:space="preserve">Whilst the </w:t>
      </w:r>
      <w:r>
        <w:t>sell-side/</w:t>
      </w:r>
      <w:r w:rsidRPr="008C0D8E">
        <w:t>borrower community may broadly support the adoption of auto-partial, the buy-side community whose securities lending transaction</w:t>
      </w:r>
      <w:r>
        <w:t>s</w:t>
      </w:r>
      <w:r w:rsidRPr="008C0D8E">
        <w:t xml:space="preserve"> are arranged by agent lenders</w:t>
      </w:r>
      <w:r>
        <w:t>,</w:t>
      </w:r>
      <w:r w:rsidRPr="008C0D8E">
        <w:t xml:space="preserve"> </w:t>
      </w:r>
      <w:r>
        <w:t xml:space="preserve">raise </w:t>
      </w:r>
      <w:r w:rsidRPr="008C0D8E">
        <w:t>significant concerns related to any mandated auto-partial functionality.</w:t>
      </w:r>
    </w:p>
    <w:p w14:paraId="142F6F32" w14:textId="77777777" w:rsidR="00C60D25" w:rsidRPr="008C0D8E" w:rsidRDefault="00C60D25" w:rsidP="00C60D25">
      <w:pPr>
        <w:pStyle w:val="NoSpacing"/>
      </w:pPr>
      <w:r w:rsidRPr="008C0D8E">
        <w:t xml:space="preserve">The transaction(s) between a borrower and </w:t>
      </w:r>
      <w:r>
        <w:t>lending agent are</w:t>
      </w:r>
      <w:r w:rsidRPr="008C0D8E">
        <w:t xml:space="preserve"> typically represented by a single parent transaction backed by </w:t>
      </w:r>
      <w:r>
        <w:t xml:space="preserve">a </w:t>
      </w:r>
      <w:r w:rsidRPr="008C0D8E">
        <w:t xml:space="preserve">significant number of child transactions for each underlying beneficial owner that is party to the trade. This creates many unique challenges when considering the use </w:t>
      </w:r>
      <w:r>
        <w:t>o</w:t>
      </w:r>
      <w:r w:rsidRPr="008C0D8E">
        <w:t xml:space="preserve">f auto-partial, where the parent transaction may partially auto-settle, but the child transaction </w:t>
      </w:r>
      <w:r>
        <w:t>may</w:t>
      </w:r>
      <w:r w:rsidRPr="008C0D8E">
        <w:t xml:space="preserve"> not settle. The link between the parent and child transaction </w:t>
      </w:r>
      <w:r>
        <w:t>c</w:t>
      </w:r>
      <w:r w:rsidRPr="008C0D8E">
        <w:t>ould break down and create further challenges in allocation, fair distribution, billing, and accounting</w:t>
      </w:r>
      <w:r>
        <w:t xml:space="preserve"> in the context of a securities lending transaction</w:t>
      </w:r>
      <w:r w:rsidRPr="008C0D8E">
        <w:t>.</w:t>
      </w:r>
    </w:p>
    <w:p w14:paraId="7AC99FE9" w14:textId="77777777" w:rsidR="00C60D25" w:rsidRPr="008C0D8E" w:rsidRDefault="00C60D25" w:rsidP="00C60D25">
      <w:pPr>
        <w:pStyle w:val="NoSpacing"/>
      </w:pPr>
      <w:r w:rsidRPr="008C0D8E">
        <w:t xml:space="preserve">It is for this reason </w:t>
      </w:r>
      <w:r>
        <w:t>that</w:t>
      </w:r>
      <w:r w:rsidRPr="008C0D8E">
        <w:t xml:space="preserve"> ISLA best practice takes a layered approach</w:t>
      </w:r>
      <w:r>
        <w:t xml:space="preserve"> to auto-partial, with </w:t>
      </w:r>
      <w:r w:rsidRPr="008C0D8E">
        <w:t xml:space="preserve">parties </w:t>
      </w:r>
      <w:r>
        <w:t xml:space="preserve">having a </w:t>
      </w:r>
      <w:r w:rsidRPr="008C0D8E">
        <w:t>one-to-one or non-parent/child transaction</w:t>
      </w:r>
      <w:r>
        <w:t xml:space="preserve"> using </w:t>
      </w:r>
      <w:r w:rsidRPr="008C0D8E">
        <w:t>auto-partial. However, where the use of such functionality would disadvantage one</w:t>
      </w:r>
      <w:r>
        <w:t>/both</w:t>
      </w:r>
      <w:r w:rsidRPr="008C0D8E">
        <w:t xml:space="preserve"> parties, the option must exist to opt out of auto-partial</w:t>
      </w:r>
      <w:r>
        <w:t xml:space="preserve">, which is the CSD process </w:t>
      </w:r>
      <w:r w:rsidRPr="008C0D8E">
        <w:t>today.</w:t>
      </w:r>
    </w:p>
    <w:p w14:paraId="2408AA2D" w14:textId="77777777" w:rsidR="00C60D25" w:rsidRPr="008C0D8E" w:rsidRDefault="00C60D25" w:rsidP="00C60D25">
      <w:pPr>
        <w:pStyle w:val="NoSpacing"/>
      </w:pPr>
      <w:r w:rsidRPr="008C0D8E">
        <w:t xml:space="preserve">This approach </w:t>
      </w:r>
      <w:r>
        <w:t xml:space="preserve">has been </w:t>
      </w:r>
      <w:r w:rsidRPr="008C0D8E">
        <w:t xml:space="preserve">successfully employed </w:t>
      </w:r>
      <w:r>
        <w:t>since the auto-partial functionality was put in place</w:t>
      </w:r>
      <w:r w:rsidRPr="008C0D8E">
        <w:t xml:space="preserve">, with </w:t>
      </w:r>
      <w:r>
        <w:t>lending agents</w:t>
      </w:r>
      <w:r w:rsidRPr="008C0D8E">
        <w:t xml:space="preserve"> </w:t>
      </w:r>
      <w:r>
        <w:t xml:space="preserve">then </w:t>
      </w:r>
      <w:r w:rsidRPr="008C0D8E">
        <w:t>manual</w:t>
      </w:r>
      <w:r>
        <w:t>ly</w:t>
      </w:r>
      <w:r w:rsidRPr="008C0D8E">
        <w:t xml:space="preserve"> </w:t>
      </w:r>
      <w:r>
        <w:t>processing</w:t>
      </w:r>
      <w:r w:rsidRPr="008C0D8E">
        <w:t xml:space="preserve"> partial settlement</w:t>
      </w:r>
      <w:r>
        <w:t>s,</w:t>
      </w:r>
      <w:r w:rsidRPr="008C0D8E">
        <w:t xml:space="preserve"> where onward delivery of </w:t>
      </w:r>
      <w:r>
        <w:t xml:space="preserve">a </w:t>
      </w:r>
      <w:r w:rsidRPr="008C0D8E">
        <w:t>closing loan is required. For example</w:t>
      </w:r>
      <w:r>
        <w:t>,</w:t>
      </w:r>
      <w:r w:rsidRPr="008C0D8E">
        <w:t xml:space="preserve"> where a loan return recall notice is issued due to the beneficial owner selling the related security.</w:t>
      </w:r>
    </w:p>
    <w:p w14:paraId="7B7555FD" w14:textId="77777777" w:rsidR="00C60D25" w:rsidRPr="008C0D8E" w:rsidRDefault="00C60D25" w:rsidP="00C60D25">
      <w:pPr>
        <w:pStyle w:val="NoSpacing"/>
      </w:pPr>
      <w:r>
        <w:t>The above is largely related to closing securities lending transactions (returns). N</w:t>
      </w:r>
      <w:r w:rsidRPr="008C0D8E">
        <w:t>ew loan</w:t>
      </w:r>
      <w:r>
        <w:t>(</w:t>
      </w:r>
      <w:r w:rsidRPr="008C0D8E">
        <w:t>s</w:t>
      </w:r>
      <w:r>
        <w:t>)</w:t>
      </w:r>
      <w:r w:rsidRPr="008C0D8E">
        <w:t xml:space="preserve"> </w:t>
      </w:r>
      <w:r>
        <w:t xml:space="preserve">arranged by </w:t>
      </w:r>
      <w:r w:rsidRPr="008C0D8E">
        <w:t>lend</w:t>
      </w:r>
      <w:r>
        <w:t xml:space="preserve">ing agents are </w:t>
      </w:r>
      <w:r w:rsidRPr="008C0D8E">
        <w:t>less problematic</w:t>
      </w:r>
      <w:r>
        <w:t>,</w:t>
      </w:r>
      <w:r w:rsidRPr="008C0D8E">
        <w:t xml:space="preserve"> as an agent </w:t>
      </w:r>
      <w:r>
        <w:t xml:space="preserve">may </w:t>
      </w:r>
      <w:r w:rsidRPr="008C0D8E">
        <w:t xml:space="preserve">only </w:t>
      </w:r>
      <w:r>
        <w:t xml:space="preserve">raise </w:t>
      </w:r>
      <w:r w:rsidRPr="008C0D8E">
        <w:t>instruct</w:t>
      </w:r>
      <w:r>
        <w:t>ions</w:t>
      </w:r>
      <w:r w:rsidRPr="008C0D8E">
        <w:t xml:space="preserve"> on a full and correct position</w:t>
      </w:r>
      <w:r>
        <w:t xml:space="preserve">. I.e., an instruction only exists if the full position is available, and so use of partial settlement is unnecessary. This dynamic </w:t>
      </w:r>
      <w:r w:rsidRPr="008C0D8E">
        <w:t xml:space="preserve">explains </w:t>
      </w:r>
      <w:r>
        <w:t xml:space="preserve">the </w:t>
      </w:r>
      <w:r w:rsidRPr="008C0D8E">
        <w:t xml:space="preserve">higher rate of new loan settlement success </w:t>
      </w:r>
      <w:r>
        <w:t xml:space="preserve">ISLA observes, </w:t>
      </w:r>
      <w:r w:rsidRPr="008C0D8E">
        <w:t>with average settlement success rate for 2024 New Loan</w:t>
      </w:r>
      <w:r>
        <w:t>s being approximately</w:t>
      </w:r>
      <w:r w:rsidRPr="008C0D8E">
        <w:t xml:space="preserve"> 97%. </w:t>
      </w:r>
    </w:p>
    <w:p w14:paraId="5F70BC5A" w14:textId="77777777" w:rsidR="00C60D25" w:rsidRPr="008C0D8E" w:rsidRDefault="00C60D25" w:rsidP="00C60D25">
      <w:pPr>
        <w:pStyle w:val="NoSpacing"/>
      </w:pPr>
      <w:r>
        <w:t xml:space="preserve">Although ISLA </w:t>
      </w:r>
      <w:r w:rsidRPr="008C0D8E">
        <w:t>do</w:t>
      </w:r>
      <w:r>
        <w:t>es</w:t>
      </w:r>
      <w:r w:rsidRPr="008C0D8E">
        <w:t xml:space="preserve"> support the availability </w:t>
      </w:r>
      <w:r>
        <w:t xml:space="preserve">of </w:t>
      </w:r>
      <w:r w:rsidRPr="008C0D8E">
        <w:t xml:space="preserve">auto-partial functionality across CSDs and the adoption of such in other markets, </w:t>
      </w:r>
      <w:r>
        <w:t xml:space="preserve">we do not support mandated auto partial that removes the current opt-out </w:t>
      </w:r>
      <w:r w:rsidRPr="008C0D8E">
        <w:t>optionality</w:t>
      </w:r>
      <w:r>
        <w:t xml:space="preserve"> </w:t>
      </w:r>
      <w:r w:rsidRPr="008C0D8E">
        <w:t xml:space="preserve">by one party. </w:t>
      </w:r>
      <w:r>
        <w:t xml:space="preserve">This is particularly important </w:t>
      </w:r>
      <w:r w:rsidRPr="008C0D8E">
        <w:t xml:space="preserve">as </w:t>
      </w:r>
      <w:r>
        <w:t xml:space="preserve">we understand that </w:t>
      </w:r>
      <w:r w:rsidRPr="008C0D8E">
        <w:t xml:space="preserve">many borrowers may default all instructions to auto-partial to the determinant of agent lenders supporting complex beneficial owner transactions. </w:t>
      </w:r>
    </w:p>
    <w:permEnd w:id="628694048"/>
    <w:p w14:paraId="47C78033" w14:textId="77777777" w:rsidR="00113E80" w:rsidRDefault="00113E80" w:rsidP="00113E80">
      <w:r>
        <w:t>&lt;ESMA_QUESTION_CSDC_19&gt;</w:t>
      </w:r>
    </w:p>
    <w:p w14:paraId="4B8E1239" w14:textId="77777777" w:rsidR="00113E80" w:rsidRDefault="00113E80" w:rsidP="00113E80"/>
    <w:p w14:paraId="245DEB8D" w14:textId="77777777" w:rsidR="00113E80" w:rsidRDefault="00113E80" w:rsidP="00113E80">
      <w:pPr>
        <w:pStyle w:val="Questionstyle"/>
        <w:numPr>
          <w:ilvl w:val="0"/>
          <w:numId w:val="14"/>
        </w:numPr>
        <w:tabs>
          <w:tab w:val="clear" w:pos="567"/>
        </w:tabs>
        <w:spacing w:after="240" w:line="256" w:lineRule="auto"/>
        <w:ind w:left="851" w:hanging="851"/>
      </w:pPr>
      <w:r>
        <w:t>Do you agree with the deletion of Article 12 of CDR 2018/1229? If not, please elaborate.</w:t>
      </w:r>
    </w:p>
    <w:p w14:paraId="422247B4" w14:textId="77777777" w:rsidR="00113E80" w:rsidRDefault="00113E80" w:rsidP="00113E80">
      <w:r>
        <w:t>&lt;ESMA_QUESTION_CSDC_20&gt;</w:t>
      </w:r>
    </w:p>
    <w:p w14:paraId="2F21B1B1" w14:textId="77777777" w:rsidR="00B43FEE" w:rsidRPr="008C0D8E" w:rsidRDefault="00B43FEE" w:rsidP="00B43FEE">
      <w:pPr>
        <w:pStyle w:val="NoSpacing"/>
        <w:rPr>
          <w:color w:val="0070C0"/>
          <w:sz w:val="27"/>
          <w:szCs w:val="27"/>
        </w:rPr>
      </w:pPr>
      <w:permStart w:id="272843166" w:edGrp="everyone"/>
      <w:r>
        <w:t>Yes. ISLA</w:t>
      </w:r>
      <w:r w:rsidRPr="00CB352F">
        <w:t xml:space="preserve"> support</w:t>
      </w:r>
      <w:r>
        <w:t>s</w:t>
      </w:r>
      <w:r w:rsidRPr="00CB352F">
        <w:t xml:space="preserve"> standardisation of hold/release functionality across CSDs. </w:t>
      </w:r>
    </w:p>
    <w:permEnd w:id="272843166"/>
    <w:p w14:paraId="17D7BC3A" w14:textId="77777777" w:rsidR="00113E80" w:rsidRDefault="00113E80" w:rsidP="00113E80">
      <w:r>
        <w:t>&lt;ESMA_QUESTION_CSDC_20&gt;</w:t>
      </w:r>
    </w:p>
    <w:p w14:paraId="4A5CBC3C" w14:textId="77777777" w:rsidR="00113E80" w:rsidRDefault="00113E80" w:rsidP="00113E80"/>
    <w:p w14:paraId="62AE285B" w14:textId="77777777" w:rsidR="00113E80" w:rsidRDefault="00113E80" w:rsidP="00113E80">
      <w:pPr>
        <w:pStyle w:val="Questionstyle"/>
        <w:numPr>
          <w:ilvl w:val="0"/>
          <w:numId w:val="14"/>
        </w:numPr>
        <w:tabs>
          <w:tab w:val="clear" w:pos="567"/>
        </w:tabs>
        <w:spacing w:after="240" w:line="256" w:lineRule="auto"/>
        <w:ind w:left="851" w:hanging="851"/>
      </w:pPr>
      <w:r>
        <w:lastRenderedPageBreak/>
        <w:t>Do you have other suggestions to incentivise partial settlement? If yes, please elaborate.</w:t>
      </w:r>
    </w:p>
    <w:p w14:paraId="4E4F0DBD" w14:textId="77777777" w:rsidR="00113E80" w:rsidRDefault="00113E80" w:rsidP="00113E80">
      <w:r>
        <w:t>&lt;ESMA_QUESTION_CSDC_21&gt;</w:t>
      </w:r>
    </w:p>
    <w:p w14:paraId="352CC84F" w14:textId="2FD7DBC8" w:rsidR="00B61717" w:rsidRPr="008C0D8E" w:rsidRDefault="00B61717" w:rsidP="00B61717">
      <w:pPr>
        <w:pStyle w:val="NoSpacing"/>
        <w:rPr>
          <w:color w:val="0070C0"/>
          <w:sz w:val="27"/>
          <w:szCs w:val="27"/>
        </w:rPr>
      </w:pPr>
      <w:permStart w:id="117865647" w:edGrp="everyone"/>
      <w:r w:rsidRPr="008C0D8E">
        <w:t xml:space="preserve">As it relates to </w:t>
      </w:r>
      <w:r>
        <w:t>s</w:t>
      </w:r>
      <w:r w:rsidRPr="008C0D8E">
        <w:t xml:space="preserve">ecurities </w:t>
      </w:r>
      <w:r>
        <w:t>l</w:t>
      </w:r>
      <w:r w:rsidRPr="008C0D8E">
        <w:t xml:space="preserve">ending, </w:t>
      </w:r>
      <w:r>
        <w:t xml:space="preserve">ISLA </w:t>
      </w:r>
      <w:r w:rsidRPr="008C0D8E">
        <w:t>do</w:t>
      </w:r>
      <w:r>
        <w:t>es</w:t>
      </w:r>
      <w:r w:rsidRPr="008C0D8E">
        <w:t xml:space="preserve"> not believe any additional incentives need to be introduced at </w:t>
      </w:r>
      <w:r>
        <w:t xml:space="preserve">a </w:t>
      </w:r>
      <w:r w:rsidRPr="008C0D8E">
        <w:t>regulatory level. Instead, we believe securities lending participants will be sufficiently incentivised by the commercial and practical impact of T+1, which will of course compress securities lending activity to a timescale with</w:t>
      </w:r>
      <w:r>
        <w:t>in</w:t>
      </w:r>
      <w:r w:rsidRPr="008C0D8E">
        <w:t xml:space="preserve"> that</w:t>
      </w:r>
      <w:r>
        <w:t xml:space="preserve"> standard settlement cycle</w:t>
      </w:r>
      <w:r w:rsidR="000753C1" w:rsidRPr="008C0D8E">
        <w:t xml:space="preserve">. </w:t>
      </w:r>
    </w:p>
    <w:permEnd w:id="117865647"/>
    <w:p w14:paraId="228C028F" w14:textId="77777777" w:rsidR="00113E80" w:rsidRDefault="00113E80" w:rsidP="00113E80">
      <w:r>
        <w:t>&lt;ESMA_QUESTION_CSDC_21&gt;</w:t>
      </w:r>
    </w:p>
    <w:p w14:paraId="704AFC04" w14:textId="77777777" w:rsidR="00113E80" w:rsidRDefault="00113E80" w:rsidP="00113E80"/>
    <w:p w14:paraId="07B31E04" w14:textId="77777777" w:rsidR="00113E80" w:rsidRDefault="00113E80" w:rsidP="00113E80">
      <w:pPr>
        <w:pStyle w:val="Questionstyle"/>
        <w:numPr>
          <w:ilvl w:val="0"/>
          <w:numId w:val="14"/>
        </w:numPr>
        <w:tabs>
          <w:tab w:val="clear" w:pos="567"/>
        </w:tabs>
        <w:spacing w:after="240" w:line="256" w:lineRule="auto"/>
        <w:ind w:left="851" w:hanging="851"/>
      </w:pPr>
      <w:r>
        <w:t>Do you think that some types of transactions should not be subject to partial settlement? If yes, could you provide a list and the supporting reasoning?</w:t>
      </w:r>
    </w:p>
    <w:p w14:paraId="7D933CF7" w14:textId="77777777" w:rsidR="00113E80" w:rsidRDefault="00113E80" w:rsidP="00113E80">
      <w:r>
        <w:t>&lt;ESMA_QUESTION_CSDC_22&gt;</w:t>
      </w:r>
    </w:p>
    <w:p w14:paraId="2520E160" w14:textId="77777777" w:rsidR="007C7461" w:rsidRDefault="007C7461" w:rsidP="007C7461">
      <w:pPr>
        <w:pStyle w:val="NoSpacing"/>
      </w:pPr>
      <w:permStart w:id="591729658" w:edGrp="everyone"/>
      <w:r w:rsidRPr="008C0D8E">
        <w:t xml:space="preserve">Further to our response to Q19 which </w:t>
      </w:r>
      <w:r>
        <w:t xml:space="preserve">requests that </w:t>
      </w:r>
      <w:r w:rsidRPr="008C0D8E">
        <w:t>optionality for complex securities lending transaction</w:t>
      </w:r>
      <w:r>
        <w:t>s</w:t>
      </w:r>
      <w:r w:rsidRPr="008C0D8E">
        <w:t xml:space="preserve"> </w:t>
      </w:r>
      <w:r>
        <w:t xml:space="preserve">be retained with the option for one party to opt out, we </w:t>
      </w:r>
      <w:r w:rsidRPr="008C0D8E">
        <w:t xml:space="preserve">would </w:t>
      </w:r>
      <w:r>
        <w:t xml:space="preserve">ask that this functionality includes related </w:t>
      </w:r>
      <w:r w:rsidRPr="008C0D8E">
        <w:t>collateral movements</w:t>
      </w:r>
      <w:r>
        <w:t>.</w:t>
      </w:r>
    </w:p>
    <w:permEnd w:id="591729658"/>
    <w:p w14:paraId="796EAD16" w14:textId="77777777" w:rsidR="00113E80" w:rsidRDefault="00113E80" w:rsidP="00113E80">
      <w:r>
        <w:t>&lt;ESMA_QUESTION_CSDC_22&gt;</w:t>
      </w:r>
    </w:p>
    <w:p w14:paraId="199C4201" w14:textId="77777777" w:rsidR="005A35CA" w:rsidRDefault="005A35CA" w:rsidP="00113E80"/>
    <w:p w14:paraId="25F3256C" w14:textId="491C960F" w:rsidR="00113E80" w:rsidRDefault="005A35CA" w:rsidP="00113E80">
      <w:pPr>
        <w:rPr>
          <w:b/>
          <w:bCs/>
        </w:rPr>
      </w:pPr>
      <w:r w:rsidRPr="005A35CA">
        <w:rPr>
          <w:b/>
          <w:bCs/>
        </w:rPr>
        <w:t>3.1.7. Auto-collateralisation</w:t>
      </w:r>
    </w:p>
    <w:p w14:paraId="117CC27B" w14:textId="77777777" w:rsidR="005A35CA" w:rsidRPr="005A35CA" w:rsidRDefault="005A35CA" w:rsidP="00113E80">
      <w:pPr>
        <w:rPr>
          <w:b/>
          <w:bCs/>
        </w:rPr>
      </w:pPr>
    </w:p>
    <w:p w14:paraId="7BEF6098" w14:textId="77777777" w:rsidR="00113E80" w:rsidRDefault="00113E80" w:rsidP="00113E80">
      <w:pPr>
        <w:pStyle w:val="Questionstyle"/>
        <w:numPr>
          <w:ilvl w:val="0"/>
          <w:numId w:val="14"/>
        </w:numPr>
        <w:tabs>
          <w:tab w:val="clear" w:pos="567"/>
        </w:tabs>
        <w:spacing w:after="240" w:line="256" w:lineRule="auto"/>
        <w:ind w:left="851" w:hanging="851"/>
      </w:pPr>
      <w:r>
        <w:rPr>
          <w:bCs/>
        </w:rPr>
        <w:t xml:space="preserve">Do you agree with the introduction of an obligation for CSDs to facilitate the provision of intraday cash credit secured with collateral via an auto-collateralisation facility? If not, please elaborate. </w:t>
      </w:r>
    </w:p>
    <w:p w14:paraId="2959A88C" w14:textId="77777777" w:rsidR="00113E80" w:rsidRDefault="00113E80" w:rsidP="00113E80">
      <w:r>
        <w:t>&lt;ESMA_QUESTION_CSDC_23&gt;</w:t>
      </w:r>
    </w:p>
    <w:p w14:paraId="2FFD36B1" w14:textId="77777777" w:rsidR="00233863" w:rsidRPr="00157442" w:rsidRDefault="00233863" w:rsidP="00233863">
      <w:pPr>
        <w:pStyle w:val="NoSpacing"/>
      </w:pPr>
      <w:permStart w:id="367345271" w:edGrp="everyone"/>
      <w:r>
        <w:t>ISLA</w:t>
      </w:r>
      <w:r w:rsidRPr="00157442">
        <w:t xml:space="preserve"> support the proposed amendment of Article 11 to incorporate the mandate for CSDs to facilitate intraday cash credit via an auto-collateralisation facility.</w:t>
      </w:r>
    </w:p>
    <w:p w14:paraId="2027F8E6" w14:textId="77777777" w:rsidR="00233863" w:rsidRPr="008C0D8E" w:rsidRDefault="00233863" w:rsidP="00233863">
      <w:pPr>
        <w:pStyle w:val="NoSpacing"/>
        <w:rPr>
          <w:color w:val="0070C0"/>
          <w:sz w:val="27"/>
          <w:szCs w:val="27"/>
        </w:rPr>
      </w:pPr>
      <w:r w:rsidRPr="008C0D8E">
        <w:t>We note that auto-collateralisation represents an efficient way to create additional intra-day liquidity, thereby supporting overall market stability and efficiency. Furthermore, in T2S markets auto-collateralisation is a well-established mechanism that helps participants meet their intraday liquidity needs in a streamlined manner, therefore extending t</w:t>
      </w:r>
      <w:r w:rsidRPr="00157442">
        <w:t xml:space="preserve">his as a broader obligation would assist with driving consistency across CSDs. </w:t>
      </w:r>
    </w:p>
    <w:p w14:paraId="388445CE" w14:textId="77777777" w:rsidR="00233863" w:rsidRPr="00157442" w:rsidRDefault="00233863" w:rsidP="00233863">
      <w:pPr>
        <w:pStyle w:val="NoSpacing"/>
      </w:pPr>
      <w:r w:rsidRPr="008C0D8E">
        <w:t xml:space="preserve">In this respect, we note that T2S CSDs could leverage the </w:t>
      </w:r>
      <w:r w:rsidRPr="00157442">
        <w:t>existing T2S functionality, whilst CSDs outside of T2S should align by having a similar mechanism in place in central bank money. We recommend that sufficient time is provided so CSDs would be able to implement such mechanisms.</w:t>
      </w:r>
    </w:p>
    <w:permEnd w:id="367345271"/>
    <w:p w14:paraId="798DB0C5" w14:textId="77777777" w:rsidR="00113E80" w:rsidRDefault="00113E80" w:rsidP="00113E80">
      <w:r>
        <w:t>&lt;ESMA_QUESTION_CSDC_23&gt;</w:t>
      </w:r>
    </w:p>
    <w:p w14:paraId="4BC367AF" w14:textId="77777777" w:rsidR="00113E80" w:rsidRDefault="00113E80" w:rsidP="00113E80"/>
    <w:p w14:paraId="226D70A1" w14:textId="77777777" w:rsidR="00113E80" w:rsidRDefault="00113E80" w:rsidP="00113E80">
      <w:pPr>
        <w:pStyle w:val="Questionstyle"/>
        <w:numPr>
          <w:ilvl w:val="0"/>
          <w:numId w:val="14"/>
        </w:numPr>
        <w:tabs>
          <w:tab w:val="clear" w:pos="567"/>
        </w:tabs>
        <w:spacing w:after="240" w:line="256" w:lineRule="auto"/>
        <w:ind w:left="851" w:hanging="851"/>
      </w:pPr>
      <w:r>
        <w:t>Can you suggest any other means to achieve the same objective? If yes, please elaborate.</w:t>
      </w:r>
    </w:p>
    <w:p w14:paraId="5B8691F9" w14:textId="77777777" w:rsidR="00113E80" w:rsidRDefault="00113E80" w:rsidP="00113E80">
      <w:r>
        <w:t>&lt;ESMA_QUESTION_CSDC_24&gt;</w:t>
      </w:r>
    </w:p>
    <w:p w14:paraId="549AF438" w14:textId="77777777" w:rsidR="00113E80" w:rsidRDefault="00113E80" w:rsidP="00113E80">
      <w:permStart w:id="1759915737" w:edGrp="everyone"/>
      <w:r>
        <w:t>TYPE YOUR TEXT HERE</w:t>
      </w:r>
    </w:p>
    <w:permEnd w:id="1759915737"/>
    <w:p w14:paraId="5797DE5C" w14:textId="77777777" w:rsidR="00113E80" w:rsidRDefault="00113E80" w:rsidP="00113E80">
      <w:r>
        <w:t>&lt;ESMA_QUESTION_CSDC_24&gt;</w:t>
      </w:r>
    </w:p>
    <w:p w14:paraId="3A23B0BA" w14:textId="77777777" w:rsidR="00FE2F18" w:rsidRDefault="00FE2F18" w:rsidP="00113E80"/>
    <w:p w14:paraId="51140CAE" w14:textId="2F73B2DA" w:rsidR="00FE2F18" w:rsidRPr="00FE2F18" w:rsidRDefault="00FE2F18" w:rsidP="00113E80">
      <w:pPr>
        <w:rPr>
          <w:b/>
          <w:bCs/>
        </w:rPr>
      </w:pPr>
      <w:r w:rsidRPr="00FE2F18">
        <w:rPr>
          <w:b/>
          <w:bCs/>
        </w:rPr>
        <w:t>3.1.8</w:t>
      </w:r>
      <w:r w:rsidRPr="00FE2F18">
        <w:rPr>
          <w:b/>
          <w:bCs/>
        </w:rPr>
        <w:tab/>
        <w:t>Real-time gross settlement versus batches</w:t>
      </w:r>
    </w:p>
    <w:p w14:paraId="783A5D57" w14:textId="77777777" w:rsidR="00113E80" w:rsidRDefault="00113E80" w:rsidP="00113E80"/>
    <w:p w14:paraId="721BBE5A" w14:textId="77777777" w:rsidR="00113E80" w:rsidRDefault="00113E80" w:rsidP="00113E80">
      <w:pPr>
        <w:pStyle w:val="Questionstyle"/>
        <w:numPr>
          <w:ilvl w:val="0"/>
          <w:numId w:val="14"/>
        </w:numPr>
        <w:tabs>
          <w:tab w:val="clear" w:pos="567"/>
        </w:tabs>
        <w:spacing w:after="240" w:line="256" w:lineRule="auto"/>
        <w:ind w:left="851" w:hanging="851"/>
      </w:pPr>
      <w:r>
        <w:t>Should CDR 2018/1229 be amended to require all CSDs to offer real-time gross settlement for a minimum window of time of each business day as well as a minimum number of settlement batches? Please provide arguments to justify your answer.</w:t>
      </w:r>
    </w:p>
    <w:p w14:paraId="2D626454" w14:textId="77777777" w:rsidR="00113E80" w:rsidRDefault="00113E80" w:rsidP="00113E80">
      <w:r>
        <w:t>&lt;ESMA_QUESTION_CSDC_25&gt;</w:t>
      </w:r>
    </w:p>
    <w:p w14:paraId="78344F58" w14:textId="77777777" w:rsidR="00817727" w:rsidRPr="006466C2" w:rsidRDefault="00817727" w:rsidP="00817727">
      <w:pPr>
        <w:pStyle w:val="NoSpacing"/>
      </w:pPr>
      <w:permStart w:id="1900937655" w:edGrp="everyone"/>
      <w:r w:rsidRPr="008C0D8E">
        <w:t xml:space="preserve">We support introducing a regulatory requirement for all CSDs to offer real-time gross settlement (RTGS) for a minimum period of time each business day, alongside a minimum number of settlement batches. This would further enable market </w:t>
      </w:r>
      <w:r w:rsidRPr="006466C2">
        <w:t>participants to settle high priority transactions in real time, thus reducing liquidity and counterparty risks. Moreover, having a structured mix of RTGS and batch settlement cycles would ensure that settlement risks (e.g., bottlenecks during periods of high activity) are minimised, thus improving overall market stability.</w:t>
      </w:r>
    </w:p>
    <w:p w14:paraId="09D4D0AB" w14:textId="77777777" w:rsidR="00817727" w:rsidRPr="006466C2" w:rsidRDefault="00817727" w:rsidP="00817727">
      <w:pPr>
        <w:pStyle w:val="NoSpacing"/>
      </w:pPr>
      <w:r w:rsidRPr="008C0D8E">
        <w:t>We recommend that all CSDs in T2S should have the same time period for RTGS and should offer the same number of settlement batches. Non-T2S CSDs should also be required to operate a RTGS and a minimum number of settlement batches with CSDs interoperating with T2S and providing sufficiently aligned batches to ensure that cross-border settlement is optimal and maximises the flow of inventory.</w:t>
      </w:r>
    </w:p>
    <w:permEnd w:id="1900937655"/>
    <w:p w14:paraId="1A353DF1" w14:textId="77777777" w:rsidR="00113E80" w:rsidRDefault="00113E80" w:rsidP="00113E80">
      <w:r>
        <w:t>&lt;ESMA_QUESTION_CSDC_25&gt;</w:t>
      </w:r>
    </w:p>
    <w:p w14:paraId="07961142" w14:textId="77777777" w:rsidR="00113E80" w:rsidRDefault="00113E80" w:rsidP="00113E80"/>
    <w:p w14:paraId="2320C820" w14:textId="77777777" w:rsidR="00113E80" w:rsidRDefault="00113E80" w:rsidP="00113E80">
      <w:pPr>
        <w:pStyle w:val="Questionstyle"/>
        <w:numPr>
          <w:ilvl w:val="0"/>
          <w:numId w:val="14"/>
        </w:numPr>
        <w:tabs>
          <w:tab w:val="clear" w:pos="567"/>
        </w:tabs>
        <w:spacing w:after="240" w:line="256" w:lineRule="auto"/>
        <w:ind w:left="851" w:hanging="851"/>
      </w:pPr>
      <w:r>
        <w:t>What should be the length of the minimum window of time of each business day for real-time gross settlement and the minimum number of settlement batches that should be offered, per business day? Please provide arguments to justify your answer.</w:t>
      </w:r>
    </w:p>
    <w:p w14:paraId="3BAA417A" w14:textId="77777777" w:rsidR="00113E80" w:rsidRDefault="00113E80" w:rsidP="00113E80">
      <w:r>
        <w:t>&lt;ESMA_QUESTION_CSDC_26&gt;</w:t>
      </w:r>
    </w:p>
    <w:p w14:paraId="27C53A4B" w14:textId="77777777" w:rsidR="00C37B42" w:rsidRPr="006466C2" w:rsidRDefault="00C37B42" w:rsidP="00C37B42">
      <w:pPr>
        <w:pStyle w:val="NoSpacing"/>
      </w:pPr>
      <w:permStart w:id="151126903" w:edGrp="everyone"/>
      <w:r w:rsidRPr="008C0D8E">
        <w:lastRenderedPageBreak/>
        <w:t xml:space="preserve">This </w:t>
      </w:r>
      <w:r w:rsidRPr="006466C2">
        <w:t xml:space="preserve">topic is currently under discussion by the EU T+1 Taskforce with the goal of providing detailed proposals in a mid-year report. </w:t>
      </w:r>
    </w:p>
    <w:permEnd w:id="151126903"/>
    <w:p w14:paraId="1C830BCE" w14:textId="77777777" w:rsidR="00113E80" w:rsidRDefault="00113E80" w:rsidP="00113E80">
      <w:r>
        <w:t>&lt;ESMA_QUESTION_CSDC_26&gt;</w:t>
      </w:r>
    </w:p>
    <w:p w14:paraId="6A68967B" w14:textId="77777777" w:rsidR="00113E80" w:rsidRDefault="00113E80" w:rsidP="00113E80"/>
    <w:p w14:paraId="4961D2D0" w14:textId="77777777" w:rsidR="00113E80" w:rsidRDefault="00113E80" w:rsidP="00113E80">
      <w:pPr>
        <w:pStyle w:val="Questionstyle"/>
        <w:numPr>
          <w:ilvl w:val="0"/>
          <w:numId w:val="14"/>
        </w:numPr>
        <w:tabs>
          <w:tab w:val="clear" w:pos="567"/>
        </w:tabs>
        <w:spacing w:after="240" w:line="256" w:lineRule="auto"/>
        <w:ind w:left="851" w:hanging="851"/>
      </w:pPr>
      <w:r>
        <w:rPr>
          <w:bCs/>
        </w:rPr>
        <w:t>Can you suggest any other means to achieve the same objective? If yes, please elaborate.</w:t>
      </w:r>
    </w:p>
    <w:p w14:paraId="48E13F24" w14:textId="77777777" w:rsidR="00113E80" w:rsidRDefault="00113E80" w:rsidP="00113E80">
      <w:r>
        <w:t>&lt;ESMA_QUESTION_CSDC_27&gt;</w:t>
      </w:r>
    </w:p>
    <w:p w14:paraId="04403028" w14:textId="77777777" w:rsidR="00113E80" w:rsidRDefault="00113E80" w:rsidP="00113E80">
      <w:permStart w:id="1363037524" w:edGrp="everyone"/>
      <w:r>
        <w:t>TYPE YOUR TEXT HERE</w:t>
      </w:r>
    </w:p>
    <w:permEnd w:id="1363037524"/>
    <w:p w14:paraId="2D842D79" w14:textId="77777777" w:rsidR="00113E80" w:rsidRDefault="00113E80" w:rsidP="00113E80">
      <w:r>
        <w:t>&lt;ESMA_QUESTION_CSDC_27&gt;</w:t>
      </w:r>
    </w:p>
    <w:p w14:paraId="7C07E120" w14:textId="77777777" w:rsidR="00FE2F18" w:rsidRDefault="00FE2F18" w:rsidP="00113E80"/>
    <w:p w14:paraId="42D1449D" w14:textId="3E88CC69" w:rsidR="00113E80" w:rsidRPr="00FE2F18" w:rsidRDefault="00FE2F18" w:rsidP="00113E80">
      <w:pPr>
        <w:rPr>
          <w:b/>
          <w:bCs/>
        </w:rPr>
      </w:pPr>
      <w:r w:rsidRPr="00FE2F18">
        <w:rPr>
          <w:b/>
          <w:bCs/>
        </w:rPr>
        <w:t>3.1.9 Reporting top failing participants</w:t>
      </w:r>
    </w:p>
    <w:p w14:paraId="5E89A68E" w14:textId="77777777" w:rsidR="00FE2F18" w:rsidRDefault="00FE2F18" w:rsidP="00113E80"/>
    <w:p w14:paraId="714203B7" w14:textId="77777777" w:rsidR="00113E80" w:rsidRDefault="00113E80" w:rsidP="00113E80">
      <w:pPr>
        <w:pStyle w:val="Questionstyle"/>
        <w:numPr>
          <w:ilvl w:val="0"/>
          <w:numId w:val="14"/>
        </w:numPr>
        <w:tabs>
          <w:tab w:val="clear" w:pos="567"/>
        </w:tabs>
        <w:spacing w:after="240" w:line="256" w:lineRule="auto"/>
        <w:ind w:left="851" w:hanging="851"/>
      </w:pPr>
      <w:r>
        <w:t>Do you agree with the proposed amendments to Table 1 of Annex I of CDR 2018/1229? If not, please elaborate.</w:t>
      </w:r>
    </w:p>
    <w:p w14:paraId="0C9564AA" w14:textId="77777777" w:rsidR="00113E80" w:rsidRDefault="00113E80" w:rsidP="00113E80">
      <w:r>
        <w:t>&lt;ESMA_QUESTION_CSDC_28&gt;</w:t>
      </w:r>
    </w:p>
    <w:p w14:paraId="6E447660" w14:textId="77777777" w:rsidR="00601B01" w:rsidRPr="008C6261" w:rsidRDefault="00601B01" w:rsidP="00601B01">
      <w:pPr>
        <w:pStyle w:val="NoSpacing"/>
      </w:pPr>
      <w:permStart w:id="556666167" w:edGrp="everyone"/>
      <w:r w:rsidRPr="008C0D8E">
        <w:t>ISLA are generally supportive of increased transparency regarding settlement failures, which may include a ranking mechanism. However</w:t>
      </w:r>
      <w:r>
        <w:t>,</w:t>
      </w:r>
      <w:r w:rsidRPr="008C0D8E">
        <w:t xml:space="preserve"> we are mindful that such data may not represent a complete picture, for instance </w:t>
      </w:r>
      <w:r w:rsidRPr="008C6261">
        <w:t>where it either does not reflect the end party i.e.</w:t>
      </w:r>
      <w:r>
        <w:t>,</w:t>
      </w:r>
      <w:r w:rsidRPr="008C6261">
        <w:t xml:space="preserve"> an intermediary, or where the outcome of a settlement instruction is reliant on dependencies outside the view of a CSD.</w:t>
      </w:r>
    </w:p>
    <w:permEnd w:id="556666167"/>
    <w:p w14:paraId="6E25C569" w14:textId="77777777" w:rsidR="00113E80" w:rsidRDefault="00113E80" w:rsidP="00113E80">
      <w:r>
        <w:t>&lt;ESMA_QUESTION_CSDC_28&gt;</w:t>
      </w:r>
    </w:p>
    <w:p w14:paraId="3A133BF7" w14:textId="77777777" w:rsidR="00113E80" w:rsidRDefault="00113E80" w:rsidP="00113E80"/>
    <w:p w14:paraId="0EF03F16" w14:textId="77777777" w:rsidR="00113E80" w:rsidRDefault="00113E80" w:rsidP="00113E80">
      <w:pPr>
        <w:pStyle w:val="Questionstyle"/>
        <w:numPr>
          <w:ilvl w:val="0"/>
          <w:numId w:val="14"/>
        </w:numPr>
        <w:tabs>
          <w:tab w:val="clear" w:pos="567"/>
        </w:tabs>
        <w:spacing w:after="240" w:line="256" w:lineRule="auto"/>
        <w:ind w:left="851" w:hanging="851"/>
      </w:pPr>
      <w:r>
        <w:t>Should top 10 failing participants be reported both in absolute terms (current approach) and in relative terms (according to the proposed amendments to Table 1 of Annex I of CDR 2018/1229)?</w:t>
      </w:r>
    </w:p>
    <w:p w14:paraId="31B0E5FE" w14:textId="77777777" w:rsidR="00113E80" w:rsidRDefault="00113E80" w:rsidP="00113E80">
      <w:r>
        <w:t>&lt;ESMA_QUESTION_CSDC_29&gt;</w:t>
      </w:r>
    </w:p>
    <w:p w14:paraId="6A74012F" w14:textId="77777777" w:rsidR="00113E80" w:rsidRDefault="00113E80" w:rsidP="00113E80">
      <w:permStart w:id="219745450" w:edGrp="everyone"/>
      <w:r>
        <w:t>TYPE YOUR TEXT HERE</w:t>
      </w:r>
    </w:p>
    <w:permEnd w:id="219745450"/>
    <w:p w14:paraId="7F5E65F3" w14:textId="77777777" w:rsidR="00113E80" w:rsidRDefault="00113E80" w:rsidP="00113E80">
      <w:r>
        <w:t>&lt;ESMA_QUESTION_CSDC_29&gt;</w:t>
      </w:r>
    </w:p>
    <w:p w14:paraId="637A2179" w14:textId="77777777" w:rsidR="00113E80" w:rsidRDefault="00113E80" w:rsidP="00113E80"/>
    <w:p w14:paraId="5F630515" w14:textId="77777777" w:rsidR="00113E80" w:rsidRDefault="00113E80" w:rsidP="00113E80">
      <w:pPr>
        <w:pStyle w:val="Questionstyle"/>
        <w:numPr>
          <w:ilvl w:val="0"/>
          <w:numId w:val="14"/>
        </w:numPr>
        <w:tabs>
          <w:tab w:val="clear" w:pos="567"/>
        </w:tabs>
        <w:spacing w:after="240" w:line="256" w:lineRule="auto"/>
        <w:ind w:left="851" w:hanging="851"/>
      </w:pPr>
      <w:r>
        <w:lastRenderedPageBreak/>
        <w:t>Do you have additional suggestions regarding the requirements for CSDs to report settlement fails data specified in Annex I and Annex II of CDR 2018/1229? If yes, please elaborate.</w:t>
      </w:r>
    </w:p>
    <w:p w14:paraId="74C6E692" w14:textId="77777777" w:rsidR="00113E80" w:rsidRDefault="00113E80" w:rsidP="00113E80">
      <w:r>
        <w:t>&lt;ESMA_QUESTION_CSDC_30&gt;</w:t>
      </w:r>
    </w:p>
    <w:p w14:paraId="0D88571E" w14:textId="77777777" w:rsidR="00113E80" w:rsidRDefault="00113E80" w:rsidP="00113E80">
      <w:permStart w:id="1283796359" w:edGrp="everyone"/>
      <w:r>
        <w:t>TYPE YOUR TEXT HERE</w:t>
      </w:r>
    </w:p>
    <w:permEnd w:id="1283796359"/>
    <w:p w14:paraId="4282D8EA" w14:textId="77777777" w:rsidR="00113E80" w:rsidRDefault="00113E80" w:rsidP="00113E80">
      <w:r>
        <w:t>&lt;ESMA_QUESTION_CSDC_30&gt;</w:t>
      </w:r>
    </w:p>
    <w:p w14:paraId="2520B536" w14:textId="77777777" w:rsidR="00FE2F18" w:rsidRPr="00FE2F18" w:rsidRDefault="00FE2F18" w:rsidP="00113E80">
      <w:pPr>
        <w:rPr>
          <w:b/>
          <w:bCs/>
        </w:rPr>
      </w:pPr>
    </w:p>
    <w:p w14:paraId="64702871" w14:textId="4757E5B4" w:rsidR="00FE2F18" w:rsidRPr="00FE2F18" w:rsidRDefault="00FE2F18" w:rsidP="00113E80">
      <w:pPr>
        <w:rPr>
          <w:b/>
          <w:bCs/>
        </w:rPr>
      </w:pPr>
      <w:r w:rsidRPr="00FE2F18">
        <w:rPr>
          <w:b/>
          <w:bCs/>
        </w:rPr>
        <w:t>3.1.10</w:t>
      </w:r>
      <w:r w:rsidRPr="00FE2F18">
        <w:rPr>
          <w:b/>
          <w:bCs/>
        </w:rPr>
        <w:tab/>
        <w:t>Reporting the reasons for settlement fails</w:t>
      </w:r>
    </w:p>
    <w:p w14:paraId="30C859A2" w14:textId="77777777" w:rsidR="00113E80" w:rsidRDefault="00113E80" w:rsidP="00113E80"/>
    <w:p w14:paraId="1123606A" w14:textId="77777777" w:rsidR="00113E80" w:rsidRDefault="00113E80" w:rsidP="00113E80">
      <w:pPr>
        <w:pStyle w:val="Questionstyle"/>
        <w:numPr>
          <w:ilvl w:val="0"/>
          <w:numId w:val="14"/>
        </w:numPr>
        <w:tabs>
          <w:tab w:val="clear" w:pos="567"/>
        </w:tabs>
        <w:spacing w:after="240" w:line="256" w:lineRule="auto"/>
        <w:ind w:left="851" w:hanging="851"/>
      </w:pPr>
      <w:r>
        <w:rPr>
          <w:bCs/>
        </w:rPr>
        <w:t>Do you agree with the proposed amendments to Article 13(1)(a) of CDR 2018/1229? Or can you suggest alternative options so that CSDs have visibility of the root causes of settlement fails at participants level?</w:t>
      </w:r>
    </w:p>
    <w:p w14:paraId="15367DB4" w14:textId="77777777" w:rsidR="00113E80" w:rsidRDefault="00113E80" w:rsidP="00113E80">
      <w:r>
        <w:t>&lt;ESMA_QUESTION_CSDC_31&gt;</w:t>
      </w:r>
    </w:p>
    <w:p w14:paraId="6BD50BEC" w14:textId="77777777" w:rsidR="00DD3189" w:rsidRPr="008C0D8E" w:rsidRDefault="00DD3189" w:rsidP="00DD3189">
      <w:pPr>
        <w:pStyle w:val="NoSpacing"/>
      </w:pPr>
      <w:permStart w:id="970873259" w:edGrp="everyone"/>
      <w:r>
        <w:t>ISLA</w:t>
      </w:r>
      <w:r w:rsidRPr="008C0D8E">
        <w:t xml:space="preserve"> do</w:t>
      </w:r>
      <w:r>
        <w:t>es</w:t>
      </w:r>
      <w:r w:rsidRPr="008C0D8E">
        <w:t xml:space="preserve"> not endorse the proposed changes that mandate CSD participants </w:t>
      </w:r>
      <w:r>
        <w:t xml:space="preserve">to </w:t>
      </w:r>
      <w:r w:rsidRPr="008C0D8E">
        <w:t xml:space="preserve">provide information on the root causes of settlement fails without adequate visibility from the CSD. </w:t>
      </w:r>
    </w:p>
    <w:p w14:paraId="6737434F" w14:textId="77777777" w:rsidR="00DD3189" w:rsidRPr="008C0D8E" w:rsidRDefault="00DD3189" w:rsidP="00DD3189">
      <w:pPr>
        <w:pStyle w:val="NoSpacing"/>
      </w:pPr>
      <w:r w:rsidRPr="008C0D8E">
        <w:t xml:space="preserve">We believe this requirement would impose an undue burden on CSD participants, who may not always have </w:t>
      </w:r>
      <w:r>
        <w:t xml:space="preserve">a </w:t>
      </w:r>
      <w:r w:rsidRPr="008C0D8E">
        <w:t>comprehensive insight into the reasons behind settlement fails.</w:t>
      </w:r>
    </w:p>
    <w:p w14:paraId="4E1E212A" w14:textId="77777777" w:rsidR="00DD3189" w:rsidRPr="008C0D8E" w:rsidRDefault="00DD3189" w:rsidP="00DD3189">
      <w:pPr>
        <w:pStyle w:val="NoSpacing"/>
      </w:pPr>
      <w:r w:rsidRPr="008C0D8E">
        <w:t xml:space="preserve">Examples related to securities lending include the dependency of collateral on the settlement of a transaction. </w:t>
      </w:r>
    </w:p>
    <w:permEnd w:id="970873259"/>
    <w:p w14:paraId="040AD67A" w14:textId="77777777" w:rsidR="00113E80" w:rsidRDefault="00113E80" w:rsidP="00113E80">
      <w:r>
        <w:t>&lt;ESMA_QUESTION_CSDC_31&gt;</w:t>
      </w:r>
    </w:p>
    <w:p w14:paraId="2ED2AE69" w14:textId="77777777" w:rsidR="00113E80" w:rsidRDefault="00113E80" w:rsidP="00113E80"/>
    <w:p w14:paraId="6379AC70" w14:textId="77777777" w:rsidR="00113E80" w:rsidRDefault="00113E80" w:rsidP="00113E80">
      <w:pPr>
        <w:pStyle w:val="Questionstyle"/>
        <w:numPr>
          <w:ilvl w:val="0"/>
          <w:numId w:val="14"/>
        </w:numPr>
        <w:tabs>
          <w:tab w:val="clear" w:pos="567"/>
        </w:tabs>
        <w:spacing w:after="240" w:line="256" w:lineRule="auto"/>
        <w:ind w:left="851" w:hanging="851"/>
      </w:pPr>
      <w:r>
        <w:t xml:space="preserve">Based on the experience since the implementation of the settlement discipline regime under CSDR, please describe the main root causes of settlement fails identified so far. Please specify the relevant categories in more granular terms, going beyond “lack of securities”, “lack of cash” and “instructions put on hold”. </w:t>
      </w:r>
    </w:p>
    <w:p w14:paraId="4DD92AAA" w14:textId="77777777" w:rsidR="00113E80" w:rsidRDefault="00113E80" w:rsidP="00113E80">
      <w:r>
        <w:t>&lt;ESMA_QUESTION_CSDC_32&gt;</w:t>
      </w:r>
    </w:p>
    <w:p w14:paraId="399A1B64" w14:textId="77777777" w:rsidR="005C33E0" w:rsidRPr="00011AB3" w:rsidRDefault="005C33E0" w:rsidP="005C33E0">
      <w:pPr>
        <w:pStyle w:val="NoSpacing"/>
      </w:pPr>
      <w:permStart w:id="228340192" w:edGrp="everyone"/>
      <w:r w:rsidRPr="008C0D8E">
        <w:t xml:space="preserve">Since in the inception of </w:t>
      </w:r>
      <w:r>
        <w:t xml:space="preserve">the </w:t>
      </w:r>
      <w:r w:rsidRPr="008C0D8E">
        <w:t xml:space="preserve">CSDR </w:t>
      </w:r>
      <w:r w:rsidRPr="00011AB3">
        <w:t xml:space="preserve">settlement discipline regime we have observed a gradual and sustained improvement in securities lending settlement rates from ~92% success to ~97%. </w:t>
      </w:r>
    </w:p>
    <w:p w14:paraId="68199D73" w14:textId="77777777" w:rsidR="005C33E0" w:rsidRPr="00011AB3" w:rsidRDefault="005C33E0" w:rsidP="005C33E0">
      <w:pPr>
        <w:pStyle w:val="NoSpacing"/>
      </w:pPr>
      <w:r w:rsidRPr="008C0D8E">
        <w:t xml:space="preserve">In our </w:t>
      </w:r>
      <w:r w:rsidRPr="00011AB3">
        <w:t>2019 white paper on the cause of settlement failure in securities lending, the main cause of settlement failure was the complexity of Standard Settlement Instruction (SSI).</w:t>
      </w:r>
    </w:p>
    <w:p w14:paraId="39BA219D" w14:textId="77777777" w:rsidR="005C33E0" w:rsidRPr="00011AB3" w:rsidRDefault="005C33E0" w:rsidP="005C33E0">
      <w:pPr>
        <w:pStyle w:val="NoSpacing"/>
      </w:pPr>
      <w:r>
        <w:t>Great</w:t>
      </w:r>
      <w:r w:rsidRPr="008C0D8E">
        <w:t xml:space="preserve"> progress has been made on this </w:t>
      </w:r>
      <w:r>
        <w:t xml:space="preserve">to date </w:t>
      </w:r>
      <w:r w:rsidRPr="008C0D8E">
        <w:t>and, whilst still a</w:t>
      </w:r>
      <w:r>
        <w:t xml:space="preserve"> driver </w:t>
      </w:r>
      <w:r w:rsidRPr="008C0D8E">
        <w:t xml:space="preserve">of </w:t>
      </w:r>
      <w:r>
        <w:t xml:space="preserve">some </w:t>
      </w:r>
      <w:r w:rsidRPr="008C0D8E">
        <w:t xml:space="preserve">settlement </w:t>
      </w:r>
      <w:r>
        <w:t>failures</w:t>
      </w:r>
      <w:r w:rsidRPr="008C0D8E">
        <w:t xml:space="preserve">, many firms report that fail chains are </w:t>
      </w:r>
      <w:r>
        <w:t xml:space="preserve">the main </w:t>
      </w:r>
      <w:r w:rsidRPr="008C0D8E">
        <w:t xml:space="preserve">challenge. This aligns </w:t>
      </w:r>
      <w:r>
        <w:t xml:space="preserve">with a </w:t>
      </w:r>
      <w:r w:rsidRPr="008C0D8E">
        <w:t xml:space="preserve">wider view that the </w:t>
      </w:r>
      <w:r w:rsidRPr="008C0D8E">
        <w:lastRenderedPageBreak/>
        <w:t>interdependence and complexity of financial markets will</w:t>
      </w:r>
      <w:r>
        <w:t>,</w:t>
      </w:r>
      <w:r w:rsidRPr="008C0D8E">
        <w:t xml:space="preserve"> </w:t>
      </w:r>
      <w:r>
        <w:t xml:space="preserve">by its nature, create </w:t>
      </w:r>
      <w:r w:rsidRPr="008C0D8E">
        <w:t xml:space="preserve">chains of </w:t>
      </w:r>
      <w:r>
        <w:t xml:space="preserve">failing </w:t>
      </w:r>
      <w:r w:rsidRPr="008C0D8E">
        <w:t xml:space="preserve">instructions </w:t>
      </w:r>
      <w:r>
        <w:t xml:space="preserve">that </w:t>
      </w:r>
      <w:r w:rsidRPr="008C0D8E">
        <w:t>impact</w:t>
      </w:r>
      <w:r>
        <w:t xml:space="preserve"> </w:t>
      </w:r>
      <w:r w:rsidRPr="00011AB3">
        <w:t xml:space="preserve">downstream trades. </w:t>
      </w:r>
    </w:p>
    <w:p w14:paraId="34A85FE6" w14:textId="77777777" w:rsidR="005C33E0" w:rsidRPr="00011AB3" w:rsidRDefault="005C33E0" w:rsidP="005C33E0">
      <w:pPr>
        <w:pStyle w:val="NoSpacing"/>
      </w:pPr>
      <w:r w:rsidRPr="008C0D8E">
        <w:t xml:space="preserve">As this question relates to </w:t>
      </w:r>
      <w:r w:rsidRPr="00011AB3">
        <w:t>Q28, we believe that improved analysis of the impact of a settlement fail will be useful in identifying dependant root causes.</w:t>
      </w:r>
    </w:p>
    <w:permEnd w:id="228340192"/>
    <w:p w14:paraId="731F3228" w14:textId="77777777" w:rsidR="00113E80" w:rsidRDefault="00113E80" w:rsidP="00113E80">
      <w:r>
        <w:t>&lt;ESMA_QUESTION_CSDC_32&gt;</w:t>
      </w:r>
    </w:p>
    <w:p w14:paraId="0ED40D17" w14:textId="77777777" w:rsidR="00113E80" w:rsidRDefault="00113E80" w:rsidP="00113E80"/>
    <w:p w14:paraId="7806D5D6" w14:textId="77777777" w:rsidR="00113E80" w:rsidRDefault="00113E80" w:rsidP="00113E80">
      <w:pPr>
        <w:pStyle w:val="Questionstyle"/>
        <w:numPr>
          <w:ilvl w:val="0"/>
          <w:numId w:val="14"/>
        </w:numPr>
        <w:tabs>
          <w:tab w:val="clear" w:pos="567"/>
        </w:tabs>
        <w:spacing w:after="240" w:line="256" w:lineRule="auto"/>
        <w:ind w:left="851" w:hanging="851"/>
      </w:pPr>
      <w:r>
        <w:t>According to Article 13(2) of the CDR, CSDs shall establish working arrangements with their top failing participants to analyse the main reasons for settlement fails. Do you believe that this provision has proven useful in analysing the root causes of fails and in preventing them? Do you have suggestions on other actions which CSDs could take with respect to top failing participants?</w:t>
      </w:r>
    </w:p>
    <w:p w14:paraId="39467292" w14:textId="77777777" w:rsidR="00113E80" w:rsidRDefault="00113E80" w:rsidP="00113E80">
      <w:r>
        <w:t>&lt;ESMA_QUESTION_CSDC_33&gt;</w:t>
      </w:r>
    </w:p>
    <w:p w14:paraId="5EA62061" w14:textId="77777777" w:rsidR="00113E80" w:rsidRDefault="00113E80" w:rsidP="00113E80">
      <w:permStart w:id="1495876337" w:edGrp="everyone"/>
      <w:r>
        <w:t>TYPE YOUR TEXT HERE</w:t>
      </w:r>
    </w:p>
    <w:permEnd w:id="1495876337"/>
    <w:p w14:paraId="2635252C" w14:textId="77777777" w:rsidR="00113E80" w:rsidRDefault="00113E80" w:rsidP="00113E80">
      <w:r>
        <w:t>&lt;ESMA_QUESTION_CSDC_33&gt;</w:t>
      </w:r>
    </w:p>
    <w:p w14:paraId="5FDFCD18" w14:textId="77777777" w:rsidR="00113E80" w:rsidRDefault="00113E80" w:rsidP="00113E80"/>
    <w:p w14:paraId="034E5DAE" w14:textId="7AEDA29A" w:rsidR="005E6387" w:rsidRDefault="005E6387" w:rsidP="00113E80">
      <w:pPr>
        <w:rPr>
          <w:b/>
          <w:bCs/>
        </w:rPr>
      </w:pPr>
      <w:r w:rsidRPr="005E6387">
        <w:rPr>
          <w:b/>
          <w:bCs/>
        </w:rPr>
        <w:t xml:space="preserve">3.1.11 </w:t>
      </w:r>
      <w:r w:rsidRPr="005E6387">
        <w:rPr>
          <w:b/>
          <w:bCs/>
        </w:rPr>
        <w:tab/>
        <w:t>CSDs’ public disclosure on settlement fails</w:t>
      </w:r>
    </w:p>
    <w:p w14:paraId="231DB31B" w14:textId="77777777" w:rsidR="005E6387" w:rsidRPr="005E6387" w:rsidRDefault="005E6387" w:rsidP="00113E80">
      <w:pPr>
        <w:rPr>
          <w:b/>
          <w:bCs/>
        </w:rPr>
      </w:pPr>
    </w:p>
    <w:p w14:paraId="27CBEFD5" w14:textId="77777777" w:rsidR="00113E80" w:rsidRDefault="00113E80" w:rsidP="00113E80">
      <w:pPr>
        <w:pStyle w:val="Questionstyle"/>
        <w:numPr>
          <w:ilvl w:val="0"/>
          <w:numId w:val="14"/>
        </w:numPr>
        <w:tabs>
          <w:tab w:val="clear" w:pos="567"/>
        </w:tabs>
        <w:spacing w:after="240" w:line="256" w:lineRule="auto"/>
        <w:ind w:left="851" w:hanging="851"/>
      </w:pPr>
      <w:r>
        <w:t>Do you agree with the proposed amendments to Table 1 of Annex III of CDR 2018/1229 to include information on the breakdown of the settlement fails per asset class? If not, please elaborate.</w:t>
      </w:r>
    </w:p>
    <w:p w14:paraId="55BC7740" w14:textId="77777777" w:rsidR="00113E80" w:rsidRDefault="00113E80" w:rsidP="00113E80">
      <w:r>
        <w:t>&lt;ESMA_QUESTION_CSDC_34&gt;</w:t>
      </w:r>
    </w:p>
    <w:p w14:paraId="3A37A6EB" w14:textId="77777777" w:rsidR="00113E80" w:rsidRDefault="00113E80" w:rsidP="00113E80">
      <w:permStart w:id="641089610" w:edGrp="everyone"/>
      <w:r>
        <w:t>TYPE YOUR TEXT HERE</w:t>
      </w:r>
    </w:p>
    <w:permEnd w:id="641089610"/>
    <w:p w14:paraId="040B68F4" w14:textId="77777777" w:rsidR="00113E80" w:rsidRDefault="00113E80" w:rsidP="00113E80">
      <w:r>
        <w:t>&lt;ESMA_QUESTION_CSDC_34&gt;</w:t>
      </w:r>
    </w:p>
    <w:p w14:paraId="44C61B7A" w14:textId="77777777" w:rsidR="00113E80" w:rsidRDefault="00113E80" w:rsidP="00113E80"/>
    <w:p w14:paraId="7F18F20E" w14:textId="77777777" w:rsidR="00113E80" w:rsidRDefault="00113E80" w:rsidP="00113E80">
      <w:pPr>
        <w:pStyle w:val="Questionstyle"/>
        <w:numPr>
          <w:ilvl w:val="0"/>
          <w:numId w:val="14"/>
        </w:numPr>
        <w:tabs>
          <w:tab w:val="clear" w:pos="567"/>
        </w:tabs>
        <w:spacing w:after="240" w:line="256" w:lineRule="auto"/>
        <w:ind w:left="851" w:hanging="851"/>
      </w:pPr>
      <w:r>
        <w:t>Do you think that CSDs should publish additional information on settlement fails? If yes, please specify.</w:t>
      </w:r>
    </w:p>
    <w:p w14:paraId="7B0B0203" w14:textId="77777777" w:rsidR="00113E80" w:rsidRDefault="00113E80" w:rsidP="00113E80">
      <w:r>
        <w:t>&lt;ESMA_QUESTION_CSDC_35&gt;</w:t>
      </w:r>
    </w:p>
    <w:p w14:paraId="705921E7" w14:textId="77777777" w:rsidR="00113E80" w:rsidRDefault="00113E80" w:rsidP="00113E80">
      <w:permStart w:id="497168460" w:edGrp="everyone"/>
      <w:r>
        <w:t>TYPE YOUR TEXT HERE</w:t>
      </w:r>
    </w:p>
    <w:permEnd w:id="497168460"/>
    <w:p w14:paraId="26767BA7" w14:textId="77777777" w:rsidR="00113E80" w:rsidRDefault="00113E80" w:rsidP="00113E80">
      <w:r>
        <w:lastRenderedPageBreak/>
        <w:t>&lt;ESMA_QUESTION_CSDC_35&gt;</w:t>
      </w:r>
    </w:p>
    <w:p w14:paraId="2A727C54" w14:textId="77777777" w:rsidR="00113E80" w:rsidRDefault="00113E80" w:rsidP="00113E80"/>
    <w:p w14:paraId="05186102" w14:textId="77777777" w:rsidR="00113E80" w:rsidRDefault="00113E80" w:rsidP="00113E80">
      <w:pPr>
        <w:pStyle w:val="Questionstyle"/>
        <w:numPr>
          <w:ilvl w:val="0"/>
          <w:numId w:val="14"/>
        </w:numPr>
        <w:tabs>
          <w:tab w:val="clear" w:pos="567"/>
        </w:tabs>
        <w:spacing w:after="240" w:line="256" w:lineRule="auto"/>
        <w:ind w:left="851" w:hanging="851"/>
      </w:pPr>
      <w:r>
        <w:t>Should the frequency of publication of settlement fails data by CSDs increase? Which should be the right frequency?</w:t>
      </w:r>
    </w:p>
    <w:p w14:paraId="134E4FF0" w14:textId="77777777" w:rsidR="00113E80" w:rsidRDefault="00113E80" w:rsidP="00113E80">
      <w:r>
        <w:t>&lt;ESMA_QUESTION_CSDC_36&gt;</w:t>
      </w:r>
    </w:p>
    <w:p w14:paraId="3E5D653B" w14:textId="77777777" w:rsidR="00113E80" w:rsidRDefault="00113E80" w:rsidP="00113E80">
      <w:permStart w:id="114362908" w:edGrp="everyone"/>
      <w:r>
        <w:t>TYPE YOUR TEXT HERE</w:t>
      </w:r>
    </w:p>
    <w:permEnd w:id="114362908"/>
    <w:p w14:paraId="70E7604E" w14:textId="5F32BB1F" w:rsidR="00113E80" w:rsidRDefault="00113E80" w:rsidP="00113E80">
      <w:r>
        <w:t>&lt;ESMA_QUESTION_CSDC_36&gt;</w:t>
      </w:r>
    </w:p>
    <w:p w14:paraId="41F00432" w14:textId="77777777" w:rsidR="005E6387" w:rsidRDefault="005E6387" w:rsidP="00113E80"/>
    <w:p w14:paraId="7BF3AE2D" w14:textId="372D4812" w:rsidR="005E6387" w:rsidRPr="005E6387" w:rsidRDefault="005E6387" w:rsidP="00113E80">
      <w:pPr>
        <w:rPr>
          <w:b/>
          <w:bCs/>
        </w:rPr>
      </w:pPr>
      <w:r w:rsidRPr="005E6387">
        <w:rPr>
          <w:b/>
          <w:bCs/>
        </w:rPr>
        <w:t>3.2.1</w:t>
      </w:r>
      <w:r w:rsidRPr="005E6387">
        <w:rPr>
          <w:b/>
          <w:bCs/>
        </w:rPr>
        <w:tab/>
        <w:t>Unique transaction identifier (UTI)</w:t>
      </w:r>
    </w:p>
    <w:p w14:paraId="68785019" w14:textId="77777777" w:rsidR="005E6387" w:rsidRDefault="005E6387" w:rsidP="00113E80"/>
    <w:p w14:paraId="77668466" w14:textId="77777777" w:rsidR="00113E80" w:rsidRDefault="00113E80" w:rsidP="00113E80">
      <w:pPr>
        <w:pStyle w:val="Questionstyle"/>
        <w:numPr>
          <w:ilvl w:val="0"/>
          <w:numId w:val="14"/>
        </w:numPr>
        <w:tabs>
          <w:tab w:val="clear" w:pos="567"/>
        </w:tabs>
        <w:spacing w:after="240" w:line="256" w:lineRule="auto"/>
        <w:ind w:left="851" w:hanging="851"/>
      </w:pPr>
      <w:r>
        <w:rPr>
          <w:bCs/>
        </w:rPr>
        <w:t>Do you agree that the use of UTI should not be made mandatory through a regulatory change?</w:t>
      </w:r>
    </w:p>
    <w:p w14:paraId="32F224D5" w14:textId="77777777" w:rsidR="00113E80" w:rsidRDefault="00113E80" w:rsidP="00113E80">
      <w:r>
        <w:t>&lt;ESMA_QUESTION_CSDC_37&gt;</w:t>
      </w:r>
    </w:p>
    <w:p w14:paraId="7C1BD121" w14:textId="77777777" w:rsidR="00D06C70" w:rsidRPr="003E7BCA" w:rsidRDefault="00D06C70" w:rsidP="00D06C70">
      <w:pPr>
        <w:pStyle w:val="NoSpacing"/>
      </w:pPr>
      <w:permStart w:id="1185494481" w:edGrp="everyone"/>
      <w:r>
        <w:t>ISLA</w:t>
      </w:r>
      <w:r w:rsidRPr="003E7BCA">
        <w:t xml:space="preserve"> support</w:t>
      </w:r>
      <w:r>
        <w:t>s</w:t>
      </w:r>
      <w:r w:rsidRPr="003E7BCA">
        <w:t xml:space="preserve"> the use of </w:t>
      </w:r>
      <w:r>
        <w:t>U</w:t>
      </w:r>
      <w:r w:rsidRPr="003E7BCA">
        <w:t xml:space="preserve">nique </w:t>
      </w:r>
      <w:r>
        <w:t>T</w:t>
      </w:r>
      <w:r w:rsidRPr="003E7BCA">
        <w:t xml:space="preserve">rade </w:t>
      </w:r>
      <w:r>
        <w:t>T</w:t>
      </w:r>
      <w:r w:rsidRPr="003E7BCA">
        <w:t xml:space="preserve">ransaction </w:t>
      </w:r>
      <w:r>
        <w:t>I</w:t>
      </w:r>
      <w:r w:rsidRPr="003E7BCA">
        <w:t>dentifiers (UTIs) in regulatory reporting, as it provides valuable transparency and traceability. However, we do not believe UTIs should be mandated for use at the CSD level at this time. There are significant challenges in ensuring consistency across the trading and settlement chain, as all actors—including CCPs and CSDs</w:t>
      </w:r>
      <w:r>
        <w:t xml:space="preserve"> </w:t>
      </w:r>
      <w:r w:rsidRPr="003E7BCA">
        <w:t>would need to support and pass on the UTI. ​</w:t>
      </w:r>
    </w:p>
    <w:p w14:paraId="5232CF74" w14:textId="77777777" w:rsidR="00D06C70" w:rsidRPr="003E7BCA" w:rsidRDefault="00D06C70" w:rsidP="00D06C70">
      <w:pPr>
        <w:pStyle w:val="NoSpacing"/>
      </w:pPr>
      <w:r w:rsidRPr="008C0D8E">
        <w:t xml:space="preserve">In the securities lending market, UTIs are typically applied at the allocation </w:t>
      </w:r>
      <w:r w:rsidRPr="003E7BCA">
        <w:t xml:space="preserve">(child) level rather than the settlement level (parent), which makes their use in settlement instructions particularly complex. ​ </w:t>
      </w:r>
    </w:p>
    <w:p w14:paraId="024D87B6" w14:textId="77777777" w:rsidR="00D06C70" w:rsidRPr="003E7BCA" w:rsidRDefault="00D06C70" w:rsidP="00D06C70">
      <w:pPr>
        <w:pStyle w:val="NoSpacing"/>
      </w:pPr>
      <w:r w:rsidRPr="008C0D8E">
        <w:t>While we recogni</w:t>
      </w:r>
      <w:r>
        <w:t>s</w:t>
      </w:r>
      <w:r w:rsidRPr="008C0D8E">
        <w:t>e the potential benefits of UTIs in the future, we recommend that ESMA conduct workshops and technical assessments to explore their broader application. ​ For now, UTIs should remain limited to regulatory reporting with further industry engagement to determine their feasibility for settlement processes.</w:t>
      </w:r>
    </w:p>
    <w:permEnd w:id="1185494481"/>
    <w:p w14:paraId="3DD66736" w14:textId="77777777" w:rsidR="00113E80" w:rsidRDefault="00113E80" w:rsidP="00113E80">
      <w:r>
        <w:t>&lt;ESMA_QUESTION_CSDC_37&gt;</w:t>
      </w:r>
    </w:p>
    <w:p w14:paraId="654245AD" w14:textId="77777777" w:rsidR="00113E80" w:rsidRDefault="00113E80" w:rsidP="00113E80"/>
    <w:p w14:paraId="3A77ED7E" w14:textId="77777777" w:rsidR="00113E80" w:rsidRDefault="00113E80" w:rsidP="00113E80">
      <w:pPr>
        <w:pStyle w:val="Questionstyle"/>
        <w:numPr>
          <w:ilvl w:val="0"/>
          <w:numId w:val="14"/>
        </w:numPr>
        <w:tabs>
          <w:tab w:val="clear" w:pos="567"/>
        </w:tabs>
        <w:spacing w:after="240" w:line="256" w:lineRule="auto"/>
        <w:ind w:left="851" w:hanging="851"/>
      </w:pPr>
      <w:r>
        <w:t>What are your views on the use of UTI in general and in the case of netted transactions specifically?</w:t>
      </w:r>
    </w:p>
    <w:p w14:paraId="25DEC6FA" w14:textId="77777777" w:rsidR="00113E80" w:rsidRDefault="00113E80" w:rsidP="00113E80">
      <w:r>
        <w:t>&lt;ESMA_QUESTION_CSDC_38&gt;</w:t>
      </w:r>
    </w:p>
    <w:p w14:paraId="6BB5C38F" w14:textId="77777777" w:rsidR="00153259" w:rsidRPr="005119F7" w:rsidRDefault="00153259" w:rsidP="00153259">
      <w:pPr>
        <w:pStyle w:val="NoSpacing"/>
      </w:pPr>
      <w:permStart w:id="409142589" w:edGrp="everyone"/>
      <w:r>
        <w:t>ISLA</w:t>
      </w:r>
      <w:r w:rsidRPr="008C0D8E">
        <w:t xml:space="preserve"> believe</w:t>
      </w:r>
      <w:r>
        <w:t>s</w:t>
      </w:r>
      <w:r w:rsidRPr="008C0D8E">
        <w:t xml:space="preserve"> that </w:t>
      </w:r>
      <w:r>
        <w:t>U</w:t>
      </w:r>
      <w:r w:rsidRPr="008C0D8E">
        <w:t xml:space="preserve">nique </w:t>
      </w:r>
      <w:r>
        <w:t>T</w:t>
      </w:r>
      <w:r w:rsidRPr="008C0D8E">
        <w:t xml:space="preserve">rade </w:t>
      </w:r>
      <w:r>
        <w:t>T</w:t>
      </w:r>
      <w:r w:rsidRPr="008C0D8E">
        <w:t xml:space="preserve">ransaction </w:t>
      </w:r>
      <w:r>
        <w:t>I</w:t>
      </w:r>
      <w:r w:rsidRPr="008C0D8E">
        <w:t xml:space="preserve">dentifiers (UTIs) have significant potential to enhance transparency and efficiency in the settlement process, but their broader application requires careful </w:t>
      </w:r>
      <w:r w:rsidRPr="008C0D8E">
        <w:lastRenderedPageBreak/>
        <w:t>consideration. At this stage, we do not support mandating UTIs for</w:t>
      </w:r>
      <w:r w:rsidRPr="005119F7">
        <w:t xml:space="preserve"> settlement instructions, as the industry is not yet prepared for such a change.</w:t>
      </w:r>
    </w:p>
    <w:p w14:paraId="371C35F1" w14:textId="77777777" w:rsidR="00153259" w:rsidRPr="005119F7" w:rsidRDefault="00153259" w:rsidP="00153259">
      <w:pPr>
        <w:pStyle w:val="NoSpacing"/>
      </w:pPr>
      <w:r w:rsidRPr="008C0D8E">
        <w:t>The securities lending market in particular, faces challenges with UTIs due to their application at the allocation level rather than the settlement level, which complicates their use in settlement workflows. ​ To address these challenges, we recommend that ESMA lead industry workshops and technical assessments to explore the feasibility of extending UTIs beyond regulatory reporting. ​</w:t>
      </w:r>
    </w:p>
    <w:p w14:paraId="504E3518" w14:textId="77777777" w:rsidR="00153259" w:rsidRPr="005119F7" w:rsidRDefault="00153259" w:rsidP="00153259">
      <w:pPr>
        <w:pStyle w:val="NoSpacing"/>
      </w:pPr>
      <w:r w:rsidRPr="008C0D8E">
        <w:t>While UTIs should not be mandated for sett</w:t>
      </w:r>
      <w:r w:rsidRPr="005119F7">
        <w:t>lement at this time, we encourage further collaboration across the industry to align practices and assess the potential benefits of UTIs in the future.</w:t>
      </w:r>
    </w:p>
    <w:permEnd w:id="409142589"/>
    <w:p w14:paraId="60D51D0A" w14:textId="77777777" w:rsidR="00113E80" w:rsidRDefault="00113E80" w:rsidP="00113E80">
      <w:r>
        <w:t>&lt;ESMA_QUESTION_CSDC_38&gt;</w:t>
      </w:r>
    </w:p>
    <w:p w14:paraId="7206039E" w14:textId="77777777" w:rsidR="005E6387" w:rsidRDefault="005E6387" w:rsidP="00113E80"/>
    <w:p w14:paraId="1A81D763" w14:textId="0799F7D1" w:rsidR="005E6387" w:rsidRPr="005E6387" w:rsidRDefault="005E6387" w:rsidP="00113E80">
      <w:pPr>
        <w:rPr>
          <w:b/>
          <w:bCs/>
        </w:rPr>
      </w:pPr>
      <w:r w:rsidRPr="005E6387">
        <w:rPr>
          <w:b/>
          <w:bCs/>
        </w:rPr>
        <w:t>3.2.2</w:t>
      </w:r>
      <w:r w:rsidRPr="005E6387">
        <w:rPr>
          <w:b/>
          <w:bCs/>
        </w:rPr>
        <w:tab/>
        <w:t>SSIs format</w:t>
      </w:r>
    </w:p>
    <w:p w14:paraId="6AC805D6" w14:textId="77777777" w:rsidR="00113E80" w:rsidRDefault="00113E80" w:rsidP="00113E80"/>
    <w:p w14:paraId="1694D097" w14:textId="77777777" w:rsidR="00113E80" w:rsidRDefault="00113E80" w:rsidP="00113E80">
      <w:pPr>
        <w:pStyle w:val="Questionstyle"/>
        <w:numPr>
          <w:ilvl w:val="0"/>
          <w:numId w:val="14"/>
        </w:numPr>
        <w:tabs>
          <w:tab w:val="clear" w:pos="567"/>
        </w:tabs>
        <w:spacing w:after="240" w:line="256" w:lineRule="auto"/>
        <w:ind w:left="851" w:hanging="851"/>
      </w:pPr>
      <w:r>
        <w:t xml:space="preserve">Should the market standards for the storage and exchange of SSIs be left to the industry or is regulatory action at EU level necessary? </w:t>
      </w:r>
    </w:p>
    <w:p w14:paraId="6612EF6B" w14:textId="77777777" w:rsidR="00113E80" w:rsidRDefault="00113E80" w:rsidP="00113E80">
      <w:r>
        <w:t>&lt;ESMA_QUESTION_CSDC_39&gt;</w:t>
      </w:r>
    </w:p>
    <w:p w14:paraId="2AAC0AB8" w14:textId="77777777" w:rsidR="001A0533" w:rsidRPr="0031341F" w:rsidRDefault="001A0533" w:rsidP="001A0533">
      <w:pPr>
        <w:pStyle w:val="NoSpacing"/>
      </w:pPr>
      <w:permStart w:id="2044474510" w:edGrp="everyone"/>
      <w:r>
        <w:t>ISLA</w:t>
      </w:r>
      <w:r w:rsidRPr="008C0D8E">
        <w:t xml:space="preserve"> do</w:t>
      </w:r>
      <w:r>
        <w:t>es</w:t>
      </w:r>
      <w:r w:rsidRPr="008C0D8E">
        <w:t xml:space="preserve"> </w:t>
      </w:r>
      <w:r w:rsidRPr="0031341F">
        <w:t>not believe that regulatory changes are required at this time to mandate the use of standard settlement instructions (SSIs). While SSIs are a critical component of efficient settlement processes, the industry is already incentivised to improve their accuracy and usage to reduce settlement fails.</w:t>
      </w:r>
    </w:p>
    <w:p w14:paraId="2523F955" w14:textId="77777777" w:rsidR="001A0533" w:rsidRPr="0031341F" w:rsidRDefault="001A0533" w:rsidP="001A0533">
      <w:pPr>
        <w:pStyle w:val="NoSpacing"/>
      </w:pPr>
      <w:r w:rsidRPr="008C0D8E">
        <w:t>We support ongoing industry efforts to enhance the exchange and validation of SSIs, including through pre-matching processes and best practices. For example, initiatives such as those led by FMSB, and other industry bodies are already working to address challenges related to S</w:t>
      </w:r>
      <w:r w:rsidRPr="0031341F">
        <w:t>SIs.</w:t>
      </w:r>
    </w:p>
    <w:p w14:paraId="7020E61A" w14:textId="77777777" w:rsidR="001A0533" w:rsidRPr="0031341F" w:rsidRDefault="001A0533" w:rsidP="001A0533">
      <w:pPr>
        <w:pStyle w:val="NoSpacing"/>
      </w:pPr>
      <w:r w:rsidRPr="008C0D8E">
        <w:t>Additionally, the T+1 task force should be encouraged to provide recommendations on the use of SSIs as part of its broader settlement efficiency initiatives.</w:t>
      </w:r>
    </w:p>
    <w:permEnd w:id="2044474510"/>
    <w:p w14:paraId="325CCC6E" w14:textId="77777777" w:rsidR="00113E80" w:rsidRDefault="00113E80" w:rsidP="00113E80">
      <w:r>
        <w:t>&lt;ESMA_QUESTION_CSDC_39&gt;</w:t>
      </w:r>
    </w:p>
    <w:p w14:paraId="4FB7AEFD" w14:textId="77777777" w:rsidR="005E6387" w:rsidRDefault="005E6387" w:rsidP="00113E80">
      <w:pPr>
        <w:rPr>
          <w:b/>
          <w:bCs/>
        </w:rPr>
      </w:pPr>
    </w:p>
    <w:p w14:paraId="2D1B7759" w14:textId="28D00760" w:rsidR="00113E80" w:rsidRPr="005E6387" w:rsidRDefault="005E6387" w:rsidP="00113E80">
      <w:pPr>
        <w:rPr>
          <w:b/>
          <w:bCs/>
        </w:rPr>
      </w:pPr>
      <w:r w:rsidRPr="005E6387">
        <w:rPr>
          <w:b/>
          <w:bCs/>
        </w:rPr>
        <w:t>3.2.3</w:t>
      </w:r>
      <w:r w:rsidRPr="005E6387">
        <w:rPr>
          <w:b/>
          <w:bCs/>
        </w:rPr>
        <w:tab/>
        <w:t>Place of settlement (PSET) as mandatory field of written allocations</w:t>
      </w:r>
    </w:p>
    <w:p w14:paraId="2E10A1B9" w14:textId="77777777" w:rsidR="005E6387" w:rsidRDefault="005E6387" w:rsidP="00113E80"/>
    <w:p w14:paraId="11BE4D94" w14:textId="77777777" w:rsidR="00113E80" w:rsidRDefault="00113E80" w:rsidP="00113E80">
      <w:pPr>
        <w:pStyle w:val="Questionstyle"/>
        <w:numPr>
          <w:ilvl w:val="0"/>
          <w:numId w:val="14"/>
        </w:numPr>
        <w:tabs>
          <w:tab w:val="clear" w:pos="567"/>
        </w:tabs>
        <w:spacing w:after="240" w:line="256" w:lineRule="auto"/>
        <w:ind w:left="851" w:hanging="851"/>
      </w:pPr>
      <w:r>
        <w:t xml:space="preserve">How can the PSET contribute to improve settlement efficiency and reduce settlement fails? Do you have suggestions on how to make the use of PSET more consistent across the market? If yes, please elaborate. </w:t>
      </w:r>
    </w:p>
    <w:p w14:paraId="4CB2DBBD" w14:textId="77777777" w:rsidR="00113E80" w:rsidRDefault="00113E80" w:rsidP="00113E80">
      <w:r>
        <w:t>&lt;ESMA_QUESTION_CSDC_40&gt;</w:t>
      </w:r>
    </w:p>
    <w:p w14:paraId="0CECA678" w14:textId="77777777" w:rsidR="00067779" w:rsidRPr="008C0D8E" w:rsidRDefault="00067779" w:rsidP="00067779">
      <w:pPr>
        <w:pStyle w:val="NoSpacing"/>
        <w:rPr>
          <w:color w:val="0070C0"/>
          <w:sz w:val="27"/>
          <w:szCs w:val="27"/>
        </w:rPr>
      </w:pPr>
      <w:permStart w:id="260911590" w:edGrp="everyone"/>
      <w:r w:rsidRPr="008C0D8E">
        <w:t xml:space="preserve">We believe that the Place of Settlement (PSET) field plays an important role in improving settlement efficiency and reducing settlement fails. Encouraging its consistent use across the market is a </w:t>
      </w:r>
      <w:r w:rsidRPr="00625319">
        <w:t>positive step</w:t>
      </w:r>
      <w:r>
        <w:t xml:space="preserve"> h</w:t>
      </w:r>
      <w:r w:rsidRPr="00625319">
        <w:t xml:space="preserve">owever, we do not believe that regulatory mandates are necessary at this stage. ​ </w:t>
      </w:r>
      <w:r w:rsidRPr="007833EA">
        <w:t xml:space="preserve">Instead, we </w:t>
      </w:r>
      <w:r w:rsidRPr="007833EA">
        <w:lastRenderedPageBreak/>
        <w:t>recommend that the industry focus on developing and adopting best practices to ensure the effective use of PSET.</w:t>
      </w:r>
    </w:p>
    <w:permEnd w:id="260911590"/>
    <w:p w14:paraId="4123F35E" w14:textId="77777777" w:rsidR="00113E80" w:rsidRDefault="00113E80" w:rsidP="00113E80">
      <w:r>
        <w:t>&lt;ESMA_QUESTION_CSDC_40&gt;</w:t>
      </w:r>
    </w:p>
    <w:p w14:paraId="1B3C32DE" w14:textId="77777777" w:rsidR="00113E80" w:rsidRDefault="00113E80" w:rsidP="00113E80"/>
    <w:p w14:paraId="6F7840B1" w14:textId="77777777" w:rsidR="00113E80" w:rsidRDefault="00113E80" w:rsidP="00113E80">
      <w:pPr>
        <w:pStyle w:val="Questionstyle"/>
        <w:numPr>
          <w:ilvl w:val="0"/>
          <w:numId w:val="14"/>
        </w:numPr>
        <w:tabs>
          <w:tab w:val="clear" w:pos="567"/>
        </w:tabs>
        <w:spacing w:after="240" w:line="256" w:lineRule="auto"/>
        <w:ind w:left="851" w:hanging="851"/>
      </w:pPr>
      <w:r>
        <w:rPr>
          <w:bCs/>
        </w:rPr>
        <w:t>Do you agree that the PSET should not be made a mandatory field of written allocations under Article 2(1) of CDR 2018/1229? If you have a different view, please elaborate.</w:t>
      </w:r>
    </w:p>
    <w:p w14:paraId="7356C287" w14:textId="77777777" w:rsidR="00113E80" w:rsidRDefault="00113E80" w:rsidP="00113E80">
      <w:r>
        <w:t>&lt;ESMA_QUESTION_CSDC_41&gt;</w:t>
      </w:r>
    </w:p>
    <w:p w14:paraId="67A2AACE" w14:textId="77777777" w:rsidR="005D1BB5" w:rsidRPr="005C17DA" w:rsidRDefault="005D1BB5" w:rsidP="005D1BB5">
      <w:pPr>
        <w:pStyle w:val="NoSpacing"/>
        <w:rPr>
          <w:color w:val="0070C0"/>
          <w:sz w:val="27"/>
          <w:szCs w:val="27"/>
        </w:rPr>
      </w:pPr>
      <w:permStart w:id="610287984" w:edGrp="everyone"/>
      <w:r>
        <w:t>ISLA</w:t>
      </w:r>
      <w:r w:rsidRPr="008C0D8E">
        <w:t xml:space="preserve"> agree</w:t>
      </w:r>
      <w:r>
        <w:t>s</w:t>
      </w:r>
      <w:r w:rsidRPr="008C0D8E">
        <w:t xml:space="preserve"> that the Place of Safekeeping (PSAF) field can contribute to improved settlement efficiency and reduced settlement fails</w:t>
      </w:r>
      <w:r>
        <w:t xml:space="preserve"> h</w:t>
      </w:r>
      <w:r w:rsidRPr="008C0D8E">
        <w:t>owever, similar to our stance on the Place of Settlement (PSET) field, we believe that the adoption of PSAF should be driven by industry best practices rather than regulatory mandates.</w:t>
      </w:r>
    </w:p>
    <w:permEnd w:id="610287984"/>
    <w:p w14:paraId="403478C5" w14:textId="77777777" w:rsidR="00113E80" w:rsidRDefault="00113E80" w:rsidP="00113E80">
      <w:r>
        <w:t>&lt;ESMA_QUESTION_CSDC_41&gt;</w:t>
      </w:r>
    </w:p>
    <w:p w14:paraId="32BF96C1" w14:textId="77777777" w:rsidR="005E6387" w:rsidRDefault="005E6387" w:rsidP="00113E80"/>
    <w:p w14:paraId="5D937E2B" w14:textId="646C3BFD" w:rsidR="005E6387" w:rsidRPr="005E6387" w:rsidRDefault="005E6387" w:rsidP="00113E80">
      <w:pPr>
        <w:rPr>
          <w:b/>
          <w:bCs/>
        </w:rPr>
      </w:pPr>
      <w:r w:rsidRPr="005E6387">
        <w:rPr>
          <w:b/>
          <w:bCs/>
        </w:rPr>
        <w:t>3.2.4</w:t>
      </w:r>
      <w:r w:rsidRPr="005E6387">
        <w:rPr>
          <w:b/>
          <w:bCs/>
        </w:rPr>
        <w:tab/>
        <w:t>Place of safe keeping (PSAF) and place of settlement (PSET) as mandatory fields of settlement instructions</w:t>
      </w:r>
    </w:p>
    <w:p w14:paraId="3809FD07" w14:textId="77777777" w:rsidR="00113E80" w:rsidRDefault="00113E80" w:rsidP="00113E80"/>
    <w:p w14:paraId="723CB8C0" w14:textId="77777777" w:rsidR="00113E80" w:rsidRDefault="00113E80" w:rsidP="00113E80">
      <w:pPr>
        <w:pStyle w:val="Questionstyle"/>
        <w:numPr>
          <w:ilvl w:val="0"/>
          <w:numId w:val="14"/>
        </w:numPr>
        <w:tabs>
          <w:tab w:val="clear" w:pos="567"/>
        </w:tabs>
        <w:spacing w:after="240" w:line="256" w:lineRule="auto"/>
        <w:ind w:left="851" w:hanging="851"/>
      </w:pPr>
      <w:r>
        <w:t>Do you agree that the decision to use the PSAF and the PSET in the settlement instructions should be left to the industry?</w:t>
      </w:r>
    </w:p>
    <w:p w14:paraId="1E889B55" w14:textId="77777777" w:rsidR="00113E80" w:rsidRDefault="00113E80" w:rsidP="00113E80">
      <w:r>
        <w:t>&lt;ESMA_QUESTION_CSDC_42&gt;</w:t>
      </w:r>
    </w:p>
    <w:p w14:paraId="34D1FB97" w14:textId="77777777" w:rsidR="00C83129" w:rsidRPr="004D6E88" w:rsidRDefault="00C83129" w:rsidP="00C83129">
      <w:pPr>
        <w:pStyle w:val="NoSpacing"/>
      </w:pPr>
      <w:permStart w:id="1084698351" w:edGrp="everyone"/>
      <w:r>
        <w:t>ISLA</w:t>
      </w:r>
      <w:r w:rsidRPr="000006AB">
        <w:t xml:space="preserve"> agree</w:t>
      </w:r>
      <w:r>
        <w:t>s</w:t>
      </w:r>
      <w:r w:rsidRPr="000006AB">
        <w:t xml:space="preserve"> that the decision to use the Place of Safekeeping (PSAF) and Place of Settlement (PSET) fields in settlement instructions should be left to the industry. ​ Mandating these fields through regulatory amendments may not be necessary at this stage and could impose undue burdens on market participants.</w:t>
      </w:r>
    </w:p>
    <w:permEnd w:id="1084698351"/>
    <w:p w14:paraId="35213B48" w14:textId="77777777" w:rsidR="00113E80" w:rsidRDefault="00113E80" w:rsidP="00113E80">
      <w:r>
        <w:t>&lt;ESMA_QUESTION_CSDC_42&gt;</w:t>
      </w:r>
    </w:p>
    <w:p w14:paraId="56EBFA6B" w14:textId="77777777" w:rsidR="00113E80" w:rsidRDefault="00113E80" w:rsidP="00113E80"/>
    <w:p w14:paraId="35F2BCBA" w14:textId="77777777" w:rsidR="00113E80" w:rsidRDefault="00113E80" w:rsidP="00113E80">
      <w:pPr>
        <w:pStyle w:val="Questionstyle"/>
        <w:numPr>
          <w:ilvl w:val="0"/>
          <w:numId w:val="14"/>
        </w:numPr>
        <w:tabs>
          <w:tab w:val="clear" w:pos="567"/>
        </w:tabs>
        <w:spacing w:after="240" w:line="256" w:lineRule="auto"/>
        <w:ind w:left="851" w:hanging="851"/>
      </w:pPr>
      <w:r>
        <w:t xml:space="preserve">What are the current market practices regarding the use of PSAF and PSET, in particular in the case of netting along the trading and settlement chain? </w:t>
      </w:r>
    </w:p>
    <w:p w14:paraId="3C3F0DF4" w14:textId="77777777" w:rsidR="00113E80" w:rsidRDefault="00113E80" w:rsidP="00113E80">
      <w:r>
        <w:t>&lt;ESMA_QUESTION_CSDC_43&gt;</w:t>
      </w:r>
    </w:p>
    <w:p w14:paraId="36EF8EBB" w14:textId="77777777" w:rsidR="0020370D" w:rsidRPr="004D6E88" w:rsidRDefault="0020370D" w:rsidP="0020370D">
      <w:pPr>
        <w:pStyle w:val="NoSpacing"/>
      </w:pPr>
      <w:permStart w:id="198186485" w:edGrp="everyone"/>
      <w:r w:rsidRPr="008C0D8E">
        <w:t xml:space="preserve">Current market practices regarding the use of Place of Safekeeping (PSAF) and Place of Settlement (PSET) </w:t>
      </w:r>
      <w:r w:rsidRPr="004D6E88">
        <w:t xml:space="preserve">in the securities lending industry vary across different participants. While PSET is widely </w:t>
      </w:r>
      <w:r w:rsidRPr="004D6E88">
        <w:lastRenderedPageBreak/>
        <w:t>recognized and used in pre-matching and allocation processes to ensure securities are settled in the correct location, PSAF is less commonly utilised and less familiar to some market participants.</w:t>
      </w:r>
    </w:p>
    <w:p w14:paraId="1F436105" w14:textId="77777777" w:rsidR="0020370D" w:rsidRPr="004D6E88" w:rsidRDefault="0020370D" w:rsidP="0020370D">
      <w:pPr>
        <w:pStyle w:val="NoSpacing"/>
      </w:pPr>
      <w:r w:rsidRPr="008C0D8E">
        <w:t xml:space="preserve">Market participants are studying </w:t>
      </w:r>
      <w:r w:rsidRPr="004D6E88">
        <w:t>the use of these fields in relation to T+1 work</w:t>
      </w:r>
      <w:r>
        <w:t>,</w:t>
      </w:r>
      <w:r w:rsidRPr="004D6E88">
        <w:t xml:space="preserve"> and ISLA will participate in those to incorporate the proposals into best practices. </w:t>
      </w:r>
    </w:p>
    <w:permEnd w:id="198186485"/>
    <w:p w14:paraId="5C0078D9" w14:textId="77777777" w:rsidR="00113E80" w:rsidRDefault="00113E80" w:rsidP="00113E80">
      <w:r>
        <w:t>&lt;ESMA_QUESTION_CSDC_43&gt;</w:t>
      </w:r>
    </w:p>
    <w:p w14:paraId="56E37EB2" w14:textId="6D4A478B" w:rsidR="005E6387" w:rsidRPr="005E6387" w:rsidRDefault="005E6387" w:rsidP="00113E80">
      <w:pPr>
        <w:rPr>
          <w:b/>
          <w:bCs/>
        </w:rPr>
      </w:pPr>
      <w:r w:rsidRPr="005E6387">
        <w:rPr>
          <w:b/>
          <w:bCs/>
        </w:rPr>
        <w:t>3.2.5</w:t>
      </w:r>
      <w:r w:rsidRPr="005E6387">
        <w:rPr>
          <w:b/>
          <w:bCs/>
        </w:rPr>
        <w:tab/>
        <w:t>Transaction type</w:t>
      </w:r>
    </w:p>
    <w:p w14:paraId="192915C5" w14:textId="77777777" w:rsidR="00113E80" w:rsidRDefault="00113E80" w:rsidP="00113E80"/>
    <w:p w14:paraId="5834E07C" w14:textId="77777777" w:rsidR="00113E80" w:rsidRDefault="00113E80" w:rsidP="00113E80">
      <w:pPr>
        <w:pStyle w:val="Questionstyle"/>
        <w:numPr>
          <w:ilvl w:val="0"/>
          <w:numId w:val="14"/>
        </w:numPr>
        <w:tabs>
          <w:tab w:val="clear" w:pos="567"/>
        </w:tabs>
        <w:spacing w:after="240" w:line="256" w:lineRule="auto"/>
        <w:ind w:left="851" w:hanging="851"/>
      </w:pPr>
      <w:r>
        <w:t>Do you agree that the transaction type should not become a mandatory matching field under Article 5(4) of CDR 2018/1229?</w:t>
      </w:r>
    </w:p>
    <w:p w14:paraId="7F94DE8B" w14:textId="77777777" w:rsidR="00113E80" w:rsidRDefault="00113E80" w:rsidP="00113E80">
      <w:r>
        <w:t>&lt;ESMA_QUESTION_CSDC_44&gt;</w:t>
      </w:r>
    </w:p>
    <w:p w14:paraId="6972296C" w14:textId="77777777" w:rsidR="00F43204" w:rsidRPr="008F3EAA" w:rsidRDefault="00F43204" w:rsidP="00F43204">
      <w:pPr>
        <w:ind w:left="426" w:right="543"/>
        <w:rPr>
          <w:rFonts w:ascii="Calibri" w:eastAsia="Times New Roman" w:hAnsi="Calibri" w:cs="Calibri"/>
          <w:color w:val="008080"/>
          <w:lang w:eastAsia="en-GB"/>
        </w:rPr>
      </w:pPr>
      <w:permStart w:id="1475766194" w:edGrp="everyone"/>
      <w:r>
        <w:rPr>
          <w:rFonts w:ascii="Calibri" w:eastAsia="Times New Roman" w:hAnsi="Calibri" w:cs="Calibri"/>
          <w:color w:val="008080"/>
          <w:lang w:eastAsia="en-GB"/>
        </w:rPr>
        <w:t>ISLA</w:t>
      </w:r>
      <w:r w:rsidRPr="008F3EAA">
        <w:rPr>
          <w:rFonts w:ascii="Calibri" w:eastAsia="Times New Roman" w:hAnsi="Calibri" w:cs="Calibri"/>
          <w:color w:val="008080"/>
          <w:lang w:eastAsia="en-GB"/>
        </w:rPr>
        <w:t xml:space="preserve"> do</w:t>
      </w:r>
      <w:r>
        <w:rPr>
          <w:rFonts w:ascii="Calibri" w:eastAsia="Times New Roman" w:hAnsi="Calibri" w:cs="Calibri"/>
          <w:color w:val="008080"/>
          <w:lang w:eastAsia="en-GB"/>
        </w:rPr>
        <w:t>es</w:t>
      </w:r>
      <w:r w:rsidRPr="008F3EAA">
        <w:rPr>
          <w:rFonts w:ascii="Calibri" w:eastAsia="Times New Roman" w:hAnsi="Calibri" w:cs="Calibri"/>
          <w:color w:val="008080"/>
          <w:lang w:eastAsia="en-GB"/>
        </w:rPr>
        <w:t xml:space="preserve"> not believe that transaction types should become a mandatory matching criterion under Article 21a at this time. ​ While transaction types can provide useful information for certain processes, there remain some significant challenges and limitations that must be addressed before considering such a mandate.</w:t>
      </w:r>
    </w:p>
    <w:p w14:paraId="5BAC0347" w14:textId="77777777" w:rsidR="00F43204" w:rsidRPr="008F3EAA" w:rsidRDefault="00F43204" w:rsidP="00F43204">
      <w:pPr>
        <w:ind w:left="426" w:right="543"/>
        <w:rPr>
          <w:rFonts w:ascii="Calibri" w:eastAsia="Times New Roman" w:hAnsi="Calibri" w:cs="Calibri"/>
          <w:color w:val="008080"/>
          <w:lang w:eastAsia="en-GB"/>
        </w:rPr>
      </w:pPr>
      <w:r w:rsidRPr="008F3EAA">
        <w:rPr>
          <w:rFonts w:ascii="Calibri" w:eastAsia="Times New Roman" w:hAnsi="Calibri" w:cs="Calibri"/>
          <w:color w:val="008080"/>
          <w:lang w:eastAsia="en-GB"/>
        </w:rPr>
        <w:t>We note that the current use and interpretation of transaction types are not harmoni</w:t>
      </w:r>
      <w:r>
        <w:rPr>
          <w:rFonts w:ascii="Calibri" w:eastAsia="Times New Roman" w:hAnsi="Calibri" w:cs="Calibri"/>
          <w:color w:val="008080"/>
          <w:lang w:eastAsia="en-GB"/>
        </w:rPr>
        <w:t>s</w:t>
      </w:r>
      <w:r w:rsidRPr="008F3EAA">
        <w:rPr>
          <w:rFonts w:ascii="Calibri" w:eastAsia="Times New Roman" w:hAnsi="Calibri" w:cs="Calibri"/>
          <w:color w:val="008080"/>
          <w:lang w:eastAsia="en-GB"/>
        </w:rPr>
        <w:t>ed across market participants, systems, and Central Securities Depositories (CSDs). This lack of standardi</w:t>
      </w:r>
      <w:r>
        <w:rPr>
          <w:rFonts w:ascii="Calibri" w:eastAsia="Times New Roman" w:hAnsi="Calibri" w:cs="Calibri"/>
          <w:color w:val="008080"/>
          <w:lang w:eastAsia="en-GB"/>
        </w:rPr>
        <w:t>s</w:t>
      </w:r>
      <w:r w:rsidRPr="008F3EAA">
        <w:rPr>
          <w:rFonts w:ascii="Calibri" w:eastAsia="Times New Roman" w:hAnsi="Calibri" w:cs="Calibri"/>
          <w:color w:val="008080"/>
          <w:lang w:eastAsia="en-GB"/>
        </w:rPr>
        <w:t>ation creates inconsistencies that could lead to operational inefficiencies and settlement delays if transaction types were made a mandatory matching field.</w:t>
      </w:r>
    </w:p>
    <w:p w14:paraId="71069BF9" w14:textId="77777777" w:rsidR="00F43204" w:rsidRPr="008F3EAA" w:rsidRDefault="00F43204" w:rsidP="00F43204">
      <w:pPr>
        <w:ind w:left="426" w:right="543"/>
        <w:rPr>
          <w:rFonts w:ascii="Calibri" w:eastAsia="Times New Roman" w:hAnsi="Calibri" w:cs="Calibri"/>
          <w:color w:val="008080"/>
          <w:lang w:eastAsia="en-GB"/>
        </w:rPr>
      </w:pPr>
      <w:r w:rsidRPr="008F3EAA">
        <w:rPr>
          <w:rFonts w:ascii="Calibri" w:eastAsia="Times New Roman" w:hAnsi="Calibri" w:cs="Calibri"/>
          <w:color w:val="008080"/>
          <w:lang w:eastAsia="en-GB"/>
        </w:rPr>
        <w:t>In the securities lending market, transaction types such as SECL (loan) and SECB (borrow) are already used in settlement instructions</w:t>
      </w:r>
      <w:r>
        <w:rPr>
          <w:rFonts w:ascii="Calibri" w:eastAsia="Times New Roman" w:hAnsi="Calibri" w:cs="Calibri"/>
          <w:color w:val="008080"/>
          <w:lang w:eastAsia="en-GB"/>
        </w:rPr>
        <w:t xml:space="preserve"> h</w:t>
      </w:r>
      <w:r w:rsidRPr="008F3EAA">
        <w:rPr>
          <w:rFonts w:ascii="Calibri" w:eastAsia="Times New Roman" w:hAnsi="Calibri" w:cs="Calibri"/>
          <w:color w:val="008080"/>
          <w:lang w:eastAsia="en-GB"/>
        </w:rPr>
        <w:t xml:space="preserve">owever, mandating them as matching criteria may create challenges related to the interpretation that may then increase mismatches and settlement fails. ​Adding matching fields prior to a </w:t>
      </w:r>
      <w:r>
        <w:rPr>
          <w:rFonts w:ascii="Calibri" w:eastAsia="Times New Roman" w:hAnsi="Calibri" w:cs="Calibri"/>
          <w:color w:val="008080"/>
          <w:lang w:eastAsia="en-GB"/>
        </w:rPr>
        <w:t>shorter</w:t>
      </w:r>
      <w:r w:rsidRPr="008F3EAA">
        <w:rPr>
          <w:rFonts w:ascii="Calibri" w:eastAsia="Times New Roman" w:hAnsi="Calibri" w:cs="Calibri"/>
          <w:color w:val="008080"/>
          <w:lang w:eastAsia="en-GB"/>
        </w:rPr>
        <w:t xml:space="preserve"> settlement cycle could then compound settlement failure rates.</w:t>
      </w:r>
    </w:p>
    <w:p w14:paraId="259A8FDA" w14:textId="77777777" w:rsidR="00F43204" w:rsidRPr="008F3EAA" w:rsidRDefault="00F43204" w:rsidP="00F43204">
      <w:pPr>
        <w:ind w:left="426" w:right="543"/>
        <w:rPr>
          <w:rFonts w:ascii="Calibri" w:eastAsia="Times New Roman" w:hAnsi="Calibri" w:cs="Calibri"/>
          <w:color w:val="008080"/>
          <w:lang w:eastAsia="en-GB"/>
        </w:rPr>
      </w:pPr>
      <w:r w:rsidRPr="008F3EAA">
        <w:rPr>
          <w:rFonts w:ascii="Calibri" w:eastAsia="Times New Roman" w:hAnsi="Calibri" w:cs="Calibri"/>
          <w:color w:val="008080"/>
          <w:lang w:eastAsia="en-GB"/>
        </w:rPr>
        <w:t>While we do not support making transaction types a mandatory matching field at this time, we recognize that there may be potential benefits in the future. ​ For example, transaction types could help identify specific transaction</w:t>
      </w:r>
      <w:r>
        <w:rPr>
          <w:rFonts w:ascii="Calibri" w:eastAsia="Times New Roman" w:hAnsi="Calibri" w:cs="Calibri"/>
          <w:color w:val="008080"/>
          <w:lang w:eastAsia="en-GB"/>
        </w:rPr>
        <w:t xml:space="preserve">s that are </w:t>
      </w:r>
      <w:r w:rsidRPr="008F3EAA">
        <w:rPr>
          <w:rFonts w:ascii="Calibri" w:eastAsia="Times New Roman" w:hAnsi="Calibri" w:cs="Calibri"/>
          <w:color w:val="008080"/>
          <w:lang w:eastAsia="en-GB"/>
        </w:rPr>
        <w:t>exempt</w:t>
      </w:r>
      <w:r>
        <w:rPr>
          <w:rFonts w:ascii="Calibri" w:eastAsia="Times New Roman" w:hAnsi="Calibri" w:cs="Calibri"/>
          <w:color w:val="008080"/>
          <w:lang w:eastAsia="en-GB"/>
        </w:rPr>
        <w:t xml:space="preserve"> for a given regulation or have different treatment under the CSDR settlement discipline.</w:t>
      </w:r>
      <w:r w:rsidRPr="008F3EAA">
        <w:rPr>
          <w:rFonts w:ascii="Calibri" w:eastAsia="Times New Roman" w:hAnsi="Calibri" w:cs="Calibri"/>
          <w:color w:val="008080"/>
          <w:lang w:eastAsia="en-GB"/>
        </w:rPr>
        <w:t xml:space="preserve"> ​</w:t>
      </w:r>
    </w:p>
    <w:p w14:paraId="358D635B" w14:textId="77777777" w:rsidR="00F43204" w:rsidRPr="008F3EAA" w:rsidRDefault="00F43204" w:rsidP="00F43204">
      <w:pPr>
        <w:ind w:left="426" w:right="543"/>
        <w:rPr>
          <w:rFonts w:ascii="Calibri" w:eastAsia="Times New Roman" w:hAnsi="Calibri" w:cs="Calibri"/>
          <w:color w:val="008080"/>
          <w:lang w:eastAsia="en-GB"/>
        </w:rPr>
      </w:pPr>
      <w:r w:rsidRPr="008F3EAA">
        <w:rPr>
          <w:rFonts w:ascii="Calibri" w:eastAsia="Times New Roman" w:hAnsi="Calibri" w:cs="Calibri"/>
          <w:color w:val="008080"/>
          <w:lang w:eastAsia="en-GB"/>
        </w:rPr>
        <w:t>We therefore recommend that transaction types not be made a mandatory matching criterion under Article 21a at this stage. Instead, we would welcome an analysis by ESMA on harmoni</w:t>
      </w:r>
      <w:r>
        <w:rPr>
          <w:rFonts w:ascii="Calibri" w:eastAsia="Times New Roman" w:hAnsi="Calibri" w:cs="Calibri"/>
          <w:color w:val="008080"/>
          <w:lang w:eastAsia="en-GB"/>
        </w:rPr>
        <w:t>s</w:t>
      </w:r>
      <w:r w:rsidRPr="008F3EAA">
        <w:rPr>
          <w:rFonts w:ascii="Calibri" w:eastAsia="Times New Roman" w:hAnsi="Calibri" w:cs="Calibri"/>
          <w:color w:val="008080"/>
          <w:lang w:eastAsia="en-GB"/>
        </w:rPr>
        <w:t>ed transaction type definitions that could be used across the industry. This would allow for potential future benefits without introducing unnecessary complexity or operational risk in the short term.</w:t>
      </w:r>
    </w:p>
    <w:permEnd w:id="1475766194"/>
    <w:p w14:paraId="30420754" w14:textId="77777777" w:rsidR="00113E80" w:rsidRDefault="00113E80" w:rsidP="00113E80">
      <w:r>
        <w:lastRenderedPageBreak/>
        <w:t>&lt;ESMA_QUESTION_CSDC_44&gt;</w:t>
      </w:r>
    </w:p>
    <w:p w14:paraId="701FF848" w14:textId="77777777" w:rsidR="00113E80" w:rsidRDefault="00113E80" w:rsidP="00113E80"/>
    <w:p w14:paraId="1584C909" w14:textId="77777777" w:rsidR="00113E80" w:rsidRDefault="00113E80" w:rsidP="00113E80">
      <w:pPr>
        <w:pStyle w:val="Questionstyle"/>
        <w:numPr>
          <w:ilvl w:val="0"/>
          <w:numId w:val="14"/>
        </w:numPr>
        <w:tabs>
          <w:tab w:val="clear" w:pos="567"/>
        </w:tabs>
        <w:spacing w:after="240" w:line="256" w:lineRule="auto"/>
        <w:ind w:left="851" w:hanging="851"/>
      </w:pPr>
      <w:r>
        <w:t>Do you think the lists mentioned in Article 2(1)(a) and Article 5(4) of CDR 2018/1229 should be updated? If yes, please specify.</w:t>
      </w:r>
    </w:p>
    <w:p w14:paraId="222120E2" w14:textId="77777777" w:rsidR="00113E80" w:rsidRDefault="00113E80" w:rsidP="00113E80">
      <w:r>
        <w:t>&lt;ESMA_QUESTION_CSDC_45&gt;</w:t>
      </w:r>
    </w:p>
    <w:p w14:paraId="1C592242" w14:textId="77777777" w:rsidR="009B61BD" w:rsidRPr="00DD2F3A" w:rsidRDefault="009B61BD" w:rsidP="009B61BD">
      <w:pPr>
        <w:pStyle w:val="NoSpacing"/>
      </w:pPr>
      <w:permStart w:id="961432849" w:edGrp="everyone"/>
      <w:r w:rsidRPr="008C0D8E">
        <w:t xml:space="preserve">As noted in our response to question 44, we believe the lists should be updated and </w:t>
      </w:r>
      <w:r>
        <w:t xml:space="preserve">that ESMA lead on improving </w:t>
      </w:r>
      <w:r w:rsidRPr="00DD2F3A">
        <w:t xml:space="preserve">harmonisation. </w:t>
      </w:r>
    </w:p>
    <w:permEnd w:id="961432849"/>
    <w:p w14:paraId="07F60CC2" w14:textId="77777777" w:rsidR="00113E80" w:rsidRDefault="00113E80" w:rsidP="00113E80">
      <w:r>
        <w:t>&lt;ESMA_QUESTION_CSDC_45&gt;</w:t>
      </w:r>
    </w:p>
    <w:p w14:paraId="790E4CD9" w14:textId="77777777" w:rsidR="005E6387" w:rsidRDefault="005E6387" w:rsidP="00113E80"/>
    <w:p w14:paraId="0554155E" w14:textId="06B8DF5A" w:rsidR="00113E80" w:rsidRDefault="005E6387" w:rsidP="00113E80">
      <w:pPr>
        <w:rPr>
          <w:b/>
          <w:bCs/>
        </w:rPr>
      </w:pPr>
      <w:r w:rsidRPr="005E6387">
        <w:rPr>
          <w:b/>
          <w:bCs/>
        </w:rPr>
        <w:t>3.2.6</w:t>
      </w:r>
      <w:r w:rsidRPr="005E6387">
        <w:rPr>
          <w:b/>
          <w:bCs/>
        </w:rPr>
        <w:tab/>
        <w:t>Timing for sending settlement instructions to the securities settlement system (SSS)</w:t>
      </w:r>
    </w:p>
    <w:p w14:paraId="07414F56" w14:textId="77777777" w:rsidR="005E6387" w:rsidRPr="005E6387" w:rsidRDefault="005E6387" w:rsidP="00113E80">
      <w:pPr>
        <w:rPr>
          <w:b/>
          <w:bCs/>
        </w:rPr>
      </w:pPr>
    </w:p>
    <w:p w14:paraId="05C4750B" w14:textId="77777777" w:rsidR="00113E80" w:rsidRDefault="00113E80" w:rsidP="00113E80">
      <w:pPr>
        <w:pStyle w:val="Questionstyle"/>
        <w:numPr>
          <w:ilvl w:val="0"/>
          <w:numId w:val="14"/>
        </w:numPr>
        <w:tabs>
          <w:tab w:val="clear" w:pos="567"/>
        </w:tabs>
        <w:spacing w:after="240" w:line="256" w:lineRule="auto"/>
        <w:ind w:left="851" w:hanging="851"/>
      </w:pPr>
      <w:r>
        <w:t>What are your views on whether market participants should send settlement instructions intra-day rather than in bulk at the end of the day?</w:t>
      </w:r>
    </w:p>
    <w:p w14:paraId="5CCADBD2" w14:textId="77777777" w:rsidR="00113E80" w:rsidRDefault="00113E80" w:rsidP="00113E80">
      <w:r>
        <w:t>&lt;ESMA_QUESTION_CSDC_46&gt;</w:t>
      </w:r>
    </w:p>
    <w:p w14:paraId="0F55CB50" w14:textId="77777777" w:rsidR="009B6D9F" w:rsidRPr="009E25E2" w:rsidRDefault="009B6D9F" w:rsidP="009B6D9F">
      <w:pPr>
        <w:pStyle w:val="NoSpacing"/>
      </w:pPr>
      <w:permStart w:id="904798664" w:edGrp="everyone"/>
      <w:r w:rsidRPr="008C0D8E">
        <w:t>In the securities lending market</w:t>
      </w:r>
      <w:r>
        <w:t>,</w:t>
      </w:r>
      <w:r w:rsidRPr="009E25E2">
        <w:t xml:space="preserve"> it is common practice to send settlement instructions throughout the day as transactions are booked. This ensures that instructions are processed promptly and aligns with the operational workflows of market participants.</w:t>
      </w:r>
    </w:p>
    <w:p w14:paraId="69656F03" w14:textId="77777777" w:rsidR="009B6D9F" w:rsidRPr="009E25E2" w:rsidRDefault="009B6D9F" w:rsidP="009B6D9F">
      <w:pPr>
        <w:pStyle w:val="NoSpacing"/>
      </w:pPr>
      <w:r>
        <w:t>Regarding</w:t>
      </w:r>
      <w:r w:rsidRPr="009E25E2">
        <w:t xml:space="preserve"> new loans, settlement instructions are typically sent once collateral has been received, which naturally occurs throughout the day. ​ Regarding returns, instructions are sent as soon as the return request/notification is received and processed. This intraday submission helps to ensure timely settlement and reduces the risk of settlement fails.</w:t>
      </w:r>
    </w:p>
    <w:p w14:paraId="7360B3B5" w14:textId="77777777" w:rsidR="009B6D9F" w:rsidRPr="009E25E2" w:rsidRDefault="009B6D9F" w:rsidP="009B6D9F">
      <w:pPr>
        <w:pStyle w:val="NoSpacing"/>
      </w:pPr>
      <w:r>
        <w:t>ISLA</w:t>
      </w:r>
      <w:r w:rsidRPr="009E25E2">
        <w:t xml:space="preserve"> therefore support</w:t>
      </w:r>
      <w:r>
        <w:t>s</w:t>
      </w:r>
      <w:r w:rsidRPr="009E25E2">
        <w:t xml:space="preserve"> the practice of sending settlement instructions intraday rather than in bulk at the end of the day. ​This approach enhances settlement efficiency, aligns with current industry practices, and supports the transition to T+1 settlement cycles. While flexibility should be allowed for participants with operational constraints, the overall goal should be to promote timely submission of settlement instructions to reduce settlement fails and improve market efficiency.</w:t>
      </w:r>
    </w:p>
    <w:permEnd w:id="904798664"/>
    <w:p w14:paraId="129FDCEA" w14:textId="77777777" w:rsidR="00113E80" w:rsidRDefault="00113E80" w:rsidP="00113E80">
      <w:r>
        <w:t>&lt;ESMA_QUESTION_CSDC_46&gt;</w:t>
      </w:r>
    </w:p>
    <w:p w14:paraId="19EAABB1" w14:textId="77777777" w:rsidR="00113E80" w:rsidRDefault="00113E80" w:rsidP="00113E80"/>
    <w:p w14:paraId="5AC95EFF" w14:textId="77777777" w:rsidR="00113E80" w:rsidRDefault="00113E80" w:rsidP="00113E80">
      <w:pPr>
        <w:pStyle w:val="Questionstyle"/>
        <w:numPr>
          <w:ilvl w:val="0"/>
          <w:numId w:val="14"/>
        </w:numPr>
        <w:tabs>
          <w:tab w:val="clear" w:pos="567"/>
        </w:tabs>
        <w:spacing w:after="240" w:line="256" w:lineRule="auto"/>
        <w:ind w:left="851" w:hanging="851"/>
        <w:rPr>
          <w:bCs/>
        </w:rPr>
      </w:pPr>
      <w:r>
        <w:rPr>
          <w:bCs/>
        </w:rPr>
        <w:t>Do you consider it necessary to introduce a deadline for the submission of settlement instructions through a regulatory amendment to CDR 2018/1229? If yes, what should be such a deadline? Please provide arguments to justify your answers.</w:t>
      </w:r>
    </w:p>
    <w:p w14:paraId="7A4E313A" w14:textId="77777777" w:rsidR="00113E80" w:rsidRDefault="00113E80" w:rsidP="00113E80">
      <w:r>
        <w:lastRenderedPageBreak/>
        <w:t>&lt;ESMA_QUESTION_CSDC_47&gt;</w:t>
      </w:r>
    </w:p>
    <w:p w14:paraId="7EE38655" w14:textId="77777777" w:rsidR="00D4106A" w:rsidRPr="008C0D8E" w:rsidRDefault="00D4106A" w:rsidP="00D4106A">
      <w:pPr>
        <w:pStyle w:val="NoSpacing"/>
      </w:pPr>
      <w:permStart w:id="355869798" w:edGrp="everyone"/>
      <w:r w:rsidRPr="008C0D8E">
        <w:t>While this will be a key topic in the EU</w:t>
      </w:r>
      <w:r>
        <w:t xml:space="preserve"> </w:t>
      </w:r>
      <w:r w:rsidRPr="008C0D8E">
        <w:t>T</w:t>
      </w:r>
      <w:r>
        <w:t>+</w:t>
      </w:r>
      <w:r w:rsidRPr="008C0D8E">
        <w:t>1-</w:t>
      </w:r>
      <w:r>
        <w:t xml:space="preserve"> </w:t>
      </w:r>
      <w:r w:rsidRPr="008C0D8E">
        <w:t>I</w:t>
      </w:r>
      <w:r>
        <w:t xml:space="preserve">ndustry </w:t>
      </w:r>
      <w:r w:rsidRPr="008C0D8E">
        <w:t>C</w:t>
      </w:r>
      <w:r>
        <w:t>ommittee</w:t>
      </w:r>
      <w:r w:rsidRPr="008C0D8E">
        <w:t xml:space="preserve"> discussions, and we anticipate clear recommendations, </w:t>
      </w:r>
      <w:r>
        <w:t>ISLA</w:t>
      </w:r>
      <w:r w:rsidRPr="008C0D8E">
        <w:t xml:space="preserve"> advocate</w:t>
      </w:r>
      <w:r>
        <w:t>s</w:t>
      </w:r>
      <w:r w:rsidRPr="008C0D8E">
        <w:t xml:space="preserve"> for an industry-led approach through best practices. A rigid regulatory requirement may be counterproductive, particularly if it prevents firms from sending settlement instructions after a specified time due to errors</w:t>
      </w:r>
      <w:r>
        <w:t>.</w:t>
      </w:r>
    </w:p>
    <w:permEnd w:id="355869798"/>
    <w:p w14:paraId="7B3A7050" w14:textId="77777777" w:rsidR="00113E80" w:rsidRDefault="00113E80" w:rsidP="00113E80">
      <w:r>
        <w:t>&lt;ESMA_QUESTION_CSDC_47&gt;</w:t>
      </w:r>
    </w:p>
    <w:p w14:paraId="25115DB8" w14:textId="77777777" w:rsidR="005E6387" w:rsidRDefault="005E6387" w:rsidP="00113E80">
      <w:pPr>
        <w:rPr>
          <w:b/>
          <w:bCs/>
        </w:rPr>
      </w:pPr>
    </w:p>
    <w:p w14:paraId="0BF3ADCB" w14:textId="6BFEB277" w:rsidR="00113E80" w:rsidRPr="005E6387" w:rsidRDefault="005E6387" w:rsidP="00113E80">
      <w:pPr>
        <w:rPr>
          <w:b/>
          <w:bCs/>
        </w:rPr>
      </w:pPr>
      <w:r w:rsidRPr="005E6387">
        <w:rPr>
          <w:b/>
          <w:bCs/>
        </w:rPr>
        <w:t>3.2.7</w:t>
      </w:r>
      <w:r w:rsidRPr="005E6387">
        <w:rPr>
          <w:b/>
          <w:bCs/>
        </w:rPr>
        <w:tab/>
        <w:t>Alignment of CSDs’ opening hours, real-time/night-time settlement and cut-off times</w:t>
      </w:r>
    </w:p>
    <w:p w14:paraId="5106CA89" w14:textId="77777777" w:rsidR="005E6387" w:rsidRDefault="005E6387" w:rsidP="00113E80"/>
    <w:p w14:paraId="1E5EFA9F" w14:textId="77777777" w:rsidR="00113E80" w:rsidRDefault="00113E80" w:rsidP="00113E80">
      <w:pPr>
        <w:pStyle w:val="Questionstyle"/>
        <w:numPr>
          <w:ilvl w:val="0"/>
          <w:numId w:val="14"/>
        </w:numPr>
        <w:tabs>
          <w:tab w:val="clear" w:pos="567"/>
        </w:tabs>
        <w:spacing w:after="240" w:line="256" w:lineRule="auto"/>
        <w:ind w:left="851" w:hanging="851"/>
        <w:rPr>
          <w:bCs/>
        </w:rPr>
      </w:pPr>
      <w:r>
        <w:rPr>
          <w:bCs/>
        </w:rPr>
        <w:t xml:space="preserve">Do you agree that CSDs’ business day schedule should be left to the industry? If not, please elaborate.  </w:t>
      </w:r>
    </w:p>
    <w:p w14:paraId="3CC1703E" w14:textId="77777777" w:rsidR="00113E80" w:rsidRDefault="00113E80" w:rsidP="00113E80">
      <w:r>
        <w:t>&lt;ESMA_QUESTION_CSDC_48&gt;</w:t>
      </w:r>
    </w:p>
    <w:p w14:paraId="53F1D72F" w14:textId="77777777" w:rsidR="00550C50" w:rsidRPr="00A576C7" w:rsidRDefault="00550C50" w:rsidP="00550C50">
      <w:pPr>
        <w:pStyle w:val="NoSpacing"/>
      </w:pPr>
      <w:permStart w:id="1531868113" w:edGrp="everyone"/>
      <w:r>
        <w:t>ISLA</w:t>
      </w:r>
      <w:r w:rsidRPr="008C0D8E">
        <w:t xml:space="preserve"> agree</w:t>
      </w:r>
      <w:r>
        <w:t>s</w:t>
      </w:r>
      <w:r w:rsidRPr="00A576C7">
        <w:t xml:space="preserve"> that the CSD business day schedule should be left to the industry, which will be expressed through the work of the </w:t>
      </w:r>
      <w:r>
        <w:t xml:space="preserve">EU </w:t>
      </w:r>
      <w:r w:rsidRPr="00A576C7">
        <w:t>T+1 taskforce.</w:t>
      </w:r>
    </w:p>
    <w:permEnd w:id="1531868113"/>
    <w:p w14:paraId="4C79A334" w14:textId="77777777" w:rsidR="00113E80" w:rsidRDefault="00113E80" w:rsidP="00113E80">
      <w:r>
        <w:t>&lt;ESMA_QUESTION_CSDC_48&gt;</w:t>
      </w:r>
    </w:p>
    <w:p w14:paraId="7176D00A" w14:textId="77777777" w:rsidR="00113E80" w:rsidRDefault="00113E80" w:rsidP="00113E80"/>
    <w:p w14:paraId="7617FAC7" w14:textId="77777777" w:rsidR="00113E80" w:rsidRDefault="00113E80" w:rsidP="00113E80">
      <w:pPr>
        <w:pStyle w:val="Questionstyle"/>
        <w:numPr>
          <w:ilvl w:val="0"/>
          <w:numId w:val="14"/>
        </w:numPr>
        <w:tabs>
          <w:tab w:val="clear" w:pos="567"/>
        </w:tabs>
        <w:spacing w:after="240" w:line="256" w:lineRule="auto"/>
        <w:ind w:left="851" w:hanging="851"/>
        <w:rPr>
          <w:bCs/>
        </w:rPr>
      </w:pPr>
      <w:r>
        <w:rPr>
          <w:bCs/>
        </w:rPr>
        <w:t>What would be, in your view, the ideal business day schedule for CSDs taking also into account real-time settlement, night-time settlement and cut-off times? Should they be aligned? Please provide arguments.</w:t>
      </w:r>
    </w:p>
    <w:p w14:paraId="10FC9AE8" w14:textId="77777777" w:rsidR="00113E80" w:rsidRDefault="00113E80" w:rsidP="00113E80">
      <w:r>
        <w:t>&lt;ESMA_QUESTION_CSDC_49&gt;</w:t>
      </w:r>
    </w:p>
    <w:p w14:paraId="5014880D" w14:textId="77777777" w:rsidR="007D780B" w:rsidRPr="008C0D8E" w:rsidRDefault="007D780B" w:rsidP="007D780B">
      <w:pPr>
        <w:pStyle w:val="NoSpacing"/>
      </w:pPr>
      <w:permStart w:id="150763568" w:edGrp="everyone"/>
      <w:r w:rsidRPr="008C0D8E">
        <w:t xml:space="preserve">As with our answer to Q48, </w:t>
      </w:r>
      <w:r>
        <w:t>ISLA</w:t>
      </w:r>
      <w:r w:rsidRPr="008C0D8E">
        <w:t xml:space="preserve"> believe</w:t>
      </w:r>
      <w:r>
        <w:t>s</w:t>
      </w:r>
      <w:r w:rsidRPr="008C0D8E">
        <w:t xml:space="preserve"> this is best discussed through the </w:t>
      </w:r>
      <w:r>
        <w:t xml:space="preserve">EU </w:t>
      </w:r>
      <w:r w:rsidRPr="008C0D8E">
        <w:t xml:space="preserve">T+1 Taskforce. </w:t>
      </w:r>
    </w:p>
    <w:permEnd w:id="150763568"/>
    <w:p w14:paraId="44326574" w14:textId="77777777" w:rsidR="00113E80" w:rsidRDefault="00113E80" w:rsidP="00113E80">
      <w:r>
        <w:t>&lt;ESMA_QUESTION_CSDC_49&gt;</w:t>
      </w:r>
    </w:p>
    <w:p w14:paraId="7ACB3EA6" w14:textId="77777777" w:rsidR="005E6387" w:rsidRDefault="005E6387" w:rsidP="00113E80">
      <w:pPr>
        <w:rPr>
          <w:b/>
          <w:bCs/>
        </w:rPr>
      </w:pPr>
    </w:p>
    <w:p w14:paraId="43B2E9F1" w14:textId="36411B90" w:rsidR="005E6387" w:rsidRPr="005E6387" w:rsidRDefault="005E6387" w:rsidP="00113E80">
      <w:pPr>
        <w:rPr>
          <w:b/>
          <w:bCs/>
        </w:rPr>
      </w:pPr>
      <w:r w:rsidRPr="005E6387">
        <w:rPr>
          <w:b/>
          <w:bCs/>
        </w:rPr>
        <w:t>3.2.8</w:t>
      </w:r>
      <w:r w:rsidRPr="005E6387">
        <w:rPr>
          <w:b/>
          <w:bCs/>
        </w:rPr>
        <w:tab/>
        <w:t>Shaping</w:t>
      </w:r>
    </w:p>
    <w:p w14:paraId="5C6AFA04" w14:textId="77777777" w:rsidR="00113E80" w:rsidRDefault="00113E80" w:rsidP="00113E80"/>
    <w:p w14:paraId="0F06545B" w14:textId="77777777" w:rsidR="00113E80" w:rsidRDefault="00113E80" w:rsidP="00113E80">
      <w:pPr>
        <w:pStyle w:val="Questionstyle"/>
        <w:numPr>
          <w:ilvl w:val="0"/>
          <w:numId w:val="14"/>
        </w:numPr>
        <w:tabs>
          <w:tab w:val="clear" w:pos="567"/>
        </w:tabs>
        <w:spacing w:after="240" w:line="256" w:lineRule="auto"/>
        <w:ind w:left="851" w:hanging="851"/>
        <w:rPr>
          <w:bCs/>
        </w:rPr>
      </w:pPr>
      <w:r>
        <w:rPr>
          <w:bCs/>
        </w:rPr>
        <w:t xml:space="preserve">Do you agree that shaping should be adopted as best practice? If you do not agree and believe that it should be adopted as regulatory change, please indicate which should be the most adequate size to shape transactions per type of financial instrument. </w:t>
      </w:r>
    </w:p>
    <w:p w14:paraId="00DEE5ED" w14:textId="77777777" w:rsidR="00113E80" w:rsidRDefault="00113E80" w:rsidP="00113E80">
      <w:r>
        <w:lastRenderedPageBreak/>
        <w:t>&lt;ESMA_QUESTION_CSDC_50&gt;</w:t>
      </w:r>
    </w:p>
    <w:p w14:paraId="46036E93" w14:textId="77777777" w:rsidR="0087118B" w:rsidRPr="008C0D8E" w:rsidRDefault="0087118B" w:rsidP="0087118B">
      <w:pPr>
        <w:pStyle w:val="NoSpacing"/>
      </w:pPr>
      <w:permStart w:id="457271116" w:edGrp="everyone"/>
      <w:r>
        <w:t>ISLA</w:t>
      </w:r>
      <w:r w:rsidRPr="008C0D8E">
        <w:t xml:space="preserve"> support</w:t>
      </w:r>
      <w:r>
        <w:t>s</w:t>
      </w:r>
      <w:r w:rsidRPr="008C0D8E">
        <w:t xml:space="preserve"> the adoption of shaping as a best practice rather than a regulatory requirement. The securities lending market has already implemented effective measures to manage settlement risks associated with large transactions, and shaping is not a significant issue in this sector. Maintaining flexibility through best practices ensures that market participants can continue to operate efficiently while addressing settlement risks.</w:t>
      </w:r>
    </w:p>
    <w:permEnd w:id="457271116"/>
    <w:p w14:paraId="3F2B26D3" w14:textId="77777777" w:rsidR="00113E80" w:rsidRDefault="00113E80" w:rsidP="00113E80">
      <w:r>
        <w:t>&lt;ESMA_QUESTION_CSDC_50&gt;</w:t>
      </w:r>
    </w:p>
    <w:p w14:paraId="5F62866E" w14:textId="77777777" w:rsidR="005E6387" w:rsidRDefault="005E6387" w:rsidP="00113E80"/>
    <w:p w14:paraId="757D3298" w14:textId="64F735EB" w:rsidR="00113E80" w:rsidRPr="005E6387" w:rsidRDefault="005E6387" w:rsidP="00113E80">
      <w:pPr>
        <w:rPr>
          <w:b/>
          <w:bCs/>
        </w:rPr>
      </w:pPr>
      <w:r w:rsidRPr="005E6387">
        <w:rPr>
          <w:b/>
          <w:bCs/>
        </w:rPr>
        <w:t>3.2.9</w:t>
      </w:r>
      <w:r w:rsidRPr="005E6387">
        <w:rPr>
          <w:b/>
          <w:bCs/>
        </w:rPr>
        <w:tab/>
        <w:t>Automated securities lending</w:t>
      </w:r>
    </w:p>
    <w:p w14:paraId="2683FFE7" w14:textId="77777777" w:rsidR="005E6387" w:rsidRDefault="005E6387" w:rsidP="00113E80"/>
    <w:p w14:paraId="5F0ADCD0" w14:textId="77777777" w:rsidR="00113E80" w:rsidRDefault="00113E80" w:rsidP="00113E80">
      <w:pPr>
        <w:pStyle w:val="Questionstyle"/>
        <w:numPr>
          <w:ilvl w:val="0"/>
          <w:numId w:val="14"/>
        </w:numPr>
        <w:tabs>
          <w:tab w:val="clear" w:pos="567"/>
        </w:tabs>
        <w:spacing w:after="240" w:line="256" w:lineRule="auto"/>
        <w:ind w:left="851" w:hanging="851"/>
        <w:rPr>
          <w:bCs/>
        </w:rPr>
      </w:pPr>
      <w:r>
        <w:rPr>
          <w:bCs/>
        </w:rPr>
        <w:t>Do you see the need for a regulatory action in this area? If yes, please elaborate.</w:t>
      </w:r>
    </w:p>
    <w:p w14:paraId="3EC61179" w14:textId="77777777" w:rsidR="00113E80" w:rsidRDefault="00113E80" w:rsidP="00113E80">
      <w:r>
        <w:t>&lt;ESMA_QUESTION_CSDC_51&gt;</w:t>
      </w:r>
    </w:p>
    <w:p w14:paraId="2453781D" w14:textId="77777777" w:rsidR="00CB1A84" w:rsidRPr="008C0D8E" w:rsidRDefault="00CB1A84" w:rsidP="00CB1A84">
      <w:pPr>
        <w:pStyle w:val="NoSpacing"/>
      </w:pPr>
      <w:permStart w:id="1535070435" w:edGrp="everyone"/>
      <w:r>
        <w:t>ISLA</w:t>
      </w:r>
      <w:r w:rsidRPr="008C0D8E">
        <w:t xml:space="preserve"> do</w:t>
      </w:r>
      <w:r>
        <w:t>es</w:t>
      </w:r>
      <w:r w:rsidRPr="008C0D8E">
        <w:t xml:space="preserve"> not see a need for regulatory action to mandate automated securities lending. The securities lending market has effective processes in place and the decision to use CSD auto-borrow facilities should be left to the discretion of market participants, recognising the associated cost and/or balance sheet implications. Regulatory intervention in this area could create unnecessary burdens and disrupt the current balance in the market.</w:t>
      </w:r>
    </w:p>
    <w:permEnd w:id="1535070435"/>
    <w:p w14:paraId="3F0A2AF3" w14:textId="77777777" w:rsidR="00113E80" w:rsidRDefault="00113E80" w:rsidP="00113E80">
      <w:r>
        <w:t>&lt;ESMA_QUESTION_CSDC_51&gt;</w:t>
      </w:r>
    </w:p>
    <w:p w14:paraId="041E8166" w14:textId="19092A13" w:rsidR="00113E80" w:rsidRPr="004D0A02" w:rsidRDefault="004D0A02" w:rsidP="00113E80">
      <w:pPr>
        <w:rPr>
          <w:b/>
          <w:bCs/>
        </w:rPr>
      </w:pPr>
      <w:r w:rsidRPr="004D0A02">
        <w:rPr>
          <w:b/>
          <w:bCs/>
        </w:rPr>
        <w:t>3.2.10 Other proposals regarding settlement discipline measures and tools to improve settlement efficiency</w:t>
      </w:r>
    </w:p>
    <w:p w14:paraId="1C1F1B53" w14:textId="77777777" w:rsidR="004D0A02" w:rsidRDefault="004D0A02" w:rsidP="00113E80"/>
    <w:p w14:paraId="2156E6B8" w14:textId="77777777" w:rsidR="00113E80" w:rsidRDefault="00113E80" w:rsidP="00113E80">
      <w:pPr>
        <w:pStyle w:val="Questionstyle"/>
        <w:numPr>
          <w:ilvl w:val="0"/>
          <w:numId w:val="14"/>
        </w:numPr>
        <w:tabs>
          <w:tab w:val="clear" w:pos="567"/>
        </w:tabs>
        <w:spacing w:after="240" w:line="256" w:lineRule="auto"/>
        <w:ind w:left="851" w:hanging="851"/>
        <w:rPr>
          <w:bCs/>
        </w:rPr>
      </w:pPr>
      <w:r>
        <w:rPr>
          <w:bCs/>
        </w:rPr>
        <w:t>Do you have other proposals regarding settlement discipline measures and tools to improve settlement efficiency in areas not covered in the previous sections? Please give examples and provide arguments and data where available. If relevant, please also include the specific proposed amendments to CDR 2018/1229.</w:t>
      </w:r>
    </w:p>
    <w:p w14:paraId="1DDDF152" w14:textId="77777777" w:rsidR="00113E80" w:rsidRDefault="00113E80" w:rsidP="00113E80">
      <w:r>
        <w:t>&lt;ESMA_QUESTION_CSDC_52&gt;</w:t>
      </w:r>
    </w:p>
    <w:p w14:paraId="667F8D69" w14:textId="77777777" w:rsidR="00113E80" w:rsidRDefault="00113E80" w:rsidP="00113E80">
      <w:permStart w:id="517953238" w:edGrp="everyone"/>
      <w:r>
        <w:t>TYPE YOUR TEXT HERE</w:t>
      </w:r>
    </w:p>
    <w:permEnd w:id="517953238"/>
    <w:p w14:paraId="4660DEF1" w14:textId="77777777" w:rsidR="00113E80" w:rsidRDefault="00113E80" w:rsidP="00113E80">
      <w:r>
        <w:t>&lt;ESMA_QUESTION_CSDC_52&gt;</w:t>
      </w:r>
    </w:p>
    <w:p w14:paraId="16B95523" w14:textId="77777777" w:rsidR="004D0A02" w:rsidRDefault="004D0A02" w:rsidP="00113E80">
      <w:pPr>
        <w:rPr>
          <w:b/>
          <w:bCs/>
        </w:rPr>
      </w:pPr>
    </w:p>
    <w:p w14:paraId="0D55AFAD" w14:textId="2F56243F" w:rsidR="00113E80" w:rsidRPr="004D0A02" w:rsidRDefault="004D0A02" w:rsidP="00113E80">
      <w:pPr>
        <w:rPr>
          <w:b/>
          <w:bCs/>
        </w:rPr>
      </w:pPr>
      <w:r>
        <w:rPr>
          <w:b/>
          <w:bCs/>
        </w:rPr>
        <w:t>3.2.11 Costs and Benefits</w:t>
      </w:r>
    </w:p>
    <w:p w14:paraId="2B6F917D" w14:textId="77777777" w:rsidR="004D0A02" w:rsidRDefault="004D0A02" w:rsidP="00113E80"/>
    <w:p w14:paraId="2B413772" w14:textId="272A13C9" w:rsidR="00113E80" w:rsidRDefault="00113E80" w:rsidP="00113E80">
      <w:pPr>
        <w:pStyle w:val="Questionstyle"/>
        <w:numPr>
          <w:ilvl w:val="0"/>
          <w:numId w:val="14"/>
        </w:numPr>
        <w:tabs>
          <w:tab w:val="clear" w:pos="567"/>
        </w:tabs>
        <w:spacing w:after="240" w:line="256" w:lineRule="auto"/>
        <w:ind w:left="851" w:hanging="851"/>
        <w:rPr>
          <w:bCs/>
        </w:rPr>
      </w:pPr>
      <w:r>
        <w:rPr>
          <w:bCs/>
        </w:rPr>
        <w:t>For all the topics covered in this CP please provide your input on the envisaged costs and benefits using the table below. Please include any operational challenges and the time it may take to implement the proposed requirements.</w:t>
      </w:r>
      <w:r w:rsidR="004F5A02">
        <w:rPr>
          <w:bCs/>
        </w:rPr>
        <w:t xml:space="preserve"> </w:t>
      </w:r>
      <w:r>
        <w:rPr>
          <w:bCs/>
        </w:rPr>
        <w:t>Where relevant, additional tables, graphs and information may be included in order to support the arguments or calculations presented in the table below.</w:t>
      </w:r>
    </w:p>
    <w:tbl>
      <w:tblPr>
        <w:tblW w:w="0" w:type="auto"/>
        <w:tblCellMar>
          <w:left w:w="0" w:type="dxa"/>
          <w:right w:w="0" w:type="dxa"/>
        </w:tblCellMar>
        <w:tblLook w:val="04A0" w:firstRow="1" w:lastRow="0" w:firstColumn="1" w:lastColumn="0" w:noHBand="0" w:noVBand="1"/>
      </w:tblPr>
      <w:tblGrid>
        <w:gridCol w:w="2578"/>
        <w:gridCol w:w="3057"/>
        <w:gridCol w:w="3417"/>
      </w:tblGrid>
      <w:tr w:rsidR="00D93D74" w:rsidRPr="007F665A" w14:paraId="79EE8613" w14:textId="77777777" w:rsidTr="002853FF">
        <w:trPr>
          <w:trHeight w:val="450"/>
        </w:trPr>
        <w:tc>
          <w:tcPr>
            <w:tcW w:w="2580" w:type="dxa"/>
            <w:tcBorders>
              <w:top w:val="single" w:sz="8" w:space="0" w:color="auto"/>
              <w:left w:val="single" w:sz="8" w:space="0" w:color="auto"/>
              <w:bottom w:val="single" w:sz="8" w:space="0" w:color="auto"/>
              <w:right w:val="single" w:sz="8" w:space="0" w:color="000000"/>
            </w:tcBorders>
            <w:tcMar>
              <w:top w:w="0" w:type="dxa"/>
              <w:left w:w="108" w:type="dxa"/>
              <w:bottom w:w="0" w:type="dxa"/>
              <w:right w:w="108" w:type="dxa"/>
            </w:tcMar>
            <w:hideMark/>
          </w:tcPr>
          <w:p w14:paraId="7D8F1070" w14:textId="77777777" w:rsidR="00D93D74" w:rsidRPr="007F665A" w:rsidRDefault="00D93D74" w:rsidP="002853FF">
            <w:pPr>
              <w:rPr>
                <w:lang w:val="nl-BE"/>
              </w:rPr>
            </w:pPr>
            <w:r w:rsidRPr="007F665A">
              <w:rPr>
                <w:b/>
                <w:bCs/>
                <w:lang w:val="nl-BE"/>
              </w:rPr>
              <w:t xml:space="preserve">ESMA or respondent’s proposal </w:t>
            </w:r>
          </w:p>
        </w:tc>
        <w:tc>
          <w:tcPr>
            <w:tcW w:w="6480" w:type="dxa"/>
            <w:gridSpan w:val="2"/>
            <w:tcBorders>
              <w:top w:val="single" w:sz="8" w:space="0" w:color="auto"/>
              <w:left w:val="nil"/>
              <w:bottom w:val="single" w:sz="8" w:space="0" w:color="000000"/>
              <w:right w:val="single" w:sz="8" w:space="0" w:color="000000"/>
            </w:tcBorders>
            <w:tcMar>
              <w:top w:w="0" w:type="dxa"/>
              <w:left w:w="108" w:type="dxa"/>
              <w:bottom w:w="0" w:type="dxa"/>
              <w:right w:w="108" w:type="dxa"/>
            </w:tcMar>
          </w:tcPr>
          <w:p w14:paraId="747686E7" w14:textId="77777777" w:rsidR="00D93D74" w:rsidRPr="007F665A" w:rsidRDefault="00D93D74" w:rsidP="002853FF">
            <w:pPr>
              <w:rPr>
                <w:lang w:val="nl-BE"/>
              </w:rPr>
            </w:pPr>
          </w:p>
          <w:p w14:paraId="0222539E" w14:textId="77777777" w:rsidR="00D93D74" w:rsidRPr="007F665A" w:rsidRDefault="00D93D74" w:rsidP="002853FF">
            <w:pPr>
              <w:rPr>
                <w:lang w:val="nl-BE"/>
              </w:rPr>
            </w:pPr>
            <w:r w:rsidRPr="007F665A">
              <w:rPr>
                <w:lang w:val="nl-BE"/>
              </w:rPr>
              <w:t> </w:t>
            </w:r>
          </w:p>
        </w:tc>
      </w:tr>
      <w:tr w:rsidR="00D93D74" w:rsidRPr="007F665A" w14:paraId="1E5F920B" w14:textId="77777777" w:rsidTr="002853FF">
        <w:trPr>
          <w:trHeight w:val="300"/>
        </w:trPr>
        <w:tc>
          <w:tcPr>
            <w:tcW w:w="2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9A7127" w14:textId="77777777" w:rsidR="00D93D74" w:rsidRPr="007F665A" w:rsidRDefault="00D93D74" w:rsidP="002853FF">
            <w:pPr>
              <w:rPr>
                <w:lang w:val="nl-BE"/>
              </w:rPr>
            </w:pPr>
            <w:r w:rsidRPr="007F665A">
              <w:t> </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15F3C574" w14:textId="77777777" w:rsidR="00D93D74" w:rsidRPr="007F665A" w:rsidRDefault="00D93D74" w:rsidP="002853FF">
            <w:pPr>
              <w:rPr>
                <w:lang w:val="nl-BE"/>
              </w:rPr>
            </w:pPr>
            <w:r w:rsidRPr="007F665A">
              <w:rPr>
                <w:b/>
                <w:bCs/>
                <w:lang w:val="nl-BE"/>
              </w:rPr>
              <w:t>Qualitative description</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14:paraId="43EAB647" w14:textId="77777777" w:rsidR="00D93D74" w:rsidRPr="007F665A" w:rsidRDefault="00D93D74" w:rsidP="002853FF">
            <w:pPr>
              <w:rPr>
                <w:lang w:val="nl-BE"/>
              </w:rPr>
            </w:pPr>
            <w:r w:rsidRPr="007F665A">
              <w:rPr>
                <w:b/>
                <w:bCs/>
                <w:lang w:val="nl-BE"/>
              </w:rPr>
              <w:t>Quantitative description/ Data</w:t>
            </w:r>
          </w:p>
        </w:tc>
      </w:tr>
      <w:tr w:rsidR="00D93D74" w:rsidRPr="007F665A" w14:paraId="08D4DCBA" w14:textId="77777777" w:rsidTr="002853FF">
        <w:trPr>
          <w:trHeight w:val="300"/>
        </w:trPr>
        <w:tc>
          <w:tcPr>
            <w:tcW w:w="2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727814" w14:textId="77777777" w:rsidR="00D93D74" w:rsidRPr="007F665A" w:rsidRDefault="00D93D74" w:rsidP="002853FF">
            <w:pPr>
              <w:rPr>
                <w:lang w:val="nl-BE"/>
              </w:rPr>
            </w:pPr>
            <w:r w:rsidRPr="007F665A">
              <w:rPr>
                <w:b/>
                <w:bCs/>
                <w:lang w:val="nl-BE"/>
              </w:rPr>
              <w:t>Benefits</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69756710" w14:textId="77777777" w:rsidR="00D93D74" w:rsidRPr="007F665A" w:rsidRDefault="00D93D74" w:rsidP="002853FF">
            <w:pPr>
              <w:rPr>
                <w:lang w:val="nl-BE"/>
              </w:rPr>
            </w:pP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14:paraId="57FFBBCF" w14:textId="77777777" w:rsidR="00D93D74" w:rsidRPr="007F665A" w:rsidRDefault="00D93D74" w:rsidP="002853FF">
            <w:pPr>
              <w:rPr>
                <w:lang w:val="nl-BE"/>
              </w:rPr>
            </w:pPr>
            <w:r w:rsidRPr="007F665A">
              <w:rPr>
                <w:lang w:val="nl-BE"/>
              </w:rPr>
              <w:t> </w:t>
            </w:r>
          </w:p>
        </w:tc>
      </w:tr>
      <w:tr w:rsidR="00D93D74" w:rsidRPr="007F665A" w14:paraId="2F18657F" w14:textId="77777777" w:rsidTr="002853FF">
        <w:trPr>
          <w:trHeight w:val="300"/>
        </w:trPr>
        <w:tc>
          <w:tcPr>
            <w:tcW w:w="2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248DF4" w14:textId="77777777" w:rsidR="00D93D74" w:rsidRPr="007F665A" w:rsidRDefault="00D93D74" w:rsidP="002853FF">
            <w:pPr>
              <w:rPr>
                <w:lang w:val="nl-BE"/>
              </w:rPr>
            </w:pPr>
            <w:r w:rsidRPr="007F665A">
              <w:rPr>
                <w:b/>
                <w:bCs/>
                <w:lang w:val="nl-BE"/>
              </w:rPr>
              <w:t>Compliance costs:</w:t>
            </w:r>
          </w:p>
          <w:p w14:paraId="3A66C74C" w14:textId="77777777" w:rsidR="00D93D74" w:rsidRPr="007F665A" w:rsidRDefault="00D93D74" w:rsidP="002853FF">
            <w:pPr>
              <w:rPr>
                <w:lang w:val="nl-BE"/>
              </w:rPr>
            </w:pPr>
            <w:r w:rsidRPr="007F665A">
              <w:rPr>
                <w:b/>
                <w:bCs/>
                <w:lang w:val="nl-BE"/>
              </w:rPr>
              <w:t>- One-off</w:t>
            </w:r>
          </w:p>
          <w:p w14:paraId="13F8798A" w14:textId="77777777" w:rsidR="00D93D74" w:rsidRPr="007F665A" w:rsidRDefault="00D93D74" w:rsidP="002853FF">
            <w:pPr>
              <w:rPr>
                <w:lang w:val="nl-BE"/>
              </w:rPr>
            </w:pPr>
            <w:r w:rsidRPr="007F665A">
              <w:rPr>
                <w:b/>
                <w:bCs/>
                <w:lang w:val="nl-BE"/>
              </w:rPr>
              <w:t>- On-going</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3E5B6F2F" w14:textId="77777777" w:rsidR="00D93D74" w:rsidRPr="007F665A" w:rsidRDefault="00D93D74" w:rsidP="002853FF">
            <w:pPr>
              <w:rPr>
                <w:lang w:val="nl-BE"/>
              </w:rPr>
            </w:pP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14:paraId="54C545ED" w14:textId="77777777" w:rsidR="00D93D74" w:rsidRPr="007F665A" w:rsidRDefault="00D93D74" w:rsidP="002853FF">
            <w:pPr>
              <w:rPr>
                <w:lang w:val="nl-BE"/>
              </w:rPr>
            </w:pPr>
            <w:r w:rsidRPr="007F665A">
              <w:rPr>
                <w:lang w:val="nl-BE"/>
              </w:rPr>
              <w:t> </w:t>
            </w:r>
          </w:p>
        </w:tc>
      </w:tr>
      <w:tr w:rsidR="00D93D74" w:rsidRPr="007F665A" w14:paraId="7ABF7023" w14:textId="77777777" w:rsidTr="002853FF">
        <w:trPr>
          <w:trHeight w:val="300"/>
        </w:trPr>
        <w:tc>
          <w:tcPr>
            <w:tcW w:w="2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FA8F27" w14:textId="77777777" w:rsidR="00D93D74" w:rsidRPr="007F665A" w:rsidRDefault="00D93D74" w:rsidP="002853FF">
            <w:pPr>
              <w:rPr>
                <w:lang w:val="nl-BE"/>
              </w:rPr>
            </w:pPr>
            <w:r w:rsidRPr="007F665A">
              <w:rPr>
                <w:b/>
                <w:bCs/>
                <w:lang w:val="nl-BE"/>
              </w:rPr>
              <w:t>Costs to other stakeholders</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0852B917" w14:textId="77777777" w:rsidR="00D93D74" w:rsidRPr="007F665A" w:rsidRDefault="00D93D74" w:rsidP="002853FF">
            <w:pPr>
              <w:rPr>
                <w:lang w:val="nl-BE"/>
              </w:rPr>
            </w:pP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14:paraId="68936CBD" w14:textId="77777777" w:rsidR="00D93D74" w:rsidRPr="007F665A" w:rsidRDefault="00D93D74" w:rsidP="002853FF">
            <w:pPr>
              <w:rPr>
                <w:lang w:val="nl-BE"/>
              </w:rPr>
            </w:pPr>
            <w:r w:rsidRPr="007F665A">
              <w:rPr>
                <w:lang w:val="nl-BE"/>
              </w:rPr>
              <w:t> </w:t>
            </w:r>
          </w:p>
        </w:tc>
      </w:tr>
      <w:tr w:rsidR="00D93D74" w:rsidRPr="007F665A" w14:paraId="4DB9EEFC" w14:textId="77777777" w:rsidTr="002853FF">
        <w:trPr>
          <w:trHeight w:val="300"/>
        </w:trPr>
        <w:tc>
          <w:tcPr>
            <w:tcW w:w="2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3DFAFC" w14:textId="77777777" w:rsidR="00D93D74" w:rsidRPr="007F665A" w:rsidRDefault="00D93D74" w:rsidP="002853FF">
            <w:pPr>
              <w:rPr>
                <w:lang w:val="nl-BE"/>
              </w:rPr>
            </w:pPr>
            <w:r w:rsidRPr="007F665A">
              <w:rPr>
                <w:b/>
                <w:bCs/>
                <w:lang w:val="nl-BE"/>
              </w:rPr>
              <w:t>Indirect costs</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6DD24A38" w14:textId="77777777" w:rsidR="00D93D74" w:rsidRPr="007F665A" w:rsidRDefault="00D93D74" w:rsidP="002853FF">
            <w:pPr>
              <w:rPr>
                <w:lang w:val="nl-BE"/>
              </w:rPr>
            </w:pP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14:paraId="37763AC8" w14:textId="77777777" w:rsidR="00D93D74" w:rsidRPr="007F665A" w:rsidRDefault="00D93D74" w:rsidP="002853FF">
            <w:pPr>
              <w:rPr>
                <w:lang w:val="nl-BE"/>
              </w:rPr>
            </w:pPr>
          </w:p>
        </w:tc>
      </w:tr>
    </w:tbl>
    <w:p w14:paraId="1A21147F" w14:textId="77777777" w:rsidR="00D93D74" w:rsidRDefault="00D93D74" w:rsidP="00113E80"/>
    <w:p w14:paraId="7FF8E1B5" w14:textId="4EB89460" w:rsidR="00113E80" w:rsidRDefault="00113E80" w:rsidP="00113E80">
      <w:r>
        <w:t>&lt;ESMA_QUESTION_CSDC_53&gt;</w:t>
      </w:r>
    </w:p>
    <w:p w14:paraId="09F7E008" w14:textId="77777777" w:rsidR="00113E80" w:rsidRDefault="00113E80" w:rsidP="00113E80">
      <w:permStart w:id="857702025" w:edGrp="everyone"/>
      <w:r>
        <w:t>TYPE YOUR TEXT HERE</w:t>
      </w:r>
    </w:p>
    <w:permEnd w:id="857702025"/>
    <w:p w14:paraId="055A4F61" w14:textId="77777777" w:rsidR="00113E80" w:rsidRDefault="00113E80" w:rsidP="00113E80">
      <w:r>
        <w:t>&lt;ESMA_QUESTION_CSDC_53&gt;</w:t>
      </w:r>
    </w:p>
    <w:p w14:paraId="74A3DFC0" w14:textId="77777777" w:rsidR="00113E80" w:rsidRDefault="00113E80" w:rsidP="00113E80"/>
    <w:p w14:paraId="4DCBCCB3" w14:textId="77777777" w:rsidR="00113E80" w:rsidRDefault="00113E80" w:rsidP="00113E80"/>
    <w:p w14:paraId="56D9052B" w14:textId="0DD57D31" w:rsidR="00113E80" w:rsidRDefault="00113E80">
      <w:pPr>
        <w:spacing w:after="120" w:line="264" w:lineRule="auto"/>
        <w:jc w:val="left"/>
      </w:pPr>
      <w:r>
        <w:br w:type="page"/>
      </w:r>
    </w:p>
    <w:p w14:paraId="0FF3FA0F" w14:textId="77777777" w:rsidR="00E56436" w:rsidRDefault="00E56436" w:rsidP="00E56436"/>
    <w:p w14:paraId="002533F0" w14:textId="77777777" w:rsidR="00E56436" w:rsidRDefault="00E56436" w:rsidP="00E56436"/>
    <w:p w14:paraId="2E461F75" w14:textId="77777777" w:rsidR="00E56436" w:rsidRDefault="00E56436" w:rsidP="00E56436">
      <w:pPr>
        <w:pStyle w:val="Questionstyle"/>
        <w:spacing w:after="240" w:line="256" w:lineRule="auto"/>
        <w:ind w:left="851" w:hanging="851"/>
      </w:pPr>
    </w:p>
    <w:p w14:paraId="6C876C0D" w14:textId="77777777" w:rsidR="00E56436" w:rsidRDefault="00E56436" w:rsidP="00E56436"/>
    <w:p w14:paraId="5C13E2AD" w14:textId="4AB95E85" w:rsidR="00B356BE" w:rsidRDefault="00B356BE" w:rsidP="00B356BE"/>
    <w:sectPr w:rsidR="00B356BE" w:rsidSect="00AD0B10">
      <w:headerReference w:type="default" r:id="rId18"/>
      <w:footerReference w:type="default" r:id="rId19"/>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E7FEAB" w14:textId="77777777" w:rsidR="00BF4095" w:rsidRDefault="00BF4095" w:rsidP="007E7997">
      <w:pPr>
        <w:spacing w:line="240" w:lineRule="auto"/>
      </w:pPr>
      <w:r>
        <w:separator/>
      </w:r>
    </w:p>
  </w:endnote>
  <w:endnote w:type="continuationSeparator" w:id="0">
    <w:p w14:paraId="4CEB7EC9" w14:textId="77777777" w:rsidR="00BF4095" w:rsidRDefault="00BF4095" w:rsidP="007E7997">
      <w:pPr>
        <w:spacing w:line="240" w:lineRule="auto"/>
      </w:pPr>
      <w:r>
        <w:continuationSeparator/>
      </w:r>
    </w:p>
  </w:endnote>
  <w:endnote w:type="continuationNotice" w:id="1">
    <w:p w14:paraId="1E6BC540" w14:textId="77777777" w:rsidR="00BF4095" w:rsidRDefault="00BF40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4024557"/>
      <w:docPartObj>
        <w:docPartGallery w:val="Page Numbers (Bottom of Page)"/>
        <w:docPartUnique/>
      </w:docPartObj>
    </w:sdtPr>
    <w:sdtEndPr>
      <w:rPr>
        <w:noProof/>
      </w:rPr>
    </w:sdtEndPr>
    <w:sdtContent>
      <w:p w14:paraId="5AA6C61A" w14:textId="77777777" w:rsidR="006A44DA" w:rsidRDefault="006A44DA" w:rsidP="00B73281">
        <w:pPr>
          <w:pStyle w:val="Footer"/>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D20604" w14:textId="77777777" w:rsidR="00BF4095" w:rsidRDefault="00BF4095" w:rsidP="007E7997">
      <w:pPr>
        <w:spacing w:line="240" w:lineRule="auto"/>
      </w:pPr>
      <w:r>
        <w:separator/>
      </w:r>
    </w:p>
  </w:footnote>
  <w:footnote w:type="continuationSeparator" w:id="0">
    <w:p w14:paraId="46089B70" w14:textId="77777777" w:rsidR="00BF4095" w:rsidRDefault="00BF4095" w:rsidP="007E7997">
      <w:pPr>
        <w:spacing w:line="240" w:lineRule="auto"/>
      </w:pPr>
      <w:r>
        <w:continuationSeparator/>
      </w:r>
    </w:p>
  </w:footnote>
  <w:footnote w:type="continuationNotice" w:id="1">
    <w:p w14:paraId="566F61BB" w14:textId="77777777" w:rsidR="00BF4095" w:rsidRDefault="00BF40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42034" w14:textId="784A7CEE" w:rsidR="00D77369" w:rsidRPr="00DB2FD6" w:rsidRDefault="00D77369" w:rsidP="008858FE">
    <w:pPr>
      <w:pStyle w:val="Header"/>
      <w:rPr>
        <w:bCs/>
        <w:caps/>
        <w:color w:val="FF0000" w:themeColor="accent6"/>
        <w:sz w:val="22"/>
        <w:highlight w:val="yellow"/>
      </w:rPr>
    </w:pPr>
    <w:r w:rsidRPr="00C008C4">
      <w:rPr>
        <w:rStyle w:val="ESMAConfidentialRestricted"/>
        <w:noProof/>
      </w:rPr>
      <w:drawing>
        <wp:anchor distT="0" distB="0" distL="114300" distR="114300" simplePos="0" relativeHeight="251658240" behindDoc="0" locked="0" layoutInCell="1" allowOverlap="1" wp14:anchorId="7A8D36CF" wp14:editId="0FC7D767">
          <wp:simplePos x="0" y="0"/>
          <wp:positionH relativeFrom="page">
            <wp:posOffset>892914</wp:posOffset>
          </wp:positionH>
          <wp:positionV relativeFrom="page">
            <wp:posOffset>547370</wp:posOffset>
          </wp:positionV>
          <wp:extent cx="2296800" cy="601200"/>
          <wp:effectExtent l="0" t="0" r="1905" b="0"/>
          <wp:wrapNone/>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D93D74">
      <w:t>13 February 2025</w:t>
    </w:r>
  </w:p>
  <w:p w14:paraId="10BD5565" w14:textId="7CEB269D" w:rsidR="008858FE" w:rsidRPr="000C70F0" w:rsidRDefault="00937390" w:rsidP="009C6AE0">
    <w:pPr>
      <w:jc w:val="right"/>
      <w:rPr>
        <w:sz w:val="16"/>
        <w:szCs w:val="16"/>
      </w:rPr>
    </w:pPr>
    <w:r w:rsidRPr="00937390">
      <w:rPr>
        <w:sz w:val="16"/>
        <w:szCs w:val="16"/>
      </w:rPr>
      <w:t>ESMA74-2119945925-2205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34B74" w14:textId="7D6DC2CF" w:rsidR="00AD0B10" w:rsidRDefault="00AD0B10" w:rsidP="00AD0B10">
    <w:pPr>
      <w:pStyle w:val="Header"/>
    </w:pPr>
  </w:p>
  <w:p w14:paraId="76D78551" w14:textId="45227A06" w:rsidR="00AD0B10" w:rsidRDefault="00AD0B10" w:rsidP="00AD0B10">
    <w:pPr>
      <w:pStyle w:val="Header"/>
    </w:pPr>
  </w:p>
  <w:p w14:paraId="56B00CEC" w14:textId="77777777" w:rsidR="00AD0B10" w:rsidRPr="0043139E" w:rsidRDefault="00AD0B10" w:rsidP="00AD0B10">
    <w:pPr>
      <w:pStyle w:val="Header"/>
    </w:pPr>
  </w:p>
  <w:p w14:paraId="68227DE6" w14:textId="77777777" w:rsidR="00AD0B10" w:rsidRPr="0043139E" w:rsidRDefault="00AD0B10" w:rsidP="00AD0B10">
    <w:pPr>
      <w:pStyle w:val="Header"/>
    </w:pPr>
  </w:p>
  <w:p w14:paraId="0E44DBD1" w14:textId="77777777" w:rsidR="00AD0B10" w:rsidRPr="0043139E" w:rsidRDefault="00AD0B10" w:rsidP="00AD0B10">
    <w:pPr>
      <w:pStyle w:val="Header"/>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1"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1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02B18CB0" w14:textId="77777777" w:rsidR="00AD0B10" w:rsidRPr="0043139E" w:rsidRDefault="00AD0B10" w:rsidP="00AD0B10">
    <w:pPr>
      <w:pStyle w:val="Header"/>
    </w:pPr>
  </w:p>
  <w:p w14:paraId="706EF268" w14:textId="77777777" w:rsidR="00AD0B10" w:rsidRPr="0043139E" w:rsidRDefault="00AD0B10" w:rsidP="00AD0B10">
    <w:pPr>
      <w:pStyle w:val="Header"/>
    </w:pPr>
  </w:p>
  <w:p w14:paraId="6B568202" w14:textId="77777777" w:rsidR="00AD0B10" w:rsidRPr="0043139E" w:rsidRDefault="00AD0B10" w:rsidP="00AD0B10">
    <w:pPr>
      <w:pStyle w:val="Header"/>
    </w:pPr>
  </w:p>
  <w:p w14:paraId="70C66BCD" w14:textId="77777777" w:rsidR="00AD0B10" w:rsidRPr="0043139E" w:rsidRDefault="00AD0B10" w:rsidP="00AD0B10">
    <w:pPr>
      <w:pStyle w:val="Header"/>
    </w:pPr>
  </w:p>
  <w:p w14:paraId="07229907" w14:textId="77777777" w:rsidR="00AD0B10" w:rsidRPr="0043139E" w:rsidRDefault="00AD0B10" w:rsidP="00AD0B10">
    <w:pPr>
      <w:pStyle w:val="Header"/>
    </w:pPr>
  </w:p>
  <w:p w14:paraId="55555744" w14:textId="77777777" w:rsidR="00AD0B10" w:rsidRPr="0043139E" w:rsidRDefault="00AD0B10" w:rsidP="00AD0B10">
    <w:pPr>
      <w:pStyle w:val="Header"/>
    </w:pPr>
  </w:p>
  <w:p w14:paraId="4601AE9C" w14:textId="77777777" w:rsidR="00AD0B10" w:rsidRDefault="00AD0B10" w:rsidP="00AD0B10">
    <w:pPr>
      <w:pStyle w:val="Header"/>
    </w:pPr>
  </w:p>
  <w:p w14:paraId="49946785" w14:textId="77777777" w:rsidR="00AD0B10" w:rsidRPr="0043139E" w:rsidRDefault="00AD0B10" w:rsidP="00AD0B10">
    <w:pPr>
      <w:pStyle w:val="Header"/>
    </w:pPr>
  </w:p>
  <w:p w14:paraId="72BAD19F" w14:textId="77777777" w:rsidR="008858FE" w:rsidRPr="00AD0B10" w:rsidRDefault="008858FE" w:rsidP="00AD0B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53E5F"/>
    <w:multiLevelType w:val="multilevel"/>
    <w:tmpl w:val="A6A2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C741E"/>
    <w:multiLevelType w:val="hybridMultilevel"/>
    <w:tmpl w:val="4A224C4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001F3C"/>
    <w:multiLevelType w:val="hybridMultilevel"/>
    <w:tmpl w:val="4A224C42"/>
    <w:lvl w:ilvl="0" w:tplc="C84A6C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806DE5"/>
    <w:multiLevelType w:val="multilevel"/>
    <w:tmpl w:val="5790C2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6517925"/>
    <w:multiLevelType w:val="hybridMultilevel"/>
    <w:tmpl w:val="E3C81A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A52232B"/>
    <w:multiLevelType w:val="hybridMultilevel"/>
    <w:tmpl w:val="E474F29A"/>
    <w:lvl w:ilvl="0" w:tplc="91A4A3F4">
      <w:start w:val="1"/>
      <w:numFmt w:val="decimal"/>
      <w:lvlText w:val="Q%1"/>
      <w:lvlJc w:val="left"/>
      <w:pPr>
        <w:ind w:left="2629"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EA61840"/>
    <w:multiLevelType w:val="hybridMultilevel"/>
    <w:tmpl w:val="6624CD50"/>
    <w:lvl w:ilvl="0" w:tplc="30EC5BE8">
      <w:start w:val="1"/>
      <w:numFmt w:val="bullet"/>
      <w:pStyle w:val="ListParagraph"/>
      <w:lvlText w:val=""/>
      <w:lvlJc w:val="left"/>
      <w:pPr>
        <w:ind w:left="1070" w:hanging="360"/>
      </w:pPr>
      <w:rPr>
        <w:rFonts w:ascii="Symbol" w:hAnsi="Symbol"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8" w15:restartNumberingAfterBreak="0">
    <w:nsid w:val="4F2B60E0"/>
    <w:multiLevelType w:val="hybridMultilevel"/>
    <w:tmpl w:val="93826B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67672233"/>
    <w:multiLevelType w:val="hybridMultilevel"/>
    <w:tmpl w:val="9A6A3B8A"/>
    <w:lvl w:ilvl="0" w:tplc="4F3C28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BAD1101"/>
    <w:multiLevelType w:val="multilevel"/>
    <w:tmpl w:val="647663A2"/>
    <w:lvl w:ilvl="0">
      <w:start w:val="1"/>
      <w:numFmt w:val="decimal"/>
      <w:pStyle w:val="Heading1"/>
      <w:lvlText w:val="%1"/>
      <w:lvlJc w:val="left"/>
      <w:pPr>
        <w:ind w:left="4686" w:hanging="432"/>
      </w:pPr>
    </w:lvl>
    <w:lvl w:ilvl="1">
      <w:start w:val="1"/>
      <w:numFmt w:val="decimal"/>
      <w:pStyle w:val="Heading2"/>
      <w:lvlText w:val="%1.%2"/>
      <w:lvlJc w:val="left"/>
      <w:pPr>
        <w:ind w:left="8230"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6D3F4D74"/>
    <w:multiLevelType w:val="hybridMultilevel"/>
    <w:tmpl w:val="630AC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1421525">
    <w:abstractNumId w:val="11"/>
  </w:num>
  <w:num w:numId="2" w16cid:durableId="270287514">
    <w:abstractNumId w:val="4"/>
  </w:num>
  <w:num w:numId="3" w16cid:durableId="1675497260">
    <w:abstractNumId w:val="9"/>
  </w:num>
  <w:num w:numId="4" w16cid:durableId="1146706333">
    <w:abstractNumId w:val="3"/>
  </w:num>
  <w:num w:numId="5" w16cid:durableId="1502348752">
    <w:abstractNumId w:val="0"/>
  </w:num>
  <w:num w:numId="6" w16cid:durableId="1544101585">
    <w:abstractNumId w:val="5"/>
  </w:num>
  <w:num w:numId="7" w16cid:durableId="896626050">
    <w:abstractNumId w:val="12"/>
  </w:num>
  <w:num w:numId="8" w16cid:durableId="806780153">
    <w:abstractNumId w:val="2"/>
  </w:num>
  <w:num w:numId="9" w16cid:durableId="1677002603">
    <w:abstractNumId w:val="10"/>
  </w:num>
  <w:num w:numId="10" w16cid:durableId="22487393">
    <w:abstractNumId w:val="8"/>
  </w:num>
  <w:num w:numId="11" w16cid:durableId="270942799">
    <w:abstractNumId w:val="7"/>
  </w:num>
  <w:num w:numId="12" w16cid:durableId="10230698">
    <w:abstractNumId w:val="7"/>
    <w:lvlOverride w:ilvl="0">
      <w:startOverride w:val="1"/>
    </w:lvlOverride>
  </w:num>
  <w:num w:numId="13" w16cid:durableId="1914856611">
    <w:abstractNumId w:val="1"/>
  </w:num>
  <w:num w:numId="14" w16cid:durableId="2976140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55502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6679193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cKPVppZDZbproL8gIHXPbY+bprNoRQuExDjsY3FxyK+rC2NlIiJ2bWo0WSnEW7lIw/ryNwdY7XTUwECheG+i4w==" w:salt="xZZpdlmbdbb0bl1VQh9b6Q=="/>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63C1F"/>
    <w:rsid w:val="00000106"/>
    <w:rsid w:val="000006B0"/>
    <w:rsid w:val="00000871"/>
    <w:rsid w:val="0000093E"/>
    <w:rsid w:val="00000B5A"/>
    <w:rsid w:val="00000F47"/>
    <w:rsid w:val="000016E1"/>
    <w:rsid w:val="00001A56"/>
    <w:rsid w:val="00001FE4"/>
    <w:rsid w:val="00002320"/>
    <w:rsid w:val="000024D8"/>
    <w:rsid w:val="0000274F"/>
    <w:rsid w:val="00002779"/>
    <w:rsid w:val="00002825"/>
    <w:rsid w:val="00002ED5"/>
    <w:rsid w:val="00002EE6"/>
    <w:rsid w:val="00004AF7"/>
    <w:rsid w:val="00005477"/>
    <w:rsid w:val="000056A3"/>
    <w:rsid w:val="00005AA0"/>
    <w:rsid w:val="00005AB2"/>
    <w:rsid w:val="00005C61"/>
    <w:rsid w:val="00005F85"/>
    <w:rsid w:val="000064F2"/>
    <w:rsid w:val="00006545"/>
    <w:rsid w:val="00006613"/>
    <w:rsid w:val="00006815"/>
    <w:rsid w:val="00007464"/>
    <w:rsid w:val="00007779"/>
    <w:rsid w:val="000079F1"/>
    <w:rsid w:val="00007A47"/>
    <w:rsid w:val="00007A85"/>
    <w:rsid w:val="00007F5B"/>
    <w:rsid w:val="00010571"/>
    <w:rsid w:val="0001058E"/>
    <w:rsid w:val="00010A1D"/>
    <w:rsid w:val="00010FB2"/>
    <w:rsid w:val="000111A8"/>
    <w:rsid w:val="00011B38"/>
    <w:rsid w:val="000126F1"/>
    <w:rsid w:val="00012B39"/>
    <w:rsid w:val="00012D0A"/>
    <w:rsid w:val="00012D68"/>
    <w:rsid w:val="00013387"/>
    <w:rsid w:val="000138FA"/>
    <w:rsid w:val="00013DD9"/>
    <w:rsid w:val="00013F7F"/>
    <w:rsid w:val="0001403A"/>
    <w:rsid w:val="00014476"/>
    <w:rsid w:val="0001447C"/>
    <w:rsid w:val="000145FD"/>
    <w:rsid w:val="00014634"/>
    <w:rsid w:val="00014ED9"/>
    <w:rsid w:val="00015167"/>
    <w:rsid w:val="0001526F"/>
    <w:rsid w:val="000154A2"/>
    <w:rsid w:val="000157DC"/>
    <w:rsid w:val="0001595F"/>
    <w:rsid w:val="00015D05"/>
    <w:rsid w:val="000166FD"/>
    <w:rsid w:val="00016C55"/>
    <w:rsid w:val="0001714D"/>
    <w:rsid w:val="0001716D"/>
    <w:rsid w:val="000178F0"/>
    <w:rsid w:val="00020300"/>
    <w:rsid w:val="00020308"/>
    <w:rsid w:val="0002059D"/>
    <w:rsid w:val="00020AF3"/>
    <w:rsid w:val="00021363"/>
    <w:rsid w:val="000213BF"/>
    <w:rsid w:val="00021485"/>
    <w:rsid w:val="000216EE"/>
    <w:rsid w:val="00021B39"/>
    <w:rsid w:val="00021DEB"/>
    <w:rsid w:val="000222AE"/>
    <w:rsid w:val="0002246F"/>
    <w:rsid w:val="00022A26"/>
    <w:rsid w:val="00022CCD"/>
    <w:rsid w:val="00022EE9"/>
    <w:rsid w:val="000230FF"/>
    <w:rsid w:val="000233CE"/>
    <w:rsid w:val="0002341B"/>
    <w:rsid w:val="00023473"/>
    <w:rsid w:val="00023E8C"/>
    <w:rsid w:val="00024499"/>
    <w:rsid w:val="00024CAF"/>
    <w:rsid w:val="00025363"/>
    <w:rsid w:val="00025631"/>
    <w:rsid w:val="00025A7F"/>
    <w:rsid w:val="00025C8C"/>
    <w:rsid w:val="00026016"/>
    <w:rsid w:val="0002607B"/>
    <w:rsid w:val="000271F8"/>
    <w:rsid w:val="000275A0"/>
    <w:rsid w:val="000275BD"/>
    <w:rsid w:val="000279E9"/>
    <w:rsid w:val="00030900"/>
    <w:rsid w:val="00030B38"/>
    <w:rsid w:val="00030CFE"/>
    <w:rsid w:val="00030EF6"/>
    <w:rsid w:val="000312A6"/>
    <w:rsid w:val="00031738"/>
    <w:rsid w:val="00031FBC"/>
    <w:rsid w:val="00032C68"/>
    <w:rsid w:val="00033108"/>
    <w:rsid w:val="000332F2"/>
    <w:rsid w:val="00033318"/>
    <w:rsid w:val="000333F7"/>
    <w:rsid w:val="00033696"/>
    <w:rsid w:val="00033B3C"/>
    <w:rsid w:val="00033DE1"/>
    <w:rsid w:val="00034017"/>
    <w:rsid w:val="000340CE"/>
    <w:rsid w:val="000340EB"/>
    <w:rsid w:val="000341C3"/>
    <w:rsid w:val="00034277"/>
    <w:rsid w:val="00034EB5"/>
    <w:rsid w:val="00035C05"/>
    <w:rsid w:val="000372BF"/>
    <w:rsid w:val="00037FBD"/>
    <w:rsid w:val="0004027B"/>
    <w:rsid w:val="00040979"/>
    <w:rsid w:val="00040D1B"/>
    <w:rsid w:val="00040EED"/>
    <w:rsid w:val="00041079"/>
    <w:rsid w:val="000418EB"/>
    <w:rsid w:val="00041978"/>
    <w:rsid w:val="00041B30"/>
    <w:rsid w:val="00041C7C"/>
    <w:rsid w:val="00041DB8"/>
    <w:rsid w:val="00042241"/>
    <w:rsid w:val="000425D9"/>
    <w:rsid w:val="00042762"/>
    <w:rsid w:val="000427B1"/>
    <w:rsid w:val="00042BF9"/>
    <w:rsid w:val="00042E50"/>
    <w:rsid w:val="00043271"/>
    <w:rsid w:val="0004374E"/>
    <w:rsid w:val="000437B4"/>
    <w:rsid w:val="00043A53"/>
    <w:rsid w:val="00043E48"/>
    <w:rsid w:val="000440BD"/>
    <w:rsid w:val="000442CD"/>
    <w:rsid w:val="00044364"/>
    <w:rsid w:val="00044845"/>
    <w:rsid w:val="000448B4"/>
    <w:rsid w:val="00044C5A"/>
    <w:rsid w:val="00045B6B"/>
    <w:rsid w:val="00045BA9"/>
    <w:rsid w:val="00045CED"/>
    <w:rsid w:val="000469D2"/>
    <w:rsid w:val="000470E5"/>
    <w:rsid w:val="00047270"/>
    <w:rsid w:val="000504AC"/>
    <w:rsid w:val="000509A0"/>
    <w:rsid w:val="00050C75"/>
    <w:rsid w:val="0005116F"/>
    <w:rsid w:val="000518C1"/>
    <w:rsid w:val="0005199F"/>
    <w:rsid w:val="00052218"/>
    <w:rsid w:val="00052934"/>
    <w:rsid w:val="00052CB6"/>
    <w:rsid w:val="000531B4"/>
    <w:rsid w:val="00053346"/>
    <w:rsid w:val="00053B49"/>
    <w:rsid w:val="0005431E"/>
    <w:rsid w:val="00054555"/>
    <w:rsid w:val="000546CD"/>
    <w:rsid w:val="000547CC"/>
    <w:rsid w:val="00054C9F"/>
    <w:rsid w:val="00054DE5"/>
    <w:rsid w:val="00055AC4"/>
    <w:rsid w:val="00055E25"/>
    <w:rsid w:val="0005603E"/>
    <w:rsid w:val="00056196"/>
    <w:rsid w:val="00056896"/>
    <w:rsid w:val="00056BF6"/>
    <w:rsid w:val="000605A6"/>
    <w:rsid w:val="0006071F"/>
    <w:rsid w:val="00060962"/>
    <w:rsid w:val="00060A0A"/>
    <w:rsid w:val="00060D38"/>
    <w:rsid w:val="0006131F"/>
    <w:rsid w:val="000613AD"/>
    <w:rsid w:val="000617DB"/>
    <w:rsid w:val="0006186E"/>
    <w:rsid w:val="00061BB8"/>
    <w:rsid w:val="00061F32"/>
    <w:rsid w:val="00062D49"/>
    <w:rsid w:val="0006339C"/>
    <w:rsid w:val="00063847"/>
    <w:rsid w:val="00063BAE"/>
    <w:rsid w:val="00063FB5"/>
    <w:rsid w:val="00064212"/>
    <w:rsid w:val="00064EF0"/>
    <w:rsid w:val="00065A12"/>
    <w:rsid w:val="00065B40"/>
    <w:rsid w:val="000661C3"/>
    <w:rsid w:val="00066B8E"/>
    <w:rsid w:val="0006711D"/>
    <w:rsid w:val="0006773E"/>
    <w:rsid w:val="00067779"/>
    <w:rsid w:val="00067893"/>
    <w:rsid w:val="00067B6D"/>
    <w:rsid w:val="00067C84"/>
    <w:rsid w:val="000704EB"/>
    <w:rsid w:val="00070613"/>
    <w:rsid w:val="00072846"/>
    <w:rsid w:val="0007285E"/>
    <w:rsid w:val="00072E43"/>
    <w:rsid w:val="00073FFD"/>
    <w:rsid w:val="00074344"/>
    <w:rsid w:val="00074E30"/>
    <w:rsid w:val="00075014"/>
    <w:rsid w:val="0007539F"/>
    <w:rsid w:val="000753C1"/>
    <w:rsid w:val="00075506"/>
    <w:rsid w:val="000759A3"/>
    <w:rsid w:val="00075DA6"/>
    <w:rsid w:val="00076B7A"/>
    <w:rsid w:val="00076BC7"/>
    <w:rsid w:val="00076DE8"/>
    <w:rsid w:val="00077859"/>
    <w:rsid w:val="00077BA1"/>
    <w:rsid w:val="00077BDF"/>
    <w:rsid w:val="00077C57"/>
    <w:rsid w:val="000801E8"/>
    <w:rsid w:val="00080D13"/>
    <w:rsid w:val="00080DC3"/>
    <w:rsid w:val="00080FC3"/>
    <w:rsid w:val="000812C7"/>
    <w:rsid w:val="00081841"/>
    <w:rsid w:val="00081F58"/>
    <w:rsid w:val="0008237A"/>
    <w:rsid w:val="00082E89"/>
    <w:rsid w:val="000831F3"/>
    <w:rsid w:val="00083DAE"/>
    <w:rsid w:val="00084FC1"/>
    <w:rsid w:val="00085AA4"/>
    <w:rsid w:val="00085B24"/>
    <w:rsid w:val="00085EFA"/>
    <w:rsid w:val="000860D3"/>
    <w:rsid w:val="000866B2"/>
    <w:rsid w:val="00086783"/>
    <w:rsid w:val="00086BAC"/>
    <w:rsid w:val="000874BC"/>
    <w:rsid w:val="00087D2D"/>
    <w:rsid w:val="000900C6"/>
    <w:rsid w:val="00090912"/>
    <w:rsid w:val="00091203"/>
    <w:rsid w:val="00091B09"/>
    <w:rsid w:val="00091BB5"/>
    <w:rsid w:val="00092AA2"/>
    <w:rsid w:val="0009321F"/>
    <w:rsid w:val="000934DC"/>
    <w:rsid w:val="000934FD"/>
    <w:rsid w:val="0009362A"/>
    <w:rsid w:val="00093884"/>
    <w:rsid w:val="00093EA2"/>
    <w:rsid w:val="000942EA"/>
    <w:rsid w:val="0009498D"/>
    <w:rsid w:val="00094C24"/>
    <w:rsid w:val="00095712"/>
    <w:rsid w:val="0009597A"/>
    <w:rsid w:val="00095E39"/>
    <w:rsid w:val="000968A1"/>
    <w:rsid w:val="00096AAC"/>
    <w:rsid w:val="00096B28"/>
    <w:rsid w:val="00096D55"/>
    <w:rsid w:val="00096D57"/>
    <w:rsid w:val="00096F0E"/>
    <w:rsid w:val="00097CBF"/>
    <w:rsid w:val="000A081E"/>
    <w:rsid w:val="000A0C5A"/>
    <w:rsid w:val="000A0FB7"/>
    <w:rsid w:val="000A10FD"/>
    <w:rsid w:val="000A17B4"/>
    <w:rsid w:val="000A1DBC"/>
    <w:rsid w:val="000A1ED4"/>
    <w:rsid w:val="000A2058"/>
    <w:rsid w:val="000A2A7D"/>
    <w:rsid w:val="000A2CFA"/>
    <w:rsid w:val="000A2F1D"/>
    <w:rsid w:val="000A3326"/>
    <w:rsid w:val="000A35C8"/>
    <w:rsid w:val="000A3BC2"/>
    <w:rsid w:val="000A3CDE"/>
    <w:rsid w:val="000A54CD"/>
    <w:rsid w:val="000A55CE"/>
    <w:rsid w:val="000A5820"/>
    <w:rsid w:val="000A6117"/>
    <w:rsid w:val="000A6616"/>
    <w:rsid w:val="000A6786"/>
    <w:rsid w:val="000A756F"/>
    <w:rsid w:val="000A7600"/>
    <w:rsid w:val="000A7CF6"/>
    <w:rsid w:val="000B056C"/>
    <w:rsid w:val="000B0864"/>
    <w:rsid w:val="000B0A19"/>
    <w:rsid w:val="000B0FA7"/>
    <w:rsid w:val="000B14CD"/>
    <w:rsid w:val="000B16DC"/>
    <w:rsid w:val="000B1961"/>
    <w:rsid w:val="000B1AC3"/>
    <w:rsid w:val="000B1DE9"/>
    <w:rsid w:val="000B253F"/>
    <w:rsid w:val="000B2818"/>
    <w:rsid w:val="000B2A66"/>
    <w:rsid w:val="000B2C5A"/>
    <w:rsid w:val="000B312D"/>
    <w:rsid w:val="000B3131"/>
    <w:rsid w:val="000B32A0"/>
    <w:rsid w:val="000B32E6"/>
    <w:rsid w:val="000B3465"/>
    <w:rsid w:val="000B3D11"/>
    <w:rsid w:val="000B4353"/>
    <w:rsid w:val="000B45DC"/>
    <w:rsid w:val="000B51F8"/>
    <w:rsid w:val="000B57F8"/>
    <w:rsid w:val="000B5D3D"/>
    <w:rsid w:val="000B5F77"/>
    <w:rsid w:val="000B60AB"/>
    <w:rsid w:val="000B6C50"/>
    <w:rsid w:val="000B7851"/>
    <w:rsid w:val="000B7C20"/>
    <w:rsid w:val="000C009C"/>
    <w:rsid w:val="000C0745"/>
    <w:rsid w:val="000C07C6"/>
    <w:rsid w:val="000C08C5"/>
    <w:rsid w:val="000C0AF3"/>
    <w:rsid w:val="000C0CE0"/>
    <w:rsid w:val="000C1066"/>
    <w:rsid w:val="000C11BC"/>
    <w:rsid w:val="000C1CB2"/>
    <w:rsid w:val="000C1E78"/>
    <w:rsid w:val="000C380D"/>
    <w:rsid w:val="000C3858"/>
    <w:rsid w:val="000C3FC6"/>
    <w:rsid w:val="000C3FEB"/>
    <w:rsid w:val="000C40F1"/>
    <w:rsid w:val="000C4CAD"/>
    <w:rsid w:val="000C567A"/>
    <w:rsid w:val="000C5A4E"/>
    <w:rsid w:val="000C5C41"/>
    <w:rsid w:val="000C5FB4"/>
    <w:rsid w:val="000C6025"/>
    <w:rsid w:val="000C654E"/>
    <w:rsid w:val="000C660F"/>
    <w:rsid w:val="000C6631"/>
    <w:rsid w:val="000C70F0"/>
    <w:rsid w:val="000C7251"/>
    <w:rsid w:val="000C72DC"/>
    <w:rsid w:val="000C7AE6"/>
    <w:rsid w:val="000C7EDE"/>
    <w:rsid w:val="000D0040"/>
    <w:rsid w:val="000D0372"/>
    <w:rsid w:val="000D0C54"/>
    <w:rsid w:val="000D0C71"/>
    <w:rsid w:val="000D1038"/>
    <w:rsid w:val="000D13ED"/>
    <w:rsid w:val="000D16EB"/>
    <w:rsid w:val="000D1894"/>
    <w:rsid w:val="000D1A12"/>
    <w:rsid w:val="000D1C3A"/>
    <w:rsid w:val="000D1E53"/>
    <w:rsid w:val="000D1E81"/>
    <w:rsid w:val="000D2604"/>
    <w:rsid w:val="000D27F3"/>
    <w:rsid w:val="000D2C4F"/>
    <w:rsid w:val="000D2CBC"/>
    <w:rsid w:val="000D3569"/>
    <w:rsid w:val="000D3661"/>
    <w:rsid w:val="000D42F2"/>
    <w:rsid w:val="000D48AC"/>
    <w:rsid w:val="000D4B4E"/>
    <w:rsid w:val="000D4E31"/>
    <w:rsid w:val="000D4E48"/>
    <w:rsid w:val="000D5244"/>
    <w:rsid w:val="000D529F"/>
    <w:rsid w:val="000D5598"/>
    <w:rsid w:val="000D6245"/>
    <w:rsid w:val="000D6B06"/>
    <w:rsid w:val="000D78CF"/>
    <w:rsid w:val="000E02A3"/>
    <w:rsid w:val="000E03E9"/>
    <w:rsid w:val="000E07ED"/>
    <w:rsid w:val="000E0ECD"/>
    <w:rsid w:val="000E10A4"/>
    <w:rsid w:val="000E19CE"/>
    <w:rsid w:val="000E1A33"/>
    <w:rsid w:val="000E23D5"/>
    <w:rsid w:val="000E330E"/>
    <w:rsid w:val="000E384D"/>
    <w:rsid w:val="000E4100"/>
    <w:rsid w:val="000E4207"/>
    <w:rsid w:val="000E42A2"/>
    <w:rsid w:val="000E4875"/>
    <w:rsid w:val="000E492C"/>
    <w:rsid w:val="000E49FC"/>
    <w:rsid w:val="000E4A13"/>
    <w:rsid w:val="000E4B31"/>
    <w:rsid w:val="000E4B48"/>
    <w:rsid w:val="000E5313"/>
    <w:rsid w:val="000E539E"/>
    <w:rsid w:val="000E5B21"/>
    <w:rsid w:val="000E6341"/>
    <w:rsid w:val="000E686A"/>
    <w:rsid w:val="000E6879"/>
    <w:rsid w:val="000E70F7"/>
    <w:rsid w:val="000E75F0"/>
    <w:rsid w:val="000E77EF"/>
    <w:rsid w:val="000E7879"/>
    <w:rsid w:val="000F042B"/>
    <w:rsid w:val="000F1AC6"/>
    <w:rsid w:val="000F1AF5"/>
    <w:rsid w:val="000F25B7"/>
    <w:rsid w:val="000F3148"/>
    <w:rsid w:val="000F3473"/>
    <w:rsid w:val="000F4BF0"/>
    <w:rsid w:val="000F4C18"/>
    <w:rsid w:val="000F5114"/>
    <w:rsid w:val="000F52DD"/>
    <w:rsid w:val="000F541A"/>
    <w:rsid w:val="000F57B6"/>
    <w:rsid w:val="000F5B7D"/>
    <w:rsid w:val="000F66F0"/>
    <w:rsid w:val="000F67DC"/>
    <w:rsid w:val="000F683D"/>
    <w:rsid w:val="000F690E"/>
    <w:rsid w:val="000F6FF0"/>
    <w:rsid w:val="000F71FE"/>
    <w:rsid w:val="000F7766"/>
    <w:rsid w:val="000F7954"/>
    <w:rsid w:val="000F7E96"/>
    <w:rsid w:val="000F7EAE"/>
    <w:rsid w:val="00100177"/>
    <w:rsid w:val="001004FA"/>
    <w:rsid w:val="00100A48"/>
    <w:rsid w:val="00100D19"/>
    <w:rsid w:val="00100EAE"/>
    <w:rsid w:val="00101225"/>
    <w:rsid w:val="0010144C"/>
    <w:rsid w:val="0010181A"/>
    <w:rsid w:val="00101986"/>
    <w:rsid w:val="00101B11"/>
    <w:rsid w:val="00101DAD"/>
    <w:rsid w:val="00102675"/>
    <w:rsid w:val="0010390A"/>
    <w:rsid w:val="00103C71"/>
    <w:rsid w:val="001040CF"/>
    <w:rsid w:val="00104265"/>
    <w:rsid w:val="0010473F"/>
    <w:rsid w:val="00104DFF"/>
    <w:rsid w:val="00104FD6"/>
    <w:rsid w:val="00105115"/>
    <w:rsid w:val="0010560D"/>
    <w:rsid w:val="001058E6"/>
    <w:rsid w:val="00105B37"/>
    <w:rsid w:val="00106494"/>
    <w:rsid w:val="00106799"/>
    <w:rsid w:val="001067FA"/>
    <w:rsid w:val="001069C1"/>
    <w:rsid w:val="00106F04"/>
    <w:rsid w:val="0010780B"/>
    <w:rsid w:val="0010785F"/>
    <w:rsid w:val="00107DE3"/>
    <w:rsid w:val="00107E69"/>
    <w:rsid w:val="00107EA7"/>
    <w:rsid w:val="00110454"/>
    <w:rsid w:val="00110B88"/>
    <w:rsid w:val="00110E98"/>
    <w:rsid w:val="00111C8F"/>
    <w:rsid w:val="00112066"/>
    <w:rsid w:val="001120F2"/>
    <w:rsid w:val="001122D0"/>
    <w:rsid w:val="00112591"/>
    <w:rsid w:val="00112637"/>
    <w:rsid w:val="001128B5"/>
    <w:rsid w:val="00113090"/>
    <w:rsid w:val="00113750"/>
    <w:rsid w:val="001139A8"/>
    <w:rsid w:val="001139E4"/>
    <w:rsid w:val="00113E80"/>
    <w:rsid w:val="0011403D"/>
    <w:rsid w:val="001141FB"/>
    <w:rsid w:val="001143E4"/>
    <w:rsid w:val="00114B49"/>
    <w:rsid w:val="00114ED5"/>
    <w:rsid w:val="00115648"/>
    <w:rsid w:val="00115EA1"/>
    <w:rsid w:val="0011604D"/>
    <w:rsid w:val="00116558"/>
    <w:rsid w:val="00116FEC"/>
    <w:rsid w:val="00117269"/>
    <w:rsid w:val="001174A8"/>
    <w:rsid w:val="00117CA3"/>
    <w:rsid w:val="00117E46"/>
    <w:rsid w:val="00117FB3"/>
    <w:rsid w:val="00120222"/>
    <w:rsid w:val="001204FC"/>
    <w:rsid w:val="00120548"/>
    <w:rsid w:val="00120B7D"/>
    <w:rsid w:val="00120D10"/>
    <w:rsid w:val="00121319"/>
    <w:rsid w:val="00121770"/>
    <w:rsid w:val="00121A91"/>
    <w:rsid w:val="00121B3A"/>
    <w:rsid w:val="00122450"/>
    <w:rsid w:val="00122550"/>
    <w:rsid w:val="001227A0"/>
    <w:rsid w:val="001231AA"/>
    <w:rsid w:val="00123483"/>
    <w:rsid w:val="00124C76"/>
    <w:rsid w:val="00124E47"/>
    <w:rsid w:val="00124F90"/>
    <w:rsid w:val="0012509F"/>
    <w:rsid w:val="00125101"/>
    <w:rsid w:val="001256CF"/>
    <w:rsid w:val="001256D3"/>
    <w:rsid w:val="00125CC2"/>
    <w:rsid w:val="001278A2"/>
    <w:rsid w:val="00130D88"/>
    <w:rsid w:val="00130EF9"/>
    <w:rsid w:val="0013112A"/>
    <w:rsid w:val="0013112E"/>
    <w:rsid w:val="00131979"/>
    <w:rsid w:val="001324D7"/>
    <w:rsid w:val="001327B9"/>
    <w:rsid w:val="001329DF"/>
    <w:rsid w:val="0013329C"/>
    <w:rsid w:val="001333FD"/>
    <w:rsid w:val="0013408E"/>
    <w:rsid w:val="001340CE"/>
    <w:rsid w:val="00134578"/>
    <w:rsid w:val="0013511C"/>
    <w:rsid w:val="001353F4"/>
    <w:rsid w:val="00135DB5"/>
    <w:rsid w:val="00135E08"/>
    <w:rsid w:val="0013656A"/>
    <w:rsid w:val="00136B4D"/>
    <w:rsid w:val="00137264"/>
    <w:rsid w:val="00137E61"/>
    <w:rsid w:val="00140BD4"/>
    <w:rsid w:val="0014136E"/>
    <w:rsid w:val="00142E4A"/>
    <w:rsid w:val="00142FBA"/>
    <w:rsid w:val="00143112"/>
    <w:rsid w:val="00143116"/>
    <w:rsid w:val="00143137"/>
    <w:rsid w:val="00143685"/>
    <w:rsid w:val="00143DD3"/>
    <w:rsid w:val="0014423D"/>
    <w:rsid w:val="00144920"/>
    <w:rsid w:val="00144AAD"/>
    <w:rsid w:val="00146012"/>
    <w:rsid w:val="0014628C"/>
    <w:rsid w:val="001462D5"/>
    <w:rsid w:val="00146698"/>
    <w:rsid w:val="00146A33"/>
    <w:rsid w:val="00146B8D"/>
    <w:rsid w:val="00146C60"/>
    <w:rsid w:val="00146D7A"/>
    <w:rsid w:val="00146E77"/>
    <w:rsid w:val="00146F68"/>
    <w:rsid w:val="001471A9"/>
    <w:rsid w:val="0014759E"/>
    <w:rsid w:val="0014796F"/>
    <w:rsid w:val="00147E4E"/>
    <w:rsid w:val="001504A4"/>
    <w:rsid w:val="001509B2"/>
    <w:rsid w:val="001519C2"/>
    <w:rsid w:val="00151A73"/>
    <w:rsid w:val="00151CE1"/>
    <w:rsid w:val="00151FBE"/>
    <w:rsid w:val="0015215A"/>
    <w:rsid w:val="00152948"/>
    <w:rsid w:val="00152DA0"/>
    <w:rsid w:val="00152DE0"/>
    <w:rsid w:val="00153259"/>
    <w:rsid w:val="0015349D"/>
    <w:rsid w:val="00153A29"/>
    <w:rsid w:val="00153E86"/>
    <w:rsid w:val="0015477A"/>
    <w:rsid w:val="00155685"/>
    <w:rsid w:val="00155EE0"/>
    <w:rsid w:val="00156067"/>
    <w:rsid w:val="00156071"/>
    <w:rsid w:val="001561CF"/>
    <w:rsid w:val="001562B9"/>
    <w:rsid w:val="00156538"/>
    <w:rsid w:val="0015657B"/>
    <w:rsid w:val="00157562"/>
    <w:rsid w:val="00157895"/>
    <w:rsid w:val="00157B19"/>
    <w:rsid w:val="00157E2B"/>
    <w:rsid w:val="001612BB"/>
    <w:rsid w:val="00161D7E"/>
    <w:rsid w:val="00162033"/>
    <w:rsid w:val="00162660"/>
    <w:rsid w:val="00162BE2"/>
    <w:rsid w:val="00162E45"/>
    <w:rsid w:val="0016313B"/>
    <w:rsid w:val="0016369E"/>
    <w:rsid w:val="0016408C"/>
    <w:rsid w:val="00164153"/>
    <w:rsid w:val="00164468"/>
    <w:rsid w:val="001646B2"/>
    <w:rsid w:val="00165987"/>
    <w:rsid w:val="00165B05"/>
    <w:rsid w:val="00165F27"/>
    <w:rsid w:val="00166381"/>
    <w:rsid w:val="00166568"/>
    <w:rsid w:val="00166ED0"/>
    <w:rsid w:val="001675D5"/>
    <w:rsid w:val="001678F4"/>
    <w:rsid w:val="001706ED"/>
    <w:rsid w:val="00170D35"/>
    <w:rsid w:val="00170D8A"/>
    <w:rsid w:val="00171149"/>
    <w:rsid w:val="001715FF"/>
    <w:rsid w:val="00172046"/>
    <w:rsid w:val="0017230D"/>
    <w:rsid w:val="00172469"/>
    <w:rsid w:val="001727C0"/>
    <w:rsid w:val="00172CDC"/>
    <w:rsid w:val="00172FA3"/>
    <w:rsid w:val="001730A2"/>
    <w:rsid w:val="0017314B"/>
    <w:rsid w:val="001734BF"/>
    <w:rsid w:val="001734FE"/>
    <w:rsid w:val="001737CA"/>
    <w:rsid w:val="001737F0"/>
    <w:rsid w:val="00173D05"/>
    <w:rsid w:val="00174AC5"/>
    <w:rsid w:val="00174B11"/>
    <w:rsid w:val="001752CF"/>
    <w:rsid w:val="001759B1"/>
    <w:rsid w:val="00175AF5"/>
    <w:rsid w:val="00175DD2"/>
    <w:rsid w:val="001768AB"/>
    <w:rsid w:val="00176E22"/>
    <w:rsid w:val="00177B79"/>
    <w:rsid w:val="00177F8C"/>
    <w:rsid w:val="00180136"/>
    <w:rsid w:val="00180912"/>
    <w:rsid w:val="00180E67"/>
    <w:rsid w:val="001814B4"/>
    <w:rsid w:val="001817EC"/>
    <w:rsid w:val="001818CC"/>
    <w:rsid w:val="00182160"/>
    <w:rsid w:val="001826FD"/>
    <w:rsid w:val="00182A76"/>
    <w:rsid w:val="00183414"/>
    <w:rsid w:val="001839B2"/>
    <w:rsid w:val="00183AE7"/>
    <w:rsid w:val="00183C99"/>
    <w:rsid w:val="00183CE7"/>
    <w:rsid w:val="00184017"/>
    <w:rsid w:val="00184589"/>
    <w:rsid w:val="0018540C"/>
    <w:rsid w:val="00185A90"/>
    <w:rsid w:val="00185C4C"/>
    <w:rsid w:val="001865B6"/>
    <w:rsid w:val="001865EF"/>
    <w:rsid w:val="00186932"/>
    <w:rsid w:val="0018704D"/>
    <w:rsid w:val="001872C8"/>
    <w:rsid w:val="001879C7"/>
    <w:rsid w:val="0019085F"/>
    <w:rsid w:val="00190FCF"/>
    <w:rsid w:val="00191207"/>
    <w:rsid w:val="00191A56"/>
    <w:rsid w:val="001920DF"/>
    <w:rsid w:val="00192249"/>
    <w:rsid w:val="001924C0"/>
    <w:rsid w:val="00192BBA"/>
    <w:rsid w:val="00192FDE"/>
    <w:rsid w:val="00193114"/>
    <w:rsid w:val="00194440"/>
    <w:rsid w:val="001947EE"/>
    <w:rsid w:val="0019488B"/>
    <w:rsid w:val="00194A1B"/>
    <w:rsid w:val="0019537A"/>
    <w:rsid w:val="001955BB"/>
    <w:rsid w:val="0019689D"/>
    <w:rsid w:val="00196F6C"/>
    <w:rsid w:val="00197828"/>
    <w:rsid w:val="00197FF5"/>
    <w:rsid w:val="001A0533"/>
    <w:rsid w:val="001A0632"/>
    <w:rsid w:val="001A069D"/>
    <w:rsid w:val="001A0C53"/>
    <w:rsid w:val="001A0C90"/>
    <w:rsid w:val="001A0E8D"/>
    <w:rsid w:val="001A16BF"/>
    <w:rsid w:val="001A19EF"/>
    <w:rsid w:val="001A1D74"/>
    <w:rsid w:val="001A217C"/>
    <w:rsid w:val="001A27A0"/>
    <w:rsid w:val="001A2869"/>
    <w:rsid w:val="001A2AC4"/>
    <w:rsid w:val="001A33A7"/>
    <w:rsid w:val="001A4A92"/>
    <w:rsid w:val="001A4D4B"/>
    <w:rsid w:val="001A5526"/>
    <w:rsid w:val="001A555F"/>
    <w:rsid w:val="001A558B"/>
    <w:rsid w:val="001A5A8F"/>
    <w:rsid w:val="001A5B61"/>
    <w:rsid w:val="001A5CA8"/>
    <w:rsid w:val="001A683E"/>
    <w:rsid w:val="001A6912"/>
    <w:rsid w:val="001A69F5"/>
    <w:rsid w:val="001A7004"/>
    <w:rsid w:val="001A747B"/>
    <w:rsid w:val="001A7F41"/>
    <w:rsid w:val="001B01C1"/>
    <w:rsid w:val="001B0951"/>
    <w:rsid w:val="001B0AE5"/>
    <w:rsid w:val="001B0EFC"/>
    <w:rsid w:val="001B0FDF"/>
    <w:rsid w:val="001B0FE0"/>
    <w:rsid w:val="001B172E"/>
    <w:rsid w:val="001B187F"/>
    <w:rsid w:val="001B1DD9"/>
    <w:rsid w:val="001B1DEB"/>
    <w:rsid w:val="001B2151"/>
    <w:rsid w:val="001B22E3"/>
    <w:rsid w:val="001B25A1"/>
    <w:rsid w:val="001B30F5"/>
    <w:rsid w:val="001B31B1"/>
    <w:rsid w:val="001B31BE"/>
    <w:rsid w:val="001B32D3"/>
    <w:rsid w:val="001B3347"/>
    <w:rsid w:val="001B39F8"/>
    <w:rsid w:val="001B3AF8"/>
    <w:rsid w:val="001B4086"/>
    <w:rsid w:val="001B4996"/>
    <w:rsid w:val="001B4AE1"/>
    <w:rsid w:val="001B5283"/>
    <w:rsid w:val="001B5730"/>
    <w:rsid w:val="001B57ED"/>
    <w:rsid w:val="001B5DCD"/>
    <w:rsid w:val="001B6AE1"/>
    <w:rsid w:val="001B7063"/>
    <w:rsid w:val="001B73E7"/>
    <w:rsid w:val="001B767E"/>
    <w:rsid w:val="001B7F20"/>
    <w:rsid w:val="001C0461"/>
    <w:rsid w:val="001C088C"/>
    <w:rsid w:val="001C0ACA"/>
    <w:rsid w:val="001C13FA"/>
    <w:rsid w:val="001C1457"/>
    <w:rsid w:val="001C163F"/>
    <w:rsid w:val="001C2017"/>
    <w:rsid w:val="001C2134"/>
    <w:rsid w:val="001C2186"/>
    <w:rsid w:val="001C2AC2"/>
    <w:rsid w:val="001C34BB"/>
    <w:rsid w:val="001C389D"/>
    <w:rsid w:val="001C3B72"/>
    <w:rsid w:val="001C3B81"/>
    <w:rsid w:val="001C3CC7"/>
    <w:rsid w:val="001C41D7"/>
    <w:rsid w:val="001C4F22"/>
    <w:rsid w:val="001C5579"/>
    <w:rsid w:val="001C5FDC"/>
    <w:rsid w:val="001C65B7"/>
    <w:rsid w:val="001C660F"/>
    <w:rsid w:val="001C66BA"/>
    <w:rsid w:val="001C69A8"/>
    <w:rsid w:val="001C6D50"/>
    <w:rsid w:val="001C7507"/>
    <w:rsid w:val="001C7877"/>
    <w:rsid w:val="001C78F4"/>
    <w:rsid w:val="001C790D"/>
    <w:rsid w:val="001C7D48"/>
    <w:rsid w:val="001D00BD"/>
    <w:rsid w:val="001D07B9"/>
    <w:rsid w:val="001D090B"/>
    <w:rsid w:val="001D0F87"/>
    <w:rsid w:val="001D1701"/>
    <w:rsid w:val="001D1AA0"/>
    <w:rsid w:val="001D1B5D"/>
    <w:rsid w:val="001D21CE"/>
    <w:rsid w:val="001D2613"/>
    <w:rsid w:val="001D261E"/>
    <w:rsid w:val="001D2AB5"/>
    <w:rsid w:val="001D380E"/>
    <w:rsid w:val="001D3811"/>
    <w:rsid w:val="001D3B3F"/>
    <w:rsid w:val="001D4D39"/>
    <w:rsid w:val="001D5740"/>
    <w:rsid w:val="001D5A1D"/>
    <w:rsid w:val="001D5C07"/>
    <w:rsid w:val="001D5CAF"/>
    <w:rsid w:val="001D6503"/>
    <w:rsid w:val="001D66F1"/>
    <w:rsid w:val="001D7080"/>
    <w:rsid w:val="001D7492"/>
    <w:rsid w:val="001D7C85"/>
    <w:rsid w:val="001E0231"/>
    <w:rsid w:val="001E05CE"/>
    <w:rsid w:val="001E1281"/>
    <w:rsid w:val="001E1282"/>
    <w:rsid w:val="001E1C23"/>
    <w:rsid w:val="001E22D5"/>
    <w:rsid w:val="001E2A4A"/>
    <w:rsid w:val="001E3356"/>
    <w:rsid w:val="001E36EC"/>
    <w:rsid w:val="001E49F9"/>
    <w:rsid w:val="001E49FD"/>
    <w:rsid w:val="001E4E68"/>
    <w:rsid w:val="001E5253"/>
    <w:rsid w:val="001E599B"/>
    <w:rsid w:val="001E5BDC"/>
    <w:rsid w:val="001E63FF"/>
    <w:rsid w:val="001E66EC"/>
    <w:rsid w:val="001E7D54"/>
    <w:rsid w:val="001E7E49"/>
    <w:rsid w:val="001F0400"/>
    <w:rsid w:val="001F0E16"/>
    <w:rsid w:val="001F1B5A"/>
    <w:rsid w:val="001F1EC1"/>
    <w:rsid w:val="001F251D"/>
    <w:rsid w:val="001F287C"/>
    <w:rsid w:val="001F288D"/>
    <w:rsid w:val="001F33DE"/>
    <w:rsid w:val="001F352E"/>
    <w:rsid w:val="001F3660"/>
    <w:rsid w:val="001F419C"/>
    <w:rsid w:val="001F427C"/>
    <w:rsid w:val="001F452C"/>
    <w:rsid w:val="001F4611"/>
    <w:rsid w:val="001F4ECD"/>
    <w:rsid w:val="001F52FD"/>
    <w:rsid w:val="001F59C8"/>
    <w:rsid w:val="001F5F4E"/>
    <w:rsid w:val="001F6749"/>
    <w:rsid w:val="001F6811"/>
    <w:rsid w:val="001F6936"/>
    <w:rsid w:val="001F6DD6"/>
    <w:rsid w:val="001F711E"/>
    <w:rsid w:val="001F7C99"/>
    <w:rsid w:val="001F7D89"/>
    <w:rsid w:val="001F7E7D"/>
    <w:rsid w:val="002004EC"/>
    <w:rsid w:val="00200EF9"/>
    <w:rsid w:val="002012B0"/>
    <w:rsid w:val="00201468"/>
    <w:rsid w:val="002017BA"/>
    <w:rsid w:val="0020313D"/>
    <w:rsid w:val="002031EA"/>
    <w:rsid w:val="0020370D"/>
    <w:rsid w:val="00204C7D"/>
    <w:rsid w:val="00205C40"/>
    <w:rsid w:val="00206205"/>
    <w:rsid w:val="0020622B"/>
    <w:rsid w:val="00206A7B"/>
    <w:rsid w:val="00207A39"/>
    <w:rsid w:val="00207CA6"/>
    <w:rsid w:val="002101FB"/>
    <w:rsid w:val="002104E5"/>
    <w:rsid w:val="0021101C"/>
    <w:rsid w:val="00211384"/>
    <w:rsid w:val="00211CF5"/>
    <w:rsid w:val="00212030"/>
    <w:rsid w:val="00213569"/>
    <w:rsid w:val="002138C3"/>
    <w:rsid w:val="00213CDC"/>
    <w:rsid w:val="002142BB"/>
    <w:rsid w:val="002146B3"/>
    <w:rsid w:val="002152F9"/>
    <w:rsid w:val="00215527"/>
    <w:rsid w:val="00215BE1"/>
    <w:rsid w:val="00216141"/>
    <w:rsid w:val="0021622E"/>
    <w:rsid w:val="00217155"/>
    <w:rsid w:val="00217772"/>
    <w:rsid w:val="00217848"/>
    <w:rsid w:val="002209C3"/>
    <w:rsid w:val="00220A3B"/>
    <w:rsid w:val="00220B54"/>
    <w:rsid w:val="00220D26"/>
    <w:rsid w:val="00221728"/>
    <w:rsid w:val="0022181F"/>
    <w:rsid w:val="002218C3"/>
    <w:rsid w:val="00221B56"/>
    <w:rsid w:val="0022214D"/>
    <w:rsid w:val="002227CF"/>
    <w:rsid w:val="002236FA"/>
    <w:rsid w:val="00224440"/>
    <w:rsid w:val="00224667"/>
    <w:rsid w:val="002247AF"/>
    <w:rsid w:val="0022488F"/>
    <w:rsid w:val="00224ABF"/>
    <w:rsid w:val="002255A5"/>
    <w:rsid w:val="00227538"/>
    <w:rsid w:val="00227964"/>
    <w:rsid w:val="00227A16"/>
    <w:rsid w:val="00227A98"/>
    <w:rsid w:val="00227E47"/>
    <w:rsid w:val="00227F6F"/>
    <w:rsid w:val="00227FD5"/>
    <w:rsid w:val="0023008B"/>
    <w:rsid w:val="00230BBE"/>
    <w:rsid w:val="00230FA9"/>
    <w:rsid w:val="00231643"/>
    <w:rsid w:val="00231659"/>
    <w:rsid w:val="00231966"/>
    <w:rsid w:val="00231AE9"/>
    <w:rsid w:val="00231CCD"/>
    <w:rsid w:val="00231FF3"/>
    <w:rsid w:val="00232394"/>
    <w:rsid w:val="0023249B"/>
    <w:rsid w:val="002328C6"/>
    <w:rsid w:val="00232A37"/>
    <w:rsid w:val="00233015"/>
    <w:rsid w:val="0023345E"/>
    <w:rsid w:val="002336F6"/>
    <w:rsid w:val="00233863"/>
    <w:rsid w:val="00233DDB"/>
    <w:rsid w:val="00234013"/>
    <w:rsid w:val="002346D7"/>
    <w:rsid w:val="0023471B"/>
    <w:rsid w:val="00234DF3"/>
    <w:rsid w:val="00235224"/>
    <w:rsid w:val="002353C3"/>
    <w:rsid w:val="00236144"/>
    <w:rsid w:val="0023670D"/>
    <w:rsid w:val="002369AA"/>
    <w:rsid w:val="00236FCF"/>
    <w:rsid w:val="002374D3"/>
    <w:rsid w:val="00237B4D"/>
    <w:rsid w:val="00240412"/>
    <w:rsid w:val="0024051F"/>
    <w:rsid w:val="0024077E"/>
    <w:rsid w:val="00240AE3"/>
    <w:rsid w:val="00240ECE"/>
    <w:rsid w:val="002411E1"/>
    <w:rsid w:val="002415E7"/>
    <w:rsid w:val="00241D72"/>
    <w:rsid w:val="0024265E"/>
    <w:rsid w:val="00242C10"/>
    <w:rsid w:val="00242E6E"/>
    <w:rsid w:val="0024346C"/>
    <w:rsid w:val="00244191"/>
    <w:rsid w:val="0024426C"/>
    <w:rsid w:val="00244561"/>
    <w:rsid w:val="00244813"/>
    <w:rsid w:val="00244A2C"/>
    <w:rsid w:val="00244ADE"/>
    <w:rsid w:val="00244D05"/>
    <w:rsid w:val="00244D77"/>
    <w:rsid w:val="00244FE9"/>
    <w:rsid w:val="00245056"/>
    <w:rsid w:val="002450DE"/>
    <w:rsid w:val="00245199"/>
    <w:rsid w:val="002456DA"/>
    <w:rsid w:val="00245B89"/>
    <w:rsid w:val="00246005"/>
    <w:rsid w:val="00246587"/>
    <w:rsid w:val="0024683D"/>
    <w:rsid w:val="00246ABA"/>
    <w:rsid w:val="00246B53"/>
    <w:rsid w:val="00246DA6"/>
    <w:rsid w:val="002475F6"/>
    <w:rsid w:val="00250025"/>
    <w:rsid w:val="00251067"/>
    <w:rsid w:val="00251A27"/>
    <w:rsid w:val="00251F26"/>
    <w:rsid w:val="00252076"/>
    <w:rsid w:val="00252A09"/>
    <w:rsid w:val="002533FC"/>
    <w:rsid w:val="00253719"/>
    <w:rsid w:val="002537CE"/>
    <w:rsid w:val="00253AF4"/>
    <w:rsid w:val="00253BF8"/>
    <w:rsid w:val="00253F4A"/>
    <w:rsid w:val="0025474C"/>
    <w:rsid w:val="0025491B"/>
    <w:rsid w:val="002549E6"/>
    <w:rsid w:val="002553BA"/>
    <w:rsid w:val="00255849"/>
    <w:rsid w:val="00255B29"/>
    <w:rsid w:val="00255C5A"/>
    <w:rsid w:val="00256077"/>
    <w:rsid w:val="00256437"/>
    <w:rsid w:val="00256780"/>
    <w:rsid w:val="0025725E"/>
    <w:rsid w:val="002572A0"/>
    <w:rsid w:val="002574D1"/>
    <w:rsid w:val="00257FBF"/>
    <w:rsid w:val="002614EA"/>
    <w:rsid w:val="00261D1C"/>
    <w:rsid w:val="00261ED0"/>
    <w:rsid w:val="002621C0"/>
    <w:rsid w:val="0026242D"/>
    <w:rsid w:val="0026299A"/>
    <w:rsid w:val="00262C4D"/>
    <w:rsid w:val="0026331D"/>
    <w:rsid w:val="00263A72"/>
    <w:rsid w:val="00263AFF"/>
    <w:rsid w:val="0026408E"/>
    <w:rsid w:val="0026480C"/>
    <w:rsid w:val="00264D17"/>
    <w:rsid w:val="00264EB8"/>
    <w:rsid w:val="002653AF"/>
    <w:rsid w:val="00265A85"/>
    <w:rsid w:val="00266352"/>
    <w:rsid w:val="0026653F"/>
    <w:rsid w:val="0026725A"/>
    <w:rsid w:val="00267D21"/>
    <w:rsid w:val="00267F67"/>
    <w:rsid w:val="00270200"/>
    <w:rsid w:val="00270564"/>
    <w:rsid w:val="002708B8"/>
    <w:rsid w:val="00270D4E"/>
    <w:rsid w:val="002711D5"/>
    <w:rsid w:val="002714FA"/>
    <w:rsid w:val="0027174D"/>
    <w:rsid w:val="00273699"/>
    <w:rsid w:val="00273B76"/>
    <w:rsid w:val="00274544"/>
    <w:rsid w:val="002747FC"/>
    <w:rsid w:val="00274AAF"/>
    <w:rsid w:val="00274D2F"/>
    <w:rsid w:val="00275171"/>
    <w:rsid w:val="00275188"/>
    <w:rsid w:val="0027567D"/>
    <w:rsid w:val="00275EB0"/>
    <w:rsid w:val="002765D1"/>
    <w:rsid w:val="002768E1"/>
    <w:rsid w:val="00276E2F"/>
    <w:rsid w:val="00277553"/>
    <w:rsid w:val="002775CC"/>
    <w:rsid w:val="00277D49"/>
    <w:rsid w:val="00280417"/>
    <w:rsid w:val="0028060C"/>
    <w:rsid w:val="00280F3B"/>
    <w:rsid w:val="00281840"/>
    <w:rsid w:val="00281851"/>
    <w:rsid w:val="00281870"/>
    <w:rsid w:val="00281C2C"/>
    <w:rsid w:val="0028218D"/>
    <w:rsid w:val="00282901"/>
    <w:rsid w:val="002838EF"/>
    <w:rsid w:val="00283FA7"/>
    <w:rsid w:val="00284DE2"/>
    <w:rsid w:val="00285354"/>
    <w:rsid w:val="002853B1"/>
    <w:rsid w:val="002857DE"/>
    <w:rsid w:val="00285A45"/>
    <w:rsid w:val="00285CFF"/>
    <w:rsid w:val="00285D15"/>
    <w:rsid w:val="002866C4"/>
    <w:rsid w:val="00286CCF"/>
    <w:rsid w:val="00287171"/>
    <w:rsid w:val="00287D88"/>
    <w:rsid w:val="002906B8"/>
    <w:rsid w:val="002907B1"/>
    <w:rsid w:val="00290FF8"/>
    <w:rsid w:val="0029142B"/>
    <w:rsid w:val="00291FBD"/>
    <w:rsid w:val="0029217E"/>
    <w:rsid w:val="00292755"/>
    <w:rsid w:val="00292807"/>
    <w:rsid w:val="00292F46"/>
    <w:rsid w:val="00292F7D"/>
    <w:rsid w:val="00293A5F"/>
    <w:rsid w:val="00293AC5"/>
    <w:rsid w:val="00294074"/>
    <w:rsid w:val="002943B4"/>
    <w:rsid w:val="0029486D"/>
    <w:rsid w:val="00294983"/>
    <w:rsid w:val="002957E3"/>
    <w:rsid w:val="0029592F"/>
    <w:rsid w:val="00295977"/>
    <w:rsid w:val="00295D12"/>
    <w:rsid w:val="00295DCA"/>
    <w:rsid w:val="00295E4D"/>
    <w:rsid w:val="00295F04"/>
    <w:rsid w:val="00296067"/>
    <w:rsid w:val="00296589"/>
    <w:rsid w:val="00296BF7"/>
    <w:rsid w:val="002970EA"/>
    <w:rsid w:val="0029727F"/>
    <w:rsid w:val="002974A6"/>
    <w:rsid w:val="00297C80"/>
    <w:rsid w:val="002A0186"/>
    <w:rsid w:val="002A051B"/>
    <w:rsid w:val="002A0658"/>
    <w:rsid w:val="002A0C3C"/>
    <w:rsid w:val="002A0E37"/>
    <w:rsid w:val="002A13F1"/>
    <w:rsid w:val="002A1657"/>
    <w:rsid w:val="002A1964"/>
    <w:rsid w:val="002A2D48"/>
    <w:rsid w:val="002A2D63"/>
    <w:rsid w:val="002A3076"/>
    <w:rsid w:val="002A32CD"/>
    <w:rsid w:val="002A4C6E"/>
    <w:rsid w:val="002A4F46"/>
    <w:rsid w:val="002A54D9"/>
    <w:rsid w:val="002A55C5"/>
    <w:rsid w:val="002A5751"/>
    <w:rsid w:val="002A5753"/>
    <w:rsid w:val="002A6E54"/>
    <w:rsid w:val="002A742E"/>
    <w:rsid w:val="002A7B5A"/>
    <w:rsid w:val="002A7F05"/>
    <w:rsid w:val="002A7F2B"/>
    <w:rsid w:val="002B003D"/>
    <w:rsid w:val="002B036C"/>
    <w:rsid w:val="002B04BE"/>
    <w:rsid w:val="002B06CD"/>
    <w:rsid w:val="002B159F"/>
    <w:rsid w:val="002B1BEA"/>
    <w:rsid w:val="002B1E5E"/>
    <w:rsid w:val="002B1FBE"/>
    <w:rsid w:val="002B20CA"/>
    <w:rsid w:val="002B2422"/>
    <w:rsid w:val="002B2467"/>
    <w:rsid w:val="002B2D98"/>
    <w:rsid w:val="002B30BB"/>
    <w:rsid w:val="002B342E"/>
    <w:rsid w:val="002B358A"/>
    <w:rsid w:val="002B35CC"/>
    <w:rsid w:val="002B4AD7"/>
    <w:rsid w:val="002B59F0"/>
    <w:rsid w:val="002B5B01"/>
    <w:rsid w:val="002B6654"/>
    <w:rsid w:val="002B698F"/>
    <w:rsid w:val="002B73FB"/>
    <w:rsid w:val="002B7497"/>
    <w:rsid w:val="002B76FE"/>
    <w:rsid w:val="002B7955"/>
    <w:rsid w:val="002B7F6D"/>
    <w:rsid w:val="002C06CE"/>
    <w:rsid w:val="002C1530"/>
    <w:rsid w:val="002C1EB5"/>
    <w:rsid w:val="002C2175"/>
    <w:rsid w:val="002C2940"/>
    <w:rsid w:val="002C2E9E"/>
    <w:rsid w:val="002C2FA5"/>
    <w:rsid w:val="002C3068"/>
    <w:rsid w:val="002C3305"/>
    <w:rsid w:val="002C3AA7"/>
    <w:rsid w:val="002C40BE"/>
    <w:rsid w:val="002C423B"/>
    <w:rsid w:val="002C4317"/>
    <w:rsid w:val="002C4999"/>
    <w:rsid w:val="002C4A15"/>
    <w:rsid w:val="002C4FC0"/>
    <w:rsid w:val="002C51C7"/>
    <w:rsid w:val="002C5437"/>
    <w:rsid w:val="002C54A8"/>
    <w:rsid w:val="002C551A"/>
    <w:rsid w:val="002C566E"/>
    <w:rsid w:val="002C569F"/>
    <w:rsid w:val="002C56E1"/>
    <w:rsid w:val="002C591C"/>
    <w:rsid w:val="002C5DC6"/>
    <w:rsid w:val="002C615B"/>
    <w:rsid w:val="002C687A"/>
    <w:rsid w:val="002C6F5E"/>
    <w:rsid w:val="002C713B"/>
    <w:rsid w:val="002C736F"/>
    <w:rsid w:val="002C7374"/>
    <w:rsid w:val="002C7E46"/>
    <w:rsid w:val="002D030A"/>
    <w:rsid w:val="002D0D64"/>
    <w:rsid w:val="002D0E50"/>
    <w:rsid w:val="002D0EAC"/>
    <w:rsid w:val="002D1122"/>
    <w:rsid w:val="002D1694"/>
    <w:rsid w:val="002D21B1"/>
    <w:rsid w:val="002D3317"/>
    <w:rsid w:val="002D3559"/>
    <w:rsid w:val="002D37EE"/>
    <w:rsid w:val="002D3881"/>
    <w:rsid w:val="002D3ADD"/>
    <w:rsid w:val="002D3D91"/>
    <w:rsid w:val="002D425B"/>
    <w:rsid w:val="002D557C"/>
    <w:rsid w:val="002D5768"/>
    <w:rsid w:val="002D6291"/>
    <w:rsid w:val="002D7205"/>
    <w:rsid w:val="002D750A"/>
    <w:rsid w:val="002D772D"/>
    <w:rsid w:val="002E0065"/>
    <w:rsid w:val="002E04A9"/>
    <w:rsid w:val="002E12EF"/>
    <w:rsid w:val="002E135A"/>
    <w:rsid w:val="002E1BB9"/>
    <w:rsid w:val="002E1C11"/>
    <w:rsid w:val="002E1DF2"/>
    <w:rsid w:val="002E257D"/>
    <w:rsid w:val="002E28DB"/>
    <w:rsid w:val="002E359D"/>
    <w:rsid w:val="002E35C7"/>
    <w:rsid w:val="002E3EAA"/>
    <w:rsid w:val="002E401D"/>
    <w:rsid w:val="002E4311"/>
    <w:rsid w:val="002E43B9"/>
    <w:rsid w:val="002E5533"/>
    <w:rsid w:val="002E576A"/>
    <w:rsid w:val="002E5B28"/>
    <w:rsid w:val="002E606F"/>
    <w:rsid w:val="002E62B3"/>
    <w:rsid w:val="002E6311"/>
    <w:rsid w:val="002E649A"/>
    <w:rsid w:val="002E6556"/>
    <w:rsid w:val="002E65F2"/>
    <w:rsid w:val="002E6F9C"/>
    <w:rsid w:val="002E7268"/>
    <w:rsid w:val="002E73AB"/>
    <w:rsid w:val="002E7B59"/>
    <w:rsid w:val="002E7D02"/>
    <w:rsid w:val="002F01DC"/>
    <w:rsid w:val="002F065D"/>
    <w:rsid w:val="002F07C6"/>
    <w:rsid w:val="002F0A8F"/>
    <w:rsid w:val="002F0D34"/>
    <w:rsid w:val="002F0F94"/>
    <w:rsid w:val="002F12CD"/>
    <w:rsid w:val="002F1B0E"/>
    <w:rsid w:val="002F1E0B"/>
    <w:rsid w:val="002F289C"/>
    <w:rsid w:val="002F3073"/>
    <w:rsid w:val="002F347A"/>
    <w:rsid w:val="002F37C2"/>
    <w:rsid w:val="002F3F3B"/>
    <w:rsid w:val="002F4938"/>
    <w:rsid w:val="002F4A56"/>
    <w:rsid w:val="002F4D0C"/>
    <w:rsid w:val="002F557B"/>
    <w:rsid w:val="002F57EB"/>
    <w:rsid w:val="002F5A3C"/>
    <w:rsid w:val="002F66CA"/>
    <w:rsid w:val="002F773E"/>
    <w:rsid w:val="002F7B7C"/>
    <w:rsid w:val="003003F3"/>
    <w:rsid w:val="003003F9"/>
    <w:rsid w:val="00300709"/>
    <w:rsid w:val="003009AC"/>
    <w:rsid w:val="00300D81"/>
    <w:rsid w:val="003011D4"/>
    <w:rsid w:val="003015DF"/>
    <w:rsid w:val="00301891"/>
    <w:rsid w:val="003018E8"/>
    <w:rsid w:val="0030209B"/>
    <w:rsid w:val="003020F7"/>
    <w:rsid w:val="00302488"/>
    <w:rsid w:val="00302A09"/>
    <w:rsid w:val="00302A76"/>
    <w:rsid w:val="00302F37"/>
    <w:rsid w:val="0030327A"/>
    <w:rsid w:val="003032AB"/>
    <w:rsid w:val="003036D7"/>
    <w:rsid w:val="00303B4E"/>
    <w:rsid w:val="00304A15"/>
    <w:rsid w:val="00304BDC"/>
    <w:rsid w:val="00304CD4"/>
    <w:rsid w:val="00304ED0"/>
    <w:rsid w:val="00305609"/>
    <w:rsid w:val="0030562A"/>
    <w:rsid w:val="003057A5"/>
    <w:rsid w:val="00305D1F"/>
    <w:rsid w:val="00305E9C"/>
    <w:rsid w:val="0030622B"/>
    <w:rsid w:val="00306780"/>
    <w:rsid w:val="00306B81"/>
    <w:rsid w:val="0030704A"/>
    <w:rsid w:val="003070F2"/>
    <w:rsid w:val="00310314"/>
    <w:rsid w:val="0031033C"/>
    <w:rsid w:val="003108AC"/>
    <w:rsid w:val="00310BDC"/>
    <w:rsid w:val="00310CAF"/>
    <w:rsid w:val="003110E3"/>
    <w:rsid w:val="003110EF"/>
    <w:rsid w:val="00311358"/>
    <w:rsid w:val="003120D5"/>
    <w:rsid w:val="003124F5"/>
    <w:rsid w:val="0031252F"/>
    <w:rsid w:val="00312D33"/>
    <w:rsid w:val="0031315D"/>
    <w:rsid w:val="003134B2"/>
    <w:rsid w:val="0031396B"/>
    <w:rsid w:val="003139A6"/>
    <w:rsid w:val="00313C60"/>
    <w:rsid w:val="00313F4E"/>
    <w:rsid w:val="00314117"/>
    <w:rsid w:val="0031452B"/>
    <w:rsid w:val="0031472B"/>
    <w:rsid w:val="003148F1"/>
    <w:rsid w:val="003154E2"/>
    <w:rsid w:val="003155BD"/>
    <w:rsid w:val="0031613D"/>
    <w:rsid w:val="003161E9"/>
    <w:rsid w:val="00316BB2"/>
    <w:rsid w:val="00316DD2"/>
    <w:rsid w:val="00317540"/>
    <w:rsid w:val="003176ED"/>
    <w:rsid w:val="00317AC2"/>
    <w:rsid w:val="00317BBF"/>
    <w:rsid w:val="00317DF8"/>
    <w:rsid w:val="00317EDF"/>
    <w:rsid w:val="003201FA"/>
    <w:rsid w:val="003206AF"/>
    <w:rsid w:val="00320ED3"/>
    <w:rsid w:val="00321065"/>
    <w:rsid w:val="00321275"/>
    <w:rsid w:val="0032165E"/>
    <w:rsid w:val="003217BE"/>
    <w:rsid w:val="0032196C"/>
    <w:rsid w:val="00322069"/>
    <w:rsid w:val="00322AA8"/>
    <w:rsid w:val="0032494A"/>
    <w:rsid w:val="00324A37"/>
    <w:rsid w:val="00324E8F"/>
    <w:rsid w:val="0032537E"/>
    <w:rsid w:val="00325417"/>
    <w:rsid w:val="00325432"/>
    <w:rsid w:val="00325CD5"/>
    <w:rsid w:val="00326389"/>
    <w:rsid w:val="0032640E"/>
    <w:rsid w:val="0032655B"/>
    <w:rsid w:val="003268D2"/>
    <w:rsid w:val="003269D5"/>
    <w:rsid w:val="00327012"/>
    <w:rsid w:val="003277C4"/>
    <w:rsid w:val="003279E7"/>
    <w:rsid w:val="00330363"/>
    <w:rsid w:val="00330680"/>
    <w:rsid w:val="0033089F"/>
    <w:rsid w:val="00330AD8"/>
    <w:rsid w:val="003315F5"/>
    <w:rsid w:val="00331811"/>
    <w:rsid w:val="00331C47"/>
    <w:rsid w:val="003321D7"/>
    <w:rsid w:val="0033324D"/>
    <w:rsid w:val="00333CD5"/>
    <w:rsid w:val="00333D66"/>
    <w:rsid w:val="00333EF4"/>
    <w:rsid w:val="003345D4"/>
    <w:rsid w:val="00334B67"/>
    <w:rsid w:val="00334F58"/>
    <w:rsid w:val="00334FEA"/>
    <w:rsid w:val="003350D6"/>
    <w:rsid w:val="003359FF"/>
    <w:rsid w:val="00335AED"/>
    <w:rsid w:val="00336D33"/>
    <w:rsid w:val="00336E3A"/>
    <w:rsid w:val="003370C9"/>
    <w:rsid w:val="00337129"/>
    <w:rsid w:val="00337317"/>
    <w:rsid w:val="00337A21"/>
    <w:rsid w:val="00337DA3"/>
    <w:rsid w:val="00340073"/>
    <w:rsid w:val="0034050B"/>
    <w:rsid w:val="003407D2"/>
    <w:rsid w:val="00340B10"/>
    <w:rsid w:val="00341B6E"/>
    <w:rsid w:val="00342050"/>
    <w:rsid w:val="003420F9"/>
    <w:rsid w:val="003432FA"/>
    <w:rsid w:val="00343507"/>
    <w:rsid w:val="00343A52"/>
    <w:rsid w:val="00343BFD"/>
    <w:rsid w:val="00344957"/>
    <w:rsid w:val="00344BD6"/>
    <w:rsid w:val="00344D60"/>
    <w:rsid w:val="00344E59"/>
    <w:rsid w:val="003450C2"/>
    <w:rsid w:val="003454ED"/>
    <w:rsid w:val="00345847"/>
    <w:rsid w:val="00346600"/>
    <w:rsid w:val="0034676F"/>
    <w:rsid w:val="003469AF"/>
    <w:rsid w:val="00346AA2"/>
    <w:rsid w:val="00346AB8"/>
    <w:rsid w:val="00346CB2"/>
    <w:rsid w:val="00347121"/>
    <w:rsid w:val="00347367"/>
    <w:rsid w:val="00347403"/>
    <w:rsid w:val="00347534"/>
    <w:rsid w:val="00347D6A"/>
    <w:rsid w:val="00350CA1"/>
    <w:rsid w:val="00350D45"/>
    <w:rsid w:val="00350F2B"/>
    <w:rsid w:val="003510C9"/>
    <w:rsid w:val="00351757"/>
    <w:rsid w:val="00351995"/>
    <w:rsid w:val="003519DA"/>
    <w:rsid w:val="00351BE3"/>
    <w:rsid w:val="00352A2C"/>
    <w:rsid w:val="00352DA9"/>
    <w:rsid w:val="003535E3"/>
    <w:rsid w:val="00353629"/>
    <w:rsid w:val="00353E8B"/>
    <w:rsid w:val="003540E9"/>
    <w:rsid w:val="00354133"/>
    <w:rsid w:val="00355569"/>
    <w:rsid w:val="0035556C"/>
    <w:rsid w:val="003564FA"/>
    <w:rsid w:val="00356903"/>
    <w:rsid w:val="00357571"/>
    <w:rsid w:val="00357712"/>
    <w:rsid w:val="00357AD6"/>
    <w:rsid w:val="00360D72"/>
    <w:rsid w:val="00360FBD"/>
    <w:rsid w:val="00361255"/>
    <w:rsid w:val="00361B6F"/>
    <w:rsid w:val="003621BC"/>
    <w:rsid w:val="0036298B"/>
    <w:rsid w:val="00362D2B"/>
    <w:rsid w:val="003634ED"/>
    <w:rsid w:val="00364460"/>
    <w:rsid w:val="00364C61"/>
    <w:rsid w:val="003656AB"/>
    <w:rsid w:val="00365943"/>
    <w:rsid w:val="00365F70"/>
    <w:rsid w:val="00365F8E"/>
    <w:rsid w:val="003665C3"/>
    <w:rsid w:val="0036689B"/>
    <w:rsid w:val="00366D42"/>
    <w:rsid w:val="00367160"/>
    <w:rsid w:val="0036753F"/>
    <w:rsid w:val="003700CA"/>
    <w:rsid w:val="0037015B"/>
    <w:rsid w:val="0037020E"/>
    <w:rsid w:val="00370671"/>
    <w:rsid w:val="00370DC9"/>
    <w:rsid w:val="00371A95"/>
    <w:rsid w:val="00371C57"/>
    <w:rsid w:val="00371CBD"/>
    <w:rsid w:val="00372038"/>
    <w:rsid w:val="00372212"/>
    <w:rsid w:val="0037245E"/>
    <w:rsid w:val="00372594"/>
    <w:rsid w:val="00372E44"/>
    <w:rsid w:val="00372E8A"/>
    <w:rsid w:val="00373429"/>
    <w:rsid w:val="0037344E"/>
    <w:rsid w:val="00373811"/>
    <w:rsid w:val="00373928"/>
    <w:rsid w:val="00373D64"/>
    <w:rsid w:val="003742D3"/>
    <w:rsid w:val="00374786"/>
    <w:rsid w:val="003748B4"/>
    <w:rsid w:val="00374A8F"/>
    <w:rsid w:val="003755B3"/>
    <w:rsid w:val="00375857"/>
    <w:rsid w:val="00375C6D"/>
    <w:rsid w:val="0037613E"/>
    <w:rsid w:val="00376F54"/>
    <w:rsid w:val="0037711B"/>
    <w:rsid w:val="00377883"/>
    <w:rsid w:val="00380102"/>
    <w:rsid w:val="003806F7"/>
    <w:rsid w:val="0038077B"/>
    <w:rsid w:val="00380FE4"/>
    <w:rsid w:val="003816C4"/>
    <w:rsid w:val="00381DAE"/>
    <w:rsid w:val="003821C1"/>
    <w:rsid w:val="003826C8"/>
    <w:rsid w:val="003829D6"/>
    <w:rsid w:val="00383097"/>
    <w:rsid w:val="003831E2"/>
    <w:rsid w:val="00383A09"/>
    <w:rsid w:val="00383B87"/>
    <w:rsid w:val="00384C43"/>
    <w:rsid w:val="00385BC6"/>
    <w:rsid w:val="00385F5C"/>
    <w:rsid w:val="00387A6C"/>
    <w:rsid w:val="00390E7C"/>
    <w:rsid w:val="00391E8C"/>
    <w:rsid w:val="003923A0"/>
    <w:rsid w:val="00392652"/>
    <w:rsid w:val="003929A1"/>
    <w:rsid w:val="00392A6B"/>
    <w:rsid w:val="00392DB6"/>
    <w:rsid w:val="00393554"/>
    <w:rsid w:val="0039365A"/>
    <w:rsid w:val="00393E2D"/>
    <w:rsid w:val="0039470E"/>
    <w:rsid w:val="00394E3A"/>
    <w:rsid w:val="00394F80"/>
    <w:rsid w:val="003950BB"/>
    <w:rsid w:val="00395540"/>
    <w:rsid w:val="00395C72"/>
    <w:rsid w:val="00396B14"/>
    <w:rsid w:val="00396BF9"/>
    <w:rsid w:val="00396D21"/>
    <w:rsid w:val="00396EDD"/>
    <w:rsid w:val="00396F7D"/>
    <w:rsid w:val="0039774D"/>
    <w:rsid w:val="00397879"/>
    <w:rsid w:val="00397A76"/>
    <w:rsid w:val="00397C31"/>
    <w:rsid w:val="00397CDC"/>
    <w:rsid w:val="00397FE5"/>
    <w:rsid w:val="003A04E1"/>
    <w:rsid w:val="003A052A"/>
    <w:rsid w:val="003A067F"/>
    <w:rsid w:val="003A0E03"/>
    <w:rsid w:val="003A0F93"/>
    <w:rsid w:val="003A0FB5"/>
    <w:rsid w:val="003A1044"/>
    <w:rsid w:val="003A1153"/>
    <w:rsid w:val="003A15E8"/>
    <w:rsid w:val="003A1A3C"/>
    <w:rsid w:val="003A1B8D"/>
    <w:rsid w:val="003A1ED2"/>
    <w:rsid w:val="003A2DC9"/>
    <w:rsid w:val="003A2F5F"/>
    <w:rsid w:val="003A30AE"/>
    <w:rsid w:val="003A3270"/>
    <w:rsid w:val="003A44E9"/>
    <w:rsid w:val="003A5382"/>
    <w:rsid w:val="003A575A"/>
    <w:rsid w:val="003A5900"/>
    <w:rsid w:val="003A5C1D"/>
    <w:rsid w:val="003A5DB4"/>
    <w:rsid w:val="003A6085"/>
    <w:rsid w:val="003A6E3B"/>
    <w:rsid w:val="003A75C1"/>
    <w:rsid w:val="003A773D"/>
    <w:rsid w:val="003A78AC"/>
    <w:rsid w:val="003B0006"/>
    <w:rsid w:val="003B0FFF"/>
    <w:rsid w:val="003B1091"/>
    <w:rsid w:val="003B132F"/>
    <w:rsid w:val="003B1464"/>
    <w:rsid w:val="003B1BC3"/>
    <w:rsid w:val="003B1E51"/>
    <w:rsid w:val="003B22B2"/>
    <w:rsid w:val="003B23CC"/>
    <w:rsid w:val="003B2A8B"/>
    <w:rsid w:val="003B320B"/>
    <w:rsid w:val="003B34A1"/>
    <w:rsid w:val="003B363D"/>
    <w:rsid w:val="003B36C1"/>
    <w:rsid w:val="003B3A84"/>
    <w:rsid w:val="003B40A3"/>
    <w:rsid w:val="003B4656"/>
    <w:rsid w:val="003B52FF"/>
    <w:rsid w:val="003B56AF"/>
    <w:rsid w:val="003B6135"/>
    <w:rsid w:val="003B6E20"/>
    <w:rsid w:val="003B6F36"/>
    <w:rsid w:val="003B79FB"/>
    <w:rsid w:val="003B7B98"/>
    <w:rsid w:val="003B7CCB"/>
    <w:rsid w:val="003B7D3F"/>
    <w:rsid w:val="003C059F"/>
    <w:rsid w:val="003C16C6"/>
    <w:rsid w:val="003C1710"/>
    <w:rsid w:val="003C1D0D"/>
    <w:rsid w:val="003C232C"/>
    <w:rsid w:val="003C294E"/>
    <w:rsid w:val="003C2C9B"/>
    <w:rsid w:val="003C2E99"/>
    <w:rsid w:val="003C3001"/>
    <w:rsid w:val="003C35E6"/>
    <w:rsid w:val="003C397B"/>
    <w:rsid w:val="003C43CD"/>
    <w:rsid w:val="003C484E"/>
    <w:rsid w:val="003C4EB5"/>
    <w:rsid w:val="003C5050"/>
    <w:rsid w:val="003C50CE"/>
    <w:rsid w:val="003C5288"/>
    <w:rsid w:val="003C537A"/>
    <w:rsid w:val="003C5D75"/>
    <w:rsid w:val="003C6BC5"/>
    <w:rsid w:val="003C7696"/>
    <w:rsid w:val="003D017C"/>
    <w:rsid w:val="003D02F0"/>
    <w:rsid w:val="003D0516"/>
    <w:rsid w:val="003D09B4"/>
    <w:rsid w:val="003D0D59"/>
    <w:rsid w:val="003D1AC5"/>
    <w:rsid w:val="003D1B59"/>
    <w:rsid w:val="003D1D3C"/>
    <w:rsid w:val="003D1D80"/>
    <w:rsid w:val="003D1EED"/>
    <w:rsid w:val="003D24BA"/>
    <w:rsid w:val="003D3B93"/>
    <w:rsid w:val="003D47C1"/>
    <w:rsid w:val="003D4B69"/>
    <w:rsid w:val="003D4F08"/>
    <w:rsid w:val="003D4FAB"/>
    <w:rsid w:val="003D4FAD"/>
    <w:rsid w:val="003D5A6F"/>
    <w:rsid w:val="003D5CB9"/>
    <w:rsid w:val="003D5DB1"/>
    <w:rsid w:val="003D6062"/>
    <w:rsid w:val="003D61FE"/>
    <w:rsid w:val="003D656E"/>
    <w:rsid w:val="003D666D"/>
    <w:rsid w:val="003D6902"/>
    <w:rsid w:val="003D6FAA"/>
    <w:rsid w:val="003D7321"/>
    <w:rsid w:val="003E014B"/>
    <w:rsid w:val="003E038A"/>
    <w:rsid w:val="003E0405"/>
    <w:rsid w:val="003E0CF9"/>
    <w:rsid w:val="003E1371"/>
    <w:rsid w:val="003E196A"/>
    <w:rsid w:val="003E2368"/>
    <w:rsid w:val="003E24CC"/>
    <w:rsid w:val="003E2717"/>
    <w:rsid w:val="003E3AC0"/>
    <w:rsid w:val="003E3C5D"/>
    <w:rsid w:val="003E3D78"/>
    <w:rsid w:val="003E3DBA"/>
    <w:rsid w:val="003E4571"/>
    <w:rsid w:val="003E48D0"/>
    <w:rsid w:val="003E4CE0"/>
    <w:rsid w:val="003E555E"/>
    <w:rsid w:val="003E559B"/>
    <w:rsid w:val="003E5954"/>
    <w:rsid w:val="003E5B22"/>
    <w:rsid w:val="003E621E"/>
    <w:rsid w:val="003E649A"/>
    <w:rsid w:val="003E7169"/>
    <w:rsid w:val="003E73D5"/>
    <w:rsid w:val="003E7558"/>
    <w:rsid w:val="003E7AA0"/>
    <w:rsid w:val="003F0B44"/>
    <w:rsid w:val="003F0BBC"/>
    <w:rsid w:val="003F1204"/>
    <w:rsid w:val="003F1FB2"/>
    <w:rsid w:val="003F1FCF"/>
    <w:rsid w:val="003F25D3"/>
    <w:rsid w:val="003F25EC"/>
    <w:rsid w:val="003F2651"/>
    <w:rsid w:val="003F2C8D"/>
    <w:rsid w:val="003F33D3"/>
    <w:rsid w:val="003F39B1"/>
    <w:rsid w:val="003F3E4C"/>
    <w:rsid w:val="003F3F14"/>
    <w:rsid w:val="003F4824"/>
    <w:rsid w:val="003F4AFE"/>
    <w:rsid w:val="003F5A11"/>
    <w:rsid w:val="003F5B77"/>
    <w:rsid w:val="003F61D7"/>
    <w:rsid w:val="003F6288"/>
    <w:rsid w:val="003F6714"/>
    <w:rsid w:val="003F6AD4"/>
    <w:rsid w:val="003F7008"/>
    <w:rsid w:val="003F70E0"/>
    <w:rsid w:val="003F7508"/>
    <w:rsid w:val="003F7C9B"/>
    <w:rsid w:val="003F7F1F"/>
    <w:rsid w:val="004003A2"/>
    <w:rsid w:val="00401185"/>
    <w:rsid w:val="00401CF2"/>
    <w:rsid w:val="0040211B"/>
    <w:rsid w:val="0040236B"/>
    <w:rsid w:val="00402635"/>
    <w:rsid w:val="0040265D"/>
    <w:rsid w:val="00402A43"/>
    <w:rsid w:val="00402AD3"/>
    <w:rsid w:val="00402FF5"/>
    <w:rsid w:val="0040305B"/>
    <w:rsid w:val="004035C7"/>
    <w:rsid w:val="00403C9F"/>
    <w:rsid w:val="004045CC"/>
    <w:rsid w:val="00404638"/>
    <w:rsid w:val="004048DD"/>
    <w:rsid w:val="00404A27"/>
    <w:rsid w:val="0040523B"/>
    <w:rsid w:val="00405453"/>
    <w:rsid w:val="00405739"/>
    <w:rsid w:val="00406853"/>
    <w:rsid w:val="00406988"/>
    <w:rsid w:val="00406A35"/>
    <w:rsid w:val="00406C0C"/>
    <w:rsid w:val="004075C4"/>
    <w:rsid w:val="004100DB"/>
    <w:rsid w:val="004102A7"/>
    <w:rsid w:val="00410993"/>
    <w:rsid w:val="0041139A"/>
    <w:rsid w:val="004115D4"/>
    <w:rsid w:val="004123D9"/>
    <w:rsid w:val="004128F8"/>
    <w:rsid w:val="00412957"/>
    <w:rsid w:val="00412C02"/>
    <w:rsid w:val="00412D6D"/>
    <w:rsid w:val="0041367F"/>
    <w:rsid w:val="0041372D"/>
    <w:rsid w:val="00413D4F"/>
    <w:rsid w:val="00413E2B"/>
    <w:rsid w:val="00414537"/>
    <w:rsid w:val="004149C3"/>
    <w:rsid w:val="00414AB2"/>
    <w:rsid w:val="00415010"/>
    <w:rsid w:val="004156B6"/>
    <w:rsid w:val="00415B87"/>
    <w:rsid w:val="00415BBD"/>
    <w:rsid w:val="00415C97"/>
    <w:rsid w:val="00416058"/>
    <w:rsid w:val="004166CF"/>
    <w:rsid w:val="00416841"/>
    <w:rsid w:val="00416B17"/>
    <w:rsid w:val="004171A6"/>
    <w:rsid w:val="00417427"/>
    <w:rsid w:val="00417571"/>
    <w:rsid w:val="004178E6"/>
    <w:rsid w:val="00417AFB"/>
    <w:rsid w:val="00417BAC"/>
    <w:rsid w:val="0042012A"/>
    <w:rsid w:val="0042013D"/>
    <w:rsid w:val="00422198"/>
    <w:rsid w:val="00422251"/>
    <w:rsid w:val="004222BC"/>
    <w:rsid w:val="004224B0"/>
    <w:rsid w:val="0042314E"/>
    <w:rsid w:val="004231D5"/>
    <w:rsid w:val="00423217"/>
    <w:rsid w:val="00423BA0"/>
    <w:rsid w:val="004240E1"/>
    <w:rsid w:val="00424573"/>
    <w:rsid w:val="00424840"/>
    <w:rsid w:val="004249C4"/>
    <w:rsid w:val="00424A2A"/>
    <w:rsid w:val="004257CF"/>
    <w:rsid w:val="00425FE5"/>
    <w:rsid w:val="0042606A"/>
    <w:rsid w:val="0042606D"/>
    <w:rsid w:val="004261AD"/>
    <w:rsid w:val="00426324"/>
    <w:rsid w:val="00426902"/>
    <w:rsid w:val="00426951"/>
    <w:rsid w:val="00426A34"/>
    <w:rsid w:val="00426ADC"/>
    <w:rsid w:val="00426C50"/>
    <w:rsid w:val="00426D5B"/>
    <w:rsid w:val="00427068"/>
    <w:rsid w:val="0042727B"/>
    <w:rsid w:val="00427866"/>
    <w:rsid w:val="00430270"/>
    <w:rsid w:val="004302ED"/>
    <w:rsid w:val="00430375"/>
    <w:rsid w:val="004305B7"/>
    <w:rsid w:val="00430B18"/>
    <w:rsid w:val="00430B37"/>
    <w:rsid w:val="004311C5"/>
    <w:rsid w:val="0043139E"/>
    <w:rsid w:val="004319ED"/>
    <w:rsid w:val="00431A08"/>
    <w:rsid w:val="00431BB6"/>
    <w:rsid w:val="0043235B"/>
    <w:rsid w:val="0043242D"/>
    <w:rsid w:val="004325FF"/>
    <w:rsid w:val="00432848"/>
    <w:rsid w:val="0043284D"/>
    <w:rsid w:val="00432AC4"/>
    <w:rsid w:val="00432FC9"/>
    <w:rsid w:val="0043354B"/>
    <w:rsid w:val="00433A3D"/>
    <w:rsid w:val="00433AD8"/>
    <w:rsid w:val="00433CA1"/>
    <w:rsid w:val="00434E72"/>
    <w:rsid w:val="00435473"/>
    <w:rsid w:val="0043576B"/>
    <w:rsid w:val="004357B4"/>
    <w:rsid w:val="004359C5"/>
    <w:rsid w:val="00435F98"/>
    <w:rsid w:val="00435FE9"/>
    <w:rsid w:val="00436206"/>
    <w:rsid w:val="0043757A"/>
    <w:rsid w:val="00437582"/>
    <w:rsid w:val="0043788A"/>
    <w:rsid w:val="00440342"/>
    <w:rsid w:val="004406BD"/>
    <w:rsid w:val="004408D1"/>
    <w:rsid w:val="00440D4E"/>
    <w:rsid w:val="004414EF"/>
    <w:rsid w:val="00441977"/>
    <w:rsid w:val="00441B89"/>
    <w:rsid w:val="004424E6"/>
    <w:rsid w:val="00442518"/>
    <w:rsid w:val="0044299D"/>
    <w:rsid w:val="00442FCD"/>
    <w:rsid w:val="00444272"/>
    <w:rsid w:val="00444295"/>
    <w:rsid w:val="00444714"/>
    <w:rsid w:val="004448AC"/>
    <w:rsid w:val="00444F94"/>
    <w:rsid w:val="00445696"/>
    <w:rsid w:val="00445B7E"/>
    <w:rsid w:val="00445BC4"/>
    <w:rsid w:val="00445E7B"/>
    <w:rsid w:val="004468C4"/>
    <w:rsid w:val="00447737"/>
    <w:rsid w:val="00447D0D"/>
    <w:rsid w:val="00450412"/>
    <w:rsid w:val="004504AA"/>
    <w:rsid w:val="00450C2E"/>
    <w:rsid w:val="00450DA2"/>
    <w:rsid w:val="004510EA"/>
    <w:rsid w:val="004515DA"/>
    <w:rsid w:val="00451618"/>
    <w:rsid w:val="00451A0B"/>
    <w:rsid w:val="0045311F"/>
    <w:rsid w:val="004537A0"/>
    <w:rsid w:val="00453CC2"/>
    <w:rsid w:val="00453DB6"/>
    <w:rsid w:val="00453F33"/>
    <w:rsid w:val="00453F82"/>
    <w:rsid w:val="00454257"/>
    <w:rsid w:val="00454259"/>
    <w:rsid w:val="004551C0"/>
    <w:rsid w:val="004553BE"/>
    <w:rsid w:val="00456142"/>
    <w:rsid w:val="00456B62"/>
    <w:rsid w:val="00456EC6"/>
    <w:rsid w:val="00456F0B"/>
    <w:rsid w:val="00456F7D"/>
    <w:rsid w:val="004573EF"/>
    <w:rsid w:val="004573F5"/>
    <w:rsid w:val="0045752E"/>
    <w:rsid w:val="00457C7B"/>
    <w:rsid w:val="0046083D"/>
    <w:rsid w:val="00461564"/>
    <w:rsid w:val="00461937"/>
    <w:rsid w:val="004620A0"/>
    <w:rsid w:val="004620D1"/>
    <w:rsid w:val="004624D5"/>
    <w:rsid w:val="0046275B"/>
    <w:rsid w:val="00463479"/>
    <w:rsid w:val="0046375A"/>
    <w:rsid w:val="004638D4"/>
    <w:rsid w:val="00463C52"/>
    <w:rsid w:val="00463D90"/>
    <w:rsid w:val="0046412D"/>
    <w:rsid w:val="00464135"/>
    <w:rsid w:val="004644C4"/>
    <w:rsid w:val="00464D47"/>
    <w:rsid w:val="0046503C"/>
    <w:rsid w:val="0046520D"/>
    <w:rsid w:val="004652F0"/>
    <w:rsid w:val="00465643"/>
    <w:rsid w:val="00465759"/>
    <w:rsid w:val="00465CFA"/>
    <w:rsid w:val="00465DA9"/>
    <w:rsid w:val="004667CC"/>
    <w:rsid w:val="004668D2"/>
    <w:rsid w:val="00466A61"/>
    <w:rsid w:val="00467114"/>
    <w:rsid w:val="00467529"/>
    <w:rsid w:val="0046754B"/>
    <w:rsid w:val="0047019B"/>
    <w:rsid w:val="004707A5"/>
    <w:rsid w:val="00470E87"/>
    <w:rsid w:val="004715C9"/>
    <w:rsid w:val="00471DEF"/>
    <w:rsid w:val="00472065"/>
    <w:rsid w:val="004727AC"/>
    <w:rsid w:val="004730C6"/>
    <w:rsid w:val="004730DF"/>
    <w:rsid w:val="0047339D"/>
    <w:rsid w:val="0047366A"/>
    <w:rsid w:val="00473E7F"/>
    <w:rsid w:val="004740B2"/>
    <w:rsid w:val="0047469B"/>
    <w:rsid w:val="00474946"/>
    <w:rsid w:val="00475A18"/>
    <w:rsid w:val="00475A78"/>
    <w:rsid w:val="00475D25"/>
    <w:rsid w:val="00476825"/>
    <w:rsid w:val="00476AAD"/>
    <w:rsid w:val="00476F56"/>
    <w:rsid w:val="0047703A"/>
    <w:rsid w:val="00477200"/>
    <w:rsid w:val="004773DA"/>
    <w:rsid w:val="004776A6"/>
    <w:rsid w:val="00477FFD"/>
    <w:rsid w:val="0048000F"/>
    <w:rsid w:val="00480332"/>
    <w:rsid w:val="0048098A"/>
    <w:rsid w:val="00480F3D"/>
    <w:rsid w:val="004813F4"/>
    <w:rsid w:val="0048206D"/>
    <w:rsid w:val="00482387"/>
    <w:rsid w:val="00482A83"/>
    <w:rsid w:val="00483D55"/>
    <w:rsid w:val="00484023"/>
    <w:rsid w:val="0048418C"/>
    <w:rsid w:val="00484323"/>
    <w:rsid w:val="004844C5"/>
    <w:rsid w:val="00484B3B"/>
    <w:rsid w:val="00484C1E"/>
    <w:rsid w:val="00485834"/>
    <w:rsid w:val="00485A4C"/>
    <w:rsid w:val="00485DFE"/>
    <w:rsid w:val="00485E4F"/>
    <w:rsid w:val="00485F56"/>
    <w:rsid w:val="00485FC8"/>
    <w:rsid w:val="00486663"/>
    <w:rsid w:val="00486A58"/>
    <w:rsid w:val="00486D9D"/>
    <w:rsid w:val="0048731C"/>
    <w:rsid w:val="00487E3F"/>
    <w:rsid w:val="00490282"/>
    <w:rsid w:val="0049046F"/>
    <w:rsid w:val="0049054B"/>
    <w:rsid w:val="004907D8"/>
    <w:rsid w:val="00491092"/>
    <w:rsid w:val="0049131A"/>
    <w:rsid w:val="004914E1"/>
    <w:rsid w:val="00491546"/>
    <w:rsid w:val="0049159C"/>
    <w:rsid w:val="004916FC"/>
    <w:rsid w:val="00491908"/>
    <w:rsid w:val="004937A7"/>
    <w:rsid w:val="00493FD1"/>
    <w:rsid w:val="004941A0"/>
    <w:rsid w:val="00494607"/>
    <w:rsid w:val="00494B27"/>
    <w:rsid w:val="00494E5B"/>
    <w:rsid w:val="00494EA1"/>
    <w:rsid w:val="0049515E"/>
    <w:rsid w:val="00495905"/>
    <w:rsid w:val="00496166"/>
    <w:rsid w:val="00496613"/>
    <w:rsid w:val="00496F0E"/>
    <w:rsid w:val="00497353"/>
    <w:rsid w:val="0049738C"/>
    <w:rsid w:val="00497406"/>
    <w:rsid w:val="004975ED"/>
    <w:rsid w:val="00497659"/>
    <w:rsid w:val="004A0308"/>
    <w:rsid w:val="004A0372"/>
    <w:rsid w:val="004A03BF"/>
    <w:rsid w:val="004A05B9"/>
    <w:rsid w:val="004A0A25"/>
    <w:rsid w:val="004A0C51"/>
    <w:rsid w:val="004A125F"/>
    <w:rsid w:val="004A166D"/>
    <w:rsid w:val="004A1B24"/>
    <w:rsid w:val="004A1EF4"/>
    <w:rsid w:val="004A20DC"/>
    <w:rsid w:val="004A2BD3"/>
    <w:rsid w:val="004A2E54"/>
    <w:rsid w:val="004A2F2B"/>
    <w:rsid w:val="004A2FA8"/>
    <w:rsid w:val="004A3946"/>
    <w:rsid w:val="004A4BA2"/>
    <w:rsid w:val="004A4EAC"/>
    <w:rsid w:val="004A50D2"/>
    <w:rsid w:val="004A55CE"/>
    <w:rsid w:val="004A5696"/>
    <w:rsid w:val="004A57CE"/>
    <w:rsid w:val="004A5B6B"/>
    <w:rsid w:val="004A6036"/>
    <w:rsid w:val="004A60F1"/>
    <w:rsid w:val="004A678D"/>
    <w:rsid w:val="004A69B6"/>
    <w:rsid w:val="004A6BD1"/>
    <w:rsid w:val="004A704E"/>
    <w:rsid w:val="004A7555"/>
    <w:rsid w:val="004A7719"/>
    <w:rsid w:val="004A785C"/>
    <w:rsid w:val="004A7BAD"/>
    <w:rsid w:val="004B02C3"/>
    <w:rsid w:val="004B08D9"/>
    <w:rsid w:val="004B0B81"/>
    <w:rsid w:val="004B1226"/>
    <w:rsid w:val="004B17DD"/>
    <w:rsid w:val="004B19C6"/>
    <w:rsid w:val="004B1D1A"/>
    <w:rsid w:val="004B26FB"/>
    <w:rsid w:val="004B293F"/>
    <w:rsid w:val="004B2EDB"/>
    <w:rsid w:val="004B2F3B"/>
    <w:rsid w:val="004B31D2"/>
    <w:rsid w:val="004B3396"/>
    <w:rsid w:val="004B3765"/>
    <w:rsid w:val="004B3997"/>
    <w:rsid w:val="004B3A8D"/>
    <w:rsid w:val="004B3BD9"/>
    <w:rsid w:val="004B3BF7"/>
    <w:rsid w:val="004B4014"/>
    <w:rsid w:val="004B41CC"/>
    <w:rsid w:val="004B4727"/>
    <w:rsid w:val="004B4F92"/>
    <w:rsid w:val="004B51AD"/>
    <w:rsid w:val="004B53F3"/>
    <w:rsid w:val="004B56A6"/>
    <w:rsid w:val="004B56FD"/>
    <w:rsid w:val="004B6172"/>
    <w:rsid w:val="004B6452"/>
    <w:rsid w:val="004B6495"/>
    <w:rsid w:val="004B6FB7"/>
    <w:rsid w:val="004C0301"/>
    <w:rsid w:val="004C0360"/>
    <w:rsid w:val="004C10ED"/>
    <w:rsid w:val="004C1A38"/>
    <w:rsid w:val="004C1AAB"/>
    <w:rsid w:val="004C1FE3"/>
    <w:rsid w:val="004C2A13"/>
    <w:rsid w:val="004C35D0"/>
    <w:rsid w:val="004C3937"/>
    <w:rsid w:val="004C3FD2"/>
    <w:rsid w:val="004C47F3"/>
    <w:rsid w:val="004C4E07"/>
    <w:rsid w:val="004C4E65"/>
    <w:rsid w:val="004C5070"/>
    <w:rsid w:val="004C5846"/>
    <w:rsid w:val="004C5959"/>
    <w:rsid w:val="004C59B8"/>
    <w:rsid w:val="004C5B35"/>
    <w:rsid w:val="004C5DDC"/>
    <w:rsid w:val="004C5E29"/>
    <w:rsid w:val="004C6917"/>
    <w:rsid w:val="004C6B8C"/>
    <w:rsid w:val="004C76FF"/>
    <w:rsid w:val="004C7E96"/>
    <w:rsid w:val="004C7EE2"/>
    <w:rsid w:val="004D028A"/>
    <w:rsid w:val="004D031E"/>
    <w:rsid w:val="004D0744"/>
    <w:rsid w:val="004D0A02"/>
    <w:rsid w:val="004D1042"/>
    <w:rsid w:val="004D1073"/>
    <w:rsid w:val="004D1B9D"/>
    <w:rsid w:val="004D1C01"/>
    <w:rsid w:val="004D2C6E"/>
    <w:rsid w:val="004D2ED6"/>
    <w:rsid w:val="004D30FA"/>
    <w:rsid w:val="004D3758"/>
    <w:rsid w:val="004D40C7"/>
    <w:rsid w:val="004D4117"/>
    <w:rsid w:val="004D524A"/>
    <w:rsid w:val="004D5513"/>
    <w:rsid w:val="004D5B11"/>
    <w:rsid w:val="004D6BD8"/>
    <w:rsid w:val="004D6C91"/>
    <w:rsid w:val="004D7849"/>
    <w:rsid w:val="004D78E9"/>
    <w:rsid w:val="004D7AE0"/>
    <w:rsid w:val="004D7F13"/>
    <w:rsid w:val="004E02C0"/>
    <w:rsid w:val="004E0F87"/>
    <w:rsid w:val="004E1C3A"/>
    <w:rsid w:val="004E1EAD"/>
    <w:rsid w:val="004E1FBC"/>
    <w:rsid w:val="004E234D"/>
    <w:rsid w:val="004E2854"/>
    <w:rsid w:val="004E3BC7"/>
    <w:rsid w:val="004E4030"/>
    <w:rsid w:val="004E419E"/>
    <w:rsid w:val="004E4536"/>
    <w:rsid w:val="004E4987"/>
    <w:rsid w:val="004E4F87"/>
    <w:rsid w:val="004E51DE"/>
    <w:rsid w:val="004E54D8"/>
    <w:rsid w:val="004E5659"/>
    <w:rsid w:val="004E56F0"/>
    <w:rsid w:val="004E5D1C"/>
    <w:rsid w:val="004E5F2A"/>
    <w:rsid w:val="004E5FA3"/>
    <w:rsid w:val="004E5FF8"/>
    <w:rsid w:val="004E617E"/>
    <w:rsid w:val="004E61AC"/>
    <w:rsid w:val="004E723E"/>
    <w:rsid w:val="004E741E"/>
    <w:rsid w:val="004E7753"/>
    <w:rsid w:val="004E7F43"/>
    <w:rsid w:val="004F01A2"/>
    <w:rsid w:val="004F02D7"/>
    <w:rsid w:val="004F0326"/>
    <w:rsid w:val="004F0331"/>
    <w:rsid w:val="004F03A9"/>
    <w:rsid w:val="004F05EF"/>
    <w:rsid w:val="004F17A3"/>
    <w:rsid w:val="004F18EB"/>
    <w:rsid w:val="004F19E6"/>
    <w:rsid w:val="004F1A10"/>
    <w:rsid w:val="004F30AE"/>
    <w:rsid w:val="004F3BEE"/>
    <w:rsid w:val="004F4117"/>
    <w:rsid w:val="004F4161"/>
    <w:rsid w:val="004F4296"/>
    <w:rsid w:val="004F452E"/>
    <w:rsid w:val="004F5A02"/>
    <w:rsid w:val="004F5AC2"/>
    <w:rsid w:val="004F5C2F"/>
    <w:rsid w:val="004F5F52"/>
    <w:rsid w:val="004F641D"/>
    <w:rsid w:val="004F64A1"/>
    <w:rsid w:val="004F6BEB"/>
    <w:rsid w:val="004F6FEB"/>
    <w:rsid w:val="004F780C"/>
    <w:rsid w:val="004F782C"/>
    <w:rsid w:val="004F7B28"/>
    <w:rsid w:val="00500263"/>
    <w:rsid w:val="00500DA4"/>
    <w:rsid w:val="00500FBC"/>
    <w:rsid w:val="005012C6"/>
    <w:rsid w:val="005018D2"/>
    <w:rsid w:val="0050193D"/>
    <w:rsid w:val="005019DF"/>
    <w:rsid w:val="00501B6A"/>
    <w:rsid w:val="00501B7D"/>
    <w:rsid w:val="00501C1C"/>
    <w:rsid w:val="00501D79"/>
    <w:rsid w:val="005021A9"/>
    <w:rsid w:val="00502A10"/>
    <w:rsid w:val="00502C6B"/>
    <w:rsid w:val="00502CB4"/>
    <w:rsid w:val="0050313D"/>
    <w:rsid w:val="00503B2C"/>
    <w:rsid w:val="00503CE9"/>
    <w:rsid w:val="00503E92"/>
    <w:rsid w:val="00503FF0"/>
    <w:rsid w:val="00504354"/>
    <w:rsid w:val="005044DC"/>
    <w:rsid w:val="00504998"/>
    <w:rsid w:val="00504B68"/>
    <w:rsid w:val="005058EA"/>
    <w:rsid w:val="00505ECC"/>
    <w:rsid w:val="005060BC"/>
    <w:rsid w:val="00506270"/>
    <w:rsid w:val="0050691D"/>
    <w:rsid w:val="00506FD7"/>
    <w:rsid w:val="00507361"/>
    <w:rsid w:val="00507AF2"/>
    <w:rsid w:val="00507E34"/>
    <w:rsid w:val="00507E45"/>
    <w:rsid w:val="0051029F"/>
    <w:rsid w:val="00510657"/>
    <w:rsid w:val="00510A00"/>
    <w:rsid w:val="00511216"/>
    <w:rsid w:val="005117EE"/>
    <w:rsid w:val="00511F7B"/>
    <w:rsid w:val="00514106"/>
    <w:rsid w:val="00514822"/>
    <w:rsid w:val="00514885"/>
    <w:rsid w:val="00515098"/>
    <w:rsid w:val="00515530"/>
    <w:rsid w:val="00515ACC"/>
    <w:rsid w:val="005164B3"/>
    <w:rsid w:val="00516989"/>
    <w:rsid w:val="00516A8F"/>
    <w:rsid w:val="00516CBA"/>
    <w:rsid w:val="00516F67"/>
    <w:rsid w:val="005171FF"/>
    <w:rsid w:val="005174F3"/>
    <w:rsid w:val="00517932"/>
    <w:rsid w:val="00517E1C"/>
    <w:rsid w:val="00520271"/>
    <w:rsid w:val="0052073A"/>
    <w:rsid w:val="00520976"/>
    <w:rsid w:val="00520CF7"/>
    <w:rsid w:val="00520F1A"/>
    <w:rsid w:val="005210B7"/>
    <w:rsid w:val="005211A8"/>
    <w:rsid w:val="005212F7"/>
    <w:rsid w:val="005212FC"/>
    <w:rsid w:val="0052136F"/>
    <w:rsid w:val="0052176F"/>
    <w:rsid w:val="005223DF"/>
    <w:rsid w:val="005229DC"/>
    <w:rsid w:val="00522FCC"/>
    <w:rsid w:val="0052328E"/>
    <w:rsid w:val="005241B3"/>
    <w:rsid w:val="00524770"/>
    <w:rsid w:val="00524C3E"/>
    <w:rsid w:val="00524D37"/>
    <w:rsid w:val="00524E9C"/>
    <w:rsid w:val="005250DA"/>
    <w:rsid w:val="005251EB"/>
    <w:rsid w:val="00525584"/>
    <w:rsid w:val="005264C5"/>
    <w:rsid w:val="00526E5D"/>
    <w:rsid w:val="00526FDB"/>
    <w:rsid w:val="005279B7"/>
    <w:rsid w:val="00527C09"/>
    <w:rsid w:val="00527F8C"/>
    <w:rsid w:val="005300C2"/>
    <w:rsid w:val="005305B3"/>
    <w:rsid w:val="0053097A"/>
    <w:rsid w:val="005311E2"/>
    <w:rsid w:val="0053134F"/>
    <w:rsid w:val="0053154F"/>
    <w:rsid w:val="005315AA"/>
    <w:rsid w:val="005315CC"/>
    <w:rsid w:val="00533046"/>
    <w:rsid w:val="0053314F"/>
    <w:rsid w:val="00533CE4"/>
    <w:rsid w:val="005342C3"/>
    <w:rsid w:val="00534300"/>
    <w:rsid w:val="00534A52"/>
    <w:rsid w:val="00534F14"/>
    <w:rsid w:val="00535DB3"/>
    <w:rsid w:val="005361FD"/>
    <w:rsid w:val="00536390"/>
    <w:rsid w:val="00536714"/>
    <w:rsid w:val="00536DA6"/>
    <w:rsid w:val="005372CD"/>
    <w:rsid w:val="00537328"/>
    <w:rsid w:val="00540A41"/>
    <w:rsid w:val="00540F1E"/>
    <w:rsid w:val="005413DF"/>
    <w:rsid w:val="0054184A"/>
    <w:rsid w:val="00543344"/>
    <w:rsid w:val="005434A0"/>
    <w:rsid w:val="00543E6C"/>
    <w:rsid w:val="00544433"/>
    <w:rsid w:val="00544897"/>
    <w:rsid w:val="00544A94"/>
    <w:rsid w:val="00544CFC"/>
    <w:rsid w:val="00544D67"/>
    <w:rsid w:val="005452DD"/>
    <w:rsid w:val="00545831"/>
    <w:rsid w:val="005463F0"/>
    <w:rsid w:val="00546D89"/>
    <w:rsid w:val="00546D90"/>
    <w:rsid w:val="00546FB3"/>
    <w:rsid w:val="005472E1"/>
    <w:rsid w:val="005476C0"/>
    <w:rsid w:val="00547C59"/>
    <w:rsid w:val="005506A1"/>
    <w:rsid w:val="005508DF"/>
    <w:rsid w:val="0055094E"/>
    <w:rsid w:val="00550B4C"/>
    <w:rsid w:val="00550C09"/>
    <w:rsid w:val="00550C50"/>
    <w:rsid w:val="00550C8E"/>
    <w:rsid w:val="005515C6"/>
    <w:rsid w:val="005516F9"/>
    <w:rsid w:val="00551860"/>
    <w:rsid w:val="00552116"/>
    <w:rsid w:val="00552535"/>
    <w:rsid w:val="00552855"/>
    <w:rsid w:val="00552AAC"/>
    <w:rsid w:val="00552BD8"/>
    <w:rsid w:val="00552F3D"/>
    <w:rsid w:val="00553278"/>
    <w:rsid w:val="005532C4"/>
    <w:rsid w:val="005533B0"/>
    <w:rsid w:val="0055373D"/>
    <w:rsid w:val="00553B91"/>
    <w:rsid w:val="00553D6F"/>
    <w:rsid w:val="00553F8A"/>
    <w:rsid w:val="00554037"/>
    <w:rsid w:val="005551C3"/>
    <w:rsid w:val="00555ED6"/>
    <w:rsid w:val="00555F0B"/>
    <w:rsid w:val="005566AB"/>
    <w:rsid w:val="00556B3C"/>
    <w:rsid w:val="00556CB0"/>
    <w:rsid w:val="00557275"/>
    <w:rsid w:val="005572DC"/>
    <w:rsid w:val="00557349"/>
    <w:rsid w:val="00557442"/>
    <w:rsid w:val="005579EE"/>
    <w:rsid w:val="00560149"/>
    <w:rsid w:val="00560364"/>
    <w:rsid w:val="00560E0B"/>
    <w:rsid w:val="00561168"/>
    <w:rsid w:val="005611C2"/>
    <w:rsid w:val="00561211"/>
    <w:rsid w:val="005613CF"/>
    <w:rsid w:val="00561A32"/>
    <w:rsid w:val="005621EC"/>
    <w:rsid w:val="0056227D"/>
    <w:rsid w:val="005623FC"/>
    <w:rsid w:val="005625F4"/>
    <w:rsid w:val="005631E8"/>
    <w:rsid w:val="00563221"/>
    <w:rsid w:val="00563A92"/>
    <w:rsid w:val="00563C1F"/>
    <w:rsid w:val="00564110"/>
    <w:rsid w:val="005641A7"/>
    <w:rsid w:val="00564230"/>
    <w:rsid w:val="0056424C"/>
    <w:rsid w:val="005647ED"/>
    <w:rsid w:val="00564FB9"/>
    <w:rsid w:val="00564FE1"/>
    <w:rsid w:val="00565193"/>
    <w:rsid w:val="005653AB"/>
    <w:rsid w:val="005666CD"/>
    <w:rsid w:val="00566A02"/>
    <w:rsid w:val="00566C49"/>
    <w:rsid w:val="00566EC5"/>
    <w:rsid w:val="00566F99"/>
    <w:rsid w:val="00567272"/>
    <w:rsid w:val="00570B0A"/>
    <w:rsid w:val="00570FC2"/>
    <w:rsid w:val="005715C7"/>
    <w:rsid w:val="005715F2"/>
    <w:rsid w:val="00571F2D"/>
    <w:rsid w:val="00571F95"/>
    <w:rsid w:val="00572241"/>
    <w:rsid w:val="005722E9"/>
    <w:rsid w:val="0057279C"/>
    <w:rsid w:val="00572A06"/>
    <w:rsid w:val="00572C8A"/>
    <w:rsid w:val="00573084"/>
    <w:rsid w:val="0057314E"/>
    <w:rsid w:val="00573205"/>
    <w:rsid w:val="00573397"/>
    <w:rsid w:val="0057364B"/>
    <w:rsid w:val="005739FB"/>
    <w:rsid w:val="00573E7B"/>
    <w:rsid w:val="00574116"/>
    <w:rsid w:val="00574BFD"/>
    <w:rsid w:val="00574CE9"/>
    <w:rsid w:val="0057510C"/>
    <w:rsid w:val="00575AD3"/>
    <w:rsid w:val="00575CBB"/>
    <w:rsid w:val="00575EC8"/>
    <w:rsid w:val="00576B6D"/>
    <w:rsid w:val="00576EB3"/>
    <w:rsid w:val="00577404"/>
    <w:rsid w:val="00577923"/>
    <w:rsid w:val="00577CFF"/>
    <w:rsid w:val="00580729"/>
    <w:rsid w:val="00580E56"/>
    <w:rsid w:val="00580F63"/>
    <w:rsid w:val="0058140C"/>
    <w:rsid w:val="0058165F"/>
    <w:rsid w:val="00581931"/>
    <w:rsid w:val="00581B50"/>
    <w:rsid w:val="00582588"/>
    <w:rsid w:val="00582C01"/>
    <w:rsid w:val="00582D3C"/>
    <w:rsid w:val="005840C3"/>
    <w:rsid w:val="005840C6"/>
    <w:rsid w:val="00585110"/>
    <w:rsid w:val="0058592C"/>
    <w:rsid w:val="00586116"/>
    <w:rsid w:val="00586449"/>
    <w:rsid w:val="00586851"/>
    <w:rsid w:val="00586CD1"/>
    <w:rsid w:val="00586DB1"/>
    <w:rsid w:val="00587017"/>
    <w:rsid w:val="005870F7"/>
    <w:rsid w:val="005875CB"/>
    <w:rsid w:val="00587A9F"/>
    <w:rsid w:val="00587C4F"/>
    <w:rsid w:val="00587D65"/>
    <w:rsid w:val="00587D78"/>
    <w:rsid w:val="00587DC3"/>
    <w:rsid w:val="005903A2"/>
    <w:rsid w:val="005906A5"/>
    <w:rsid w:val="00590CB3"/>
    <w:rsid w:val="00590F50"/>
    <w:rsid w:val="00591402"/>
    <w:rsid w:val="0059173E"/>
    <w:rsid w:val="005919F4"/>
    <w:rsid w:val="0059367B"/>
    <w:rsid w:val="00593DDB"/>
    <w:rsid w:val="005945B1"/>
    <w:rsid w:val="0059495F"/>
    <w:rsid w:val="005958A0"/>
    <w:rsid w:val="005958FC"/>
    <w:rsid w:val="00595E58"/>
    <w:rsid w:val="0059639F"/>
    <w:rsid w:val="0059670D"/>
    <w:rsid w:val="00596839"/>
    <w:rsid w:val="005970FD"/>
    <w:rsid w:val="005971EE"/>
    <w:rsid w:val="0059773F"/>
    <w:rsid w:val="00597DE6"/>
    <w:rsid w:val="005A0560"/>
    <w:rsid w:val="005A07B6"/>
    <w:rsid w:val="005A0950"/>
    <w:rsid w:val="005A0BD1"/>
    <w:rsid w:val="005A0D4A"/>
    <w:rsid w:val="005A104B"/>
    <w:rsid w:val="005A18DF"/>
    <w:rsid w:val="005A20CE"/>
    <w:rsid w:val="005A20ED"/>
    <w:rsid w:val="005A23F8"/>
    <w:rsid w:val="005A2535"/>
    <w:rsid w:val="005A2AAB"/>
    <w:rsid w:val="005A2B38"/>
    <w:rsid w:val="005A2C9B"/>
    <w:rsid w:val="005A2EFA"/>
    <w:rsid w:val="005A3372"/>
    <w:rsid w:val="005A35CA"/>
    <w:rsid w:val="005A3640"/>
    <w:rsid w:val="005A4B5B"/>
    <w:rsid w:val="005A4CE2"/>
    <w:rsid w:val="005A5012"/>
    <w:rsid w:val="005A5116"/>
    <w:rsid w:val="005A554D"/>
    <w:rsid w:val="005A59EB"/>
    <w:rsid w:val="005A5D59"/>
    <w:rsid w:val="005A601B"/>
    <w:rsid w:val="005A6830"/>
    <w:rsid w:val="005A6CA3"/>
    <w:rsid w:val="005A6F5C"/>
    <w:rsid w:val="005A7EDB"/>
    <w:rsid w:val="005B0195"/>
    <w:rsid w:val="005B08A7"/>
    <w:rsid w:val="005B11CF"/>
    <w:rsid w:val="005B12C1"/>
    <w:rsid w:val="005B1BB5"/>
    <w:rsid w:val="005B1D17"/>
    <w:rsid w:val="005B1EFA"/>
    <w:rsid w:val="005B2269"/>
    <w:rsid w:val="005B22E8"/>
    <w:rsid w:val="005B2828"/>
    <w:rsid w:val="005B2D1C"/>
    <w:rsid w:val="005B324C"/>
    <w:rsid w:val="005B3725"/>
    <w:rsid w:val="005B3BA8"/>
    <w:rsid w:val="005B3E6A"/>
    <w:rsid w:val="005B4260"/>
    <w:rsid w:val="005B470A"/>
    <w:rsid w:val="005B4D2B"/>
    <w:rsid w:val="005B52B4"/>
    <w:rsid w:val="005B534D"/>
    <w:rsid w:val="005B54F6"/>
    <w:rsid w:val="005B5505"/>
    <w:rsid w:val="005B59D9"/>
    <w:rsid w:val="005B5DC1"/>
    <w:rsid w:val="005B5EE9"/>
    <w:rsid w:val="005B5F6B"/>
    <w:rsid w:val="005B6026"/>
    <w:rsid w:val="005B64AF"/>
    <w:rsid w:val="005B6597"/>
    <w:rsid w:val="005B6695"/>
    <w:rsid w:val="005B6B12"/>
    <w:rsid w:val="005B6BF6"/>
    <w:rsid w:val="005B76F0"/>
    <w:rsid w:val="005B7B88"/>
    <w:rsid w:val="005C0061"/>
    <w:rsid w:val="005C03CA"/>
    <w:rsid w:val="005C0DB8"/>
    <w:rsid w:val="005C0EF0"/>
    <w:rsid w:val="005C12B2"/>
    <w:rsid w:val="005C1E6C"/>
    <w:rsid w:val="005C217D"/>
    <w:rsid w:val="005C30F3"/>
    <w:rsid w:val="005C33E0"/>
    <w:rsid w:val="005C3690"/>
    <w:rsid w:val="005C36DC"/>
    <w:rsid w:val="005C3848"/>
    <w:rsid w:val="005C38AE"/>
    <w:rsid w:val="005C393F"/>
    <w:rsid w:val="005C4107"/>
    <w:rsid w:val="005C4703"/>
    <w:rsid w:val="005C493D"/>
    <w:rsid w:val="005C51C5"/>
    <w:rsid w:val="005C53F5"/>
    <w:rsid w:val="005C56A5"/>
    <w:rsid w:val="005C56B4"/>
    <w:rsid w:val="005C56F8"/>
    <w:rsid w:val="005C578B"/>
    <w:rsid w:val="005C58B7"/>
    <w:rsid w:val="005C5C54"/>
    <w:rsid w:val="005C69EB"/>
    <w:rsid w:val="005C74FA"/>
    <w:rsid w:val="005C77B6"/>
    <w:rsid w:val="005D00D3"/>
    <w:rsid w:val="005D031C"/>
    <w:rsid w:val="005D0A1B"/>
    <w:rsid w:val="005D1BB5"/>
    <w:rsid w:val="005D1C27"/>
    <w:rsid w:val="005D2929"/>
    <w:rsid w:val="005D3263"/>
    <w:rsid w:val="005D34F5"/>
    <w:rsid w:val="005D3EA5"/>
    <w:rsid w:val="005D3EEC"/>
    <w:rsid w:val="005D413D"/>
    <w:rsid w:val="005D418E"/>
    <w:rsid w:val="005D4572"/>
    <w:rsid w:val="005D45AE"/>
    <w:rsid w:val="005D5323"/>
    <w:rsid w:val="005D556B"/>
    <w:rsid w:val="005D5AA2"/>
    <w:rsid w:val="005D5CB0"/>
    <w:rsid w:val="005D6306"/>
    <w:rsid w:val="005D6872"/>
    <w:rsid w:val="005D6CB3"/>
    <w:rsid w:val="005D6D5C"/>
    <w:rsid w:val="005D71F4"/>
    <w:rsid w:val="005D73CB"/>
    <w:rsid w:val="005D76A3"/>
    <w:rsid w:val="005E0161"/>
    <w:rsid w:val="005E0181"/>
    <w:rsid w:val="005E097C"/>
    <w:rsid w:val="005E169A"/>
    <w:rsid w:val="005E18BB"/>
    <w:rsid w:val="005E1D11"/>
    <w:rsid w:val="005E256B"/>
    <w:rsid w:val="005E2930"/>
    <w:rsid w:val="005E2DDB"/>
    <w:rsid w:val="005E2E6E"/>
    <w:rsid w:val="005E2E82"/>
    <w:rsid w:val="005E33FB"/>
    <w:rsid w:val="005E3428"/>
    <w:rsid w:val="005E3E68"/>
    <w:rsid w:val="005E3ED1"/>
    <w:rsid w:val="005E3FD9"/>
    <w:rsid w:val="005E412D"/>
    <w:rsid w:val="005E4732"/>
    <w:rsid w:val="005E4D29"/>
    <w:rsid w:val="005E5E9E"/>
    <w:rsid w:val="005E6387"/>
    <w:rsid w:val="005E6C4A"/>
    <w:rsid w:val="005E6DE4"/>
    <w:rsid w:val="005E7421"/>
    <w:rsid w:val="005E74F1"/>
    <w:rsid w:val="005E753A"/>
    <w:rsid w:val="005E7887"/>
    <w:rsid w:val="005F002F"/>
    <w:rsid w:val="005F00EA"/>
    <w:rsid w:val="005F0102"/>
    <w:rsid w:val="005F03A7"/>
    <w:rsid w:val="005F0867"/>
    <w:rsid w:val="005F091E"/>
    <w:rsid w:val="005F09F1"/>
    <w:rsid w:val="005F0F25"/>
    <w:rsid w:val="005F10B1"/>
    <w:rsid w:val="005F1194"/>
    <w:rsid w:val="005F15FE"/>
    <w:rsid w:val="005F1C84"/>
    <w:rsid w:val="005F244B"/>
    <w:rsid w:val="005F28E9"/>
    <w:rsid w:val="005F2A47"/>
    <w:rsid w:val="005F32BC"/>
    <w:rsid w:val="005F32FB"/>
    <w:rsid w:val="005F37AE"/>
    <w:rsid w:val="005F37FB"/>
    <w:rsid w:val="005F3BBA"/>
    <w:rsid w:val="005F4337"/>
    <w:rsid w:val="005F49ED"/>
    <w:rsid w:val="005F4CCD"/>
    <w:rsid w:val="005F4E6E"/>
    <w:rsid w:val="005F4E92"/>
    <w:rsid w:val="005F50D8"/>
    <w:rsid w:val="005F5760"/>
    <w:rsid w:val="005F58D7"/>
    <w:rsid w:val="005F59C5"/>
    <w:rsid w:val="005F59EC"/>
    <w:rsid w:val="005F5BEC"/>
    <w:rsid w:val="005F6233"/>
    <w:rsid w:val="005F6510"/>
    <w:rsid w:val="005F68E0"/>
    <w:rsid w:val="005F6AAE"/>
    <w:rsid w:val="005F7491"/>
    <w:rsid w:val="005F7800"/>
    <w:rsid w:val="006014B2"/>
    <w:rsid w:val="00601B01"/>
    <w:rsid w:val="00601C34"/>
    <w:rsid w:val="006035B0"/>
    <w:rsid w:val="00604082"/>
    <w:rsid w:val="006042FF"/>
    <w:rsid w:val="006045A7"/>
    <w:rsid w:val="006045B5"/>
    <w:rsid w:val="00604890"/>
    <w:rsid w:val="006057B4"/>
    <w:rsid w:val="00605A19"/>
    <w:rsid w:val="00605D4D"/>
    <w:rsid w:val="006064CF"/>
    <w:rsid w:val="006067B5"/>
    <w:rsid w:val="00606BC7"/>
    <w:rsid w:val="00606C6D"/>
    <w:rsid w:val="00607B16"/>
    <w:rsid w:val="00607B3D"/>
    <w:rsid w:val="006101EB"/>
    <w:rsid w:val="00610410"/>
    <w:rsid w:val="00610796"/>
    <w:rsid w:val="00610943"/>
    <w:rsid w:val="00610A03"/>
    <w:rsid w:val="00610B07"/>
    <w:rsid w:val="00610E14"/>
    <w:rsid w:val="0061103E"/>
    <w:rsid w:val="0061114B"/>
    <w:rsid w:val="006111CC"/>
    <w:rsid w:val="006118FF"/>
    <w:rsid w:val="00611988"/>
    <w:rsid w:val="00611B42"/>
    <w:rsid w:val="00612216"/>
    <w:rsid w:val="0061233E"/>
    <w:rsid w:val="00612480"/>
    <w:rsid w:val="00612B0F"/>
    <w:rsid w:val="00612C4A"/>
    <w:rsid w:val="00612E1B"/>
    <w:rsid w:val="006132B3"/>
    <w:rsid w:val="006132F6"/>
    <w:rsid w:val="0061383F"/>
    <w:rsid w:val="00613915"/>
    <w:rsid w:val="00613997"/>
    <w:rsid w:val="00613BEA"/>
    <w:rsid w:val="00613F86"/>
    <w:rsid w:val="0061413F"/>
    <w:rsid w:val="00614230"/>
    <w:rsid w:val="006143EF"/>
    <w:rsid w:val="006145AA"/>
    <w:rsid w:val="00614678"/>
    <w:rsid w:val="00614C56"/>
    <w:rsid w:val="00614F67"/>
    <w:rsid w:val="0061557B"/>
    <w:rsid w:val="00615EC7"/>
    <w:rsid w:val="006168B5"/>
    <w:rsid w:val="00617CA1"/>
    <w:rsid w:val="00617D5D"/>
    <w:rsid w:val="0062012F"/>
    <w:rsid w:val="00620238"/>
    <w:rsid w:val="006203BE"/>
    <w:rsid w:val="00621487"/>
    <w:rsid w:val="0062182D"/>
    <w:rsid w:val="00621C85"/>
    <w:rsid w:val="00621DF5"/>
    <w:rsid w:val="00622240"/>
    <w:rsid w:val="006223C3"/>
    <w:rsid w:val="00622A73"/>
    <w:rsid w:val="00622F0B"/>
    <w:rsid w:val="00623868"/>
    <w:rsid w:val="00623A46"/>
    <w:rsid w:val="006245EB"/>
    <w:rsid w:val="00624A50"/>
    <w:rsid w:val="00624BB9"/>
    <w:rsid w:val="006250A4"/>
    <w:rsid w:val="00625B11"/>
    <w:rsid w:val="0062601B"/>
    <w:rsid w:val="0062631D"/>
    <w:rsid w:val="006263CE"/>
    <w:rsid w:val="00626CA4"/>
    <w:rsid w:val="00626D32"/>
    <w:rsid w:val="0062734D"/>
    <w:rsid w:val="00627D59"/>
    <w:rsid w:val="00630165"/>
    <w:rsid w:val="0063138F"/>
    <w:rsid w:val="006316DD"/>
    <w:rsid w:val="006318DC"/>
    <w:rsid w:val="006322E2"/>
    <w:rsid w:val="006334B4"/>
    <w:rsid w:val="006336E9"/>
    <w:rsid w:val="00633911"/>
    <w:rsid w:val="00633A87"/>
    <w:rsid w:val="00633B2B"/>
    <w:rsid w:val="00634A85"/>
    <w:rsid w:val="00634EC4"/>
    <w:rsid w:val="00635347"/>
    <w:rsid w:val="00635439"/>
    <w:rsid w:val="0063565E"/>
    <w:rsid w:val="00635A12"/>
    <w:rsid w:val="00635BCA"/>
    <w:rsid w:val="00635DDF"/>
    <w:rsid w:val="00636458"/>
    <w:rsid w:val="00636533"/>
    <w:rsid w:val="0063668A"/>
    <w:rsid w:val="006367CF"/>
    <w:rsid w:val="00636C24"/>
    <w:rsid w:val="00636E02"/>
    <w:rsid w:val="00637437"/>
    <w:rsid w:val="00637B29"/>
    <w:rsid w:val="00637FCB"/>
    <w:rsid w:val="00640894"/>
    <w:rsid w:val="00640AC0"/>
    <w:rsid w:val="006414DE"/>
    <w:rsid w:val="00641963"/>
    <w:rsid w:val="00641C86"/>
    <w:rsid w:val="00641F03"/>
    <w:rsid w:val="00642297"/>
    <w:rsid w:val="00642300"/>
    <w:rsid w:val="006426B8"/>
    <w:rsid w:val="00642AE4"/>
    <w:rsid w:val="00642BFA"/>
    <w:rsid w:val="0064351D"/>
    <w:rsid w:val="006435BF"/>
    <w:rsid w:val="00643EB0"/>
    <w:rsid w:val="00643FC8"/>
    <w:rsid w:val="00644159"/>
    <w:rsid w:val="00644307"/>
    <w:rsid w:val="006448AE"/>
    <w:rsid w:val="00644A34"/>
    <w:rsid w:val="00645204"/>
    <w:rsid w:val="00645858"/>
    <w:rsid w:val="00645B39"/>
    <w:rsid w:val="00645CBC"/>
    <w:rsid w:val="00645CD1"/>
    <w:rsid w:val="00645E58"/>
    <w:rsid w:val="006462D0"/>
    <w:rsid w:val="00646B4F"/>
    <w:rsid w:val="00646C0F"/>
    <w:rsid w:val="00646CE6"/>
    <w:rsid w:val="00646D3F"/>
    <w:rsid w:val="00647198"/>
    <w:rsid w:val="00647237"/>
    <w:rsid w:val="006475F6"/>
    <w:rsid w:val="006479D7"/>
    <w:rsid w:val="00647DF9"/>
    <w:rsid w:val="00650396"/>
    <w:rsid w:val="0065109C"/>
    <w:rsid w:val="006511A3"/>
    <w:rsid w:val="0065126A"/>
    <w:rsid w:val="00651752"/>
    <w:rsid w:val="0065200A"/>
    <w:rsid w:val="006523C7"/>
    <w:rsid w:val="00652BA9"/>
    <w:rsid w:val="00652D41"/>
    <w:rsid w:val="00652E52"/>
    <w:rsid w:val="00652F59"/>
    <w:rsid w:val="0065332B"/>
    <w:rsid w:val="00653744"/>
    <w:rsid w:val="00653B14"/>
    <w:rsid w:val="0065434D"/>
    <w:rsid w:val="006545A3"/>
    <w:rsid w:val="00655D87"/>
    <w:rsid w:val="00656191"/>
    <w:rsid w:val="00656C7A"/>
    <w:rsid w:val="00656E93"/>
    <w:rsid w:val="00657BE7"/>
    <w:rsid w:val="00657C00"/>
    <w:rsid w:val="00657D50"/>
    <w:rsid w:val="00660052"/>
    <w:rsid w:val="00660190"/>
    <w:rsid w:val="006603D3"/>
    <w:rsid w:val="006604BE"/>
    <w:rsid w:val="006604CC"/>
    <w:rsid w:val="00660D82"/>
    <w:rsid w:val="006611BF"/>
    <w:rsid w:val="00661512"/>
    <w:rsid w:val="00661706"/>
    <w:rsid w:val="0066176B"/>
    <w:rsid w:val="0066185A"/>
    <w:rsid w:val="00661B12"/>
    <w:rsid w:val="006623DF"/>
    <w:rsid w:val="00662882"/>
    <w:rsid w:val="00663072"/>
    <w:rsid w:val="006630E0"/>
    <w:rsid w:val="006631EB"/>
    <w:rsid w:val="00663691"/>
    <w:rsid w:val="00663F4C"/>
    <w:rsid w:val="006644F7"/>
    <w:rsid w:val="00665825"/>
    <w:rsid w:val="00665A7C"/>
    <w:rsid w:val="00665CF5"/>
    <w:rsid w:val="00665DEC"/>
    <w:rsid w:val="006667A8"/>
    <w:rsid w:val="0066774F"/>
    <w:rsid w:val="00667827"/>
    <w:rsid w:val="0067070C"/>
    <w:rsid w:val="00670818"/>
    <w:rsid w:val="006709B7"/>
    <w:rsid w:val="00671363"/>
    <w:rsid w:val="006719CC"/>
    <w:rsid w:val="00671B52"/>
    <w:rsid w:val="00672010"/>
    <w:rsid w:val="0067221D"/>
    <w:rsid w:val="00672C04"/>
    <w:rsid w:val="00672D1B"/>
    <w:rsid w:val="006731AA"/>
    <w:rsid w:val="00673206"/>
    <w:rsid w:val="00673563"/>
    <w:rsid w:val="0067394F"/>
    <w:rsid w:val="00673AC8"/>
    <w:rsid w:val="00673C5E"/>
    <w:rsid w:val="00673FAB"/>
    <w:rsid w:val="00674523"/>
    <w:rsid w:val="006745A4"/>
    <w:rsid w:val="00674C26"/>
    <w:rsid w:val="0067523C"/>
    <w:rsid w:val="00675955"/>
    <w:rsid w:val="00675F47"/>
    <w:rsid w:val="006760AD"/>
    <w:rsid w:val="00676140"/>
    <w:rsid w:val="006762F8"/>
    <w:rsid w:val="0067657D"/>
    <w:rsid w:val="00677501"/>
    <w:rsid w:val="006776FA"/>
    <w:rsid w:val="00677928"/>
    <w:rsid w:val="006779AB"/>
    <w:rsid w:val="00680018"/>
    <w:rsid w:val="006802BF"/>
    <w:rsid w:val="006803D8"/>
    <w:rsid w:val="006806F4"/>
    <w:rsid w:val="006808FD"/>
    <w:rsid w:val="00680A90"/>
    <w:rsid w:val="00680CBD"/>
    <w:rsid w:val="006810C4"/>
    <w:rsid w:val="006811EB"/>
    <w:rsid w:val="006816D8"/>
    <w:rsid w:val="00681C6E"/>
    <w:rsid w:val="00681EDB"/>
    <w:rsid w:val="00681F42"/>
    <w:rsid w:val="0068238A"/>
    <w:rsid w:val="006829D5"/>
    <w:rsid w:val="00682B21"/>
    <w:rsid w:val="00682B58"/>
    <w:rsid w:val="00682CB1"/>
    <w:rsid w:val="00683568"/>
    <w:rsid w:val="00683A01"/>
    <w:rsid w:val="00683F26"/>
    <w:rsid w:val="00683FD8"/>
    <w:rsid w:val="00684AF0"/>
    <w:rsid w:val="00684B9D"/>
    <w:rsid w:val="00684D1A"/>
    <w:rsid w:val="00684EB0"/>
    <w:rsid w:val="00685485"/>
    <w:rsid w:val="00685812"/>
    <w:rsid w:val="00685A84"/>
    <w:rsid w:val="00685CFB"/>
    <w:rsid w:val="00686CB5"/>
    <w:rsid w:val="00687099"/>
    <w:rsid w:val="00687A6B"/>
    <w:rsid w:val="00687C1D"/>
    <w:rsid w:val="006902D1"/>
    <w:rsid w:val="0069049F"/>
    <w:rsid w:val="00690530"/>
    <w:rsid w:val="00690682"/>
    <w:rsid w:val="00690879"/>
    <w:rsid w:val="00690E34"/>
    <w:rsid w:val="00691610"/>
    <w:rsid w:val="00691A0D"/>
    <w:rsid w:val="00691B63"/>
    <w:rsid w:val="0069245B"/>
    <w:rsid w:val="006928CA"/>
    <w:rsid w:val="00692941"/>
    <w:rsid w:val="00692FB4"/>
    <w:rsid w:val="00693597"/>
    <w:rsid w:val="00693807"/>
    <w:rsid w:val="00694832"/>
    <w:rsid w:val="00694A04"/>
    <w:rsid w:val="006956FE"/>
    <w:rsid w:val="006958E3"/>
    <w:rsid w:val="00695A42"/>
    <w:rsid w:val="00695AC2"/>
    <w:rsid w:val="006960E9"/>
    <w:rsid w:val="00696B02"/>
    <w:rsid w:val="006A09FA"/>
    <w:rsid w:val="006A0E18"/>
    <w:rsid w:val="006A1288"/>
    <w:rsid w:val="006A1ABD"/>
    <w:rsid w:val="006A1E77"/>
    <w:rsid w:val="006A2C89"/>
    <w:rsid w:val="006A2DC8"/>
    <w:rsid w:val="006A30A8"/>
    <w:rsid w:val="006A44DA"/>
    <w:rsid w:val="006A498C"/>
    <w:rsid w:val="006A5314"/>
    <w:rsid w:val="006A61AC"/>
    <w:rsid w:val="006A6374"/>
    <w:rsid w:val="006A64F6"/>
    <w:rsid w:val="006A658C"/>
    <w:rsid w:val="006A66BF"/>
    <w:rsid w:val="006A6A45"/>
    <w:rsid w:val="006A7238"/>
    <w:rsid w:val="006A756A"/>
    <w:rsid w:val="006A797D"/>
    <w:rsid w:val="006A7A10"/>
    <w:rsid w:val="006A7E92"/>
    <w:rsid w:val="006B005C"/>
    <w:rsid w:val="006B09E2"/>
    <w:rsid w:val="006B0B1C"/>
    <w:rsid w:val="006B0DA4"/>
    <w:rsid w:val="006B145F"/>
    <w:rsid w:val="006B14EC"/>
    <w:rsid w:val="006B1786"/>
    <w:rsid w:val="006B17F1"/>
    <w:rsid w:val="006B1B6B"/>
    <w:rsid w:val="006B2757"/>
    <w:rsid w:val="006B28B3"/>
    <w:rsid w:val="006B2B20"/>
    <w:rsid w:val="006B30A1"/>
    <w:rsid w:val="006B36B2"/>
    <w:rsid w:val="006B3D9E"/>
    <w:rsid w:val="006B4044"/>
    <w:rsid w:val="006B4616"/>
    <w:rsid w:val="006B492E"/>
    <w:rsid w:val="006B4D0F"/>
    <w:rsid w:val="006B4FF4"/>
    <w:rsid w:val="006B5605"/>
    <w:rsid w:val="006B5E18"/>
    <w:rsid w:val="006B654F"/>
    <w:rsid w:val="006B677A"/>
    <w:rsid w:val="006B6CDB"/>
    <w:rsid w:val="006B7B72"/>
    <w:rsid w:val="006C0189"/>
    <w:rsid w:val="006C0925"/>
    <w:rsid w:val="006C0D19"/>
    <w:rsid w:val="006C0D3A"/>
    <w:rsid w:val="006C0F82"/>
    <w:rsid w:val="006C1248"/>
    <w:rsid w:val="006C1298"/>
    <w:rsid w:val="006C1485"/>
    <w:rsid w:val="006C1B4A"/>
    <w:rsid w:val="006C2B48"/>
    <w:rsid w:val="006C2D4D"/>
    <w:rsid w:val="006C2FCD"/>
    <w:rsid w:val="006C2FFC"/>
    <w:rsid w:val="006C3617"/>
    <w:rsid w:val="006C371A"/>
    <w:rsid w:val="006C4351"/>
    <w:rsid w:val="006C4ECA"/>
    <w:rsid w:val="006C531D"/>
    <w:rsid w:val="006C5A3D"/>
    <w:rsid w:val="006C5AC4"/>
    <w:rsid w:val="006C6198"/>
    <w:rsid w:val="006C6421"/>
    <w:rsid w:val="006C6639"/>
    <w:rsid w:val="006C6729"/>
    <w:rsid w:val="006C694A"/>
    <w:rsid w:val="006C6C5B"/>
    <w:rsid w:val="006C6E63"/>
    <w:rsid w:val="006C6E8F"/>
    <w:rsid w:val="006C6F0A"/>
    <w:rsid w:val="006C712E"/>
    <w:rsid w:val="006C7352"/>
    <w:rsid w:val="006D0135"/>
    <w:rsid w:val="006D0137"/>
    <w:rsid w:val="006D050C"/>
    <w:rsid w:val="006D0638"/>
    <w:rsid w:val="006D0D23"/>
    <w:rsid w:val="006D0D35"/>
    <w:rsid w:val="006D0D98"/>
    <w:rsid w:val="006D0DBF"/>
    <w:rsid w:val="006D1A8D"/>
    <w:rsid w:val="006D29E0"/>
    <w:rsid w:val="006D2C70"/>
    <w:rsid w:val="006D2FB8"/>
    <w:rsid w:val="006D344E"/>
    <w:rsid w:val="006D3658"/>
    <w:rsid w:val="006D376D"/>
    <w:rsid w:val="006D38B5"/>
    <w:rsid w:val="006D39AE"/>
    <w:rsid w:val="006D3ABA"/>
    <w:rsid w:val="006D3BB5"/>
    <w:rsid w:val="006D3E66"/>
    <w:rsid w:val="006D436A"/>
    <w:rsid w:val="006D4692"/>
    <w:rsid w:val="006D4A95"/>
    <w:rsid w:val="006D4F43"/>
    <w:rsid w:val="006D54B3"/>
    <w:rsid w:val="006D59BF"/>
    <w:rsid w:val="006D5AB4"/>
    <w:rsid w:val="006D5AD3"/>
    <w:rsid w:val="006D5AE0"/>
    <w:rsid w:val="006D605D"/>
    <w:rsid w:val="006D6790"/>
    <w:rsid w:val="006D6803"/>
    <w:rsid w:val="006D6EA0"/>
    <w:rsid w:val="006D704B"/>
    <w:rsid w:val="006D74AF"/>
    <w:rsid w:val="006D781A"/>
    <w:rsid w:val="006D7E95"/>
    <w:rsid w:val="006E00C4"/>
    <w:rsid w:val="006E0396"/>
    <w:rsid w:val="006E0398"/>
    <w:rsid w:val="006E10E6"/>
    <w:rsid w:val="006E15FE"/>
    <w:rsid w:val="006E1637"/>
    <w:rsid w:val="006E1AAD"/>
    <w:rsid w:val="006E1ADD"/>
    <w:rsid w:val="006E2829"/>
    <w:rsid w:val="006E2999"/>
    <w:rsid w:val="006E3080"/>
    <w:rsid w:val="006E337F"/>
    <w:rsid w:val="006E3481"/>
    <w:rsid w:val="006E360F"/>
    <w:rsid w:val="006E3968"/>
    <w:rsid w:val="006E39B5"/>
    <w:rsid w:val="006E4086"/>
    <w:rsid w:val="006E42B1"/>
    <w:rsid w:val="006E443B"/>
    <w:rsid w:val="006E48AA"/>
    <w:rsid w:val="006E492E"/>
    <w:rsid w:val="006E4A3E"/>
    <w:rsid w:val="006E4C43"/>
    <w:rsid w:val="006E4ED0"/>
    <w:rsid w:val="006E508A"/>
    <w:rsid w:val="006E54A6"/>
    <w:rsid w:val="006E55E7"/>
    <w:rsid w:val="006E56E1"/>
    <w:rsid w:val="006E5CFD"/>
    <w:rsid w:val="006E5FD9"/>
    <w:rsid w:val="006E6300"/>
    <w:rsid w:val="006E65C6"/>
    <w:rsid w:val="006E6651"/>
    <w:rsid w:val="006E66F1"/>
    <w:rsid w:val="006E6A98"/>
    <w:rsid w:val="006E6AF5"/>
    <w:rsid w:val="006E6F60"/>
    <w:rsid w:val="006E785C"/>
    <w:rsid w:val="006F01FB"/>
    <w:rsid w:val="006F025C"/>
    <w:rsid w:val="006F0524"/>
    <w:rsid w:val="006F0A52"/>
    <w:rsid w:val="006F11AA"/>
    <w:rsid w:val="006F1C24"/>
    <w:rsid w:val="006F2084"/>
    <w:rsid w:val="006F21F0"/>
    <w:rsid w:val="006F250E"/>
    <w:rsid w:val="006F2702"/>
    <w:rsid w:val="006F2951"/>
    <w:rsid w:val="006F2D7A"/>
    <w:rsid w:val="006F3AA1"/>
    <w:rsid w:val="006F3DC6"/>
    <w:rsid w:val="006F3F7F"/>
    <w:rsid w:val="006F3FFB"/>
    <w:rsid w:val="006F4185"/>
    <w:rsid w:val="006F45D5"/>
    <w:rsid w:val="006F49FD"/>
    <w:rsid w:val="006F4E2B"/>
    <w:rsid w:val="006F5364"/>
    <w:rsid w:val="006F53CE"/>
    <w:rsid w:val="006F53E8"/>
    <w:rsid w:val="006F5C47"/>
    <w:rsid w:val="006F5C8C"/>
    <w:rsid w:val="006F6226"/>
    <w:rsid w:val="006F6A04"/>
    <w:rsid w:val="006F6B49"/>
    <w:rsid w:val="006F7250"/>
    <w:rsid w:val="006F744F"/>
    <w:rsid w:val="007006FE"/>
    <w:rsid w:val="007009D6"/>
    <w:rsid w:val="00700F4C"/>
    <w:rsid w:val="00700FC6"/>
    <w:rsid w:val="00701127"/>
    <w:rsid w:val="0070137A"/>
    <w:rsid w:val="0070175C"/>
    <w:rsid w:val="0070177E"/>
    <w:rsid w:val="0070204F"/>
    <w:rsid w:val="007023F5"/>
    <w:rsid w:val="00702CC5"/>
    <w:rsid w:val="00702EA4"/>
    <w:rsid w:val="00702FCA"/>
    <w:rsid w:val="0070314D"/>
    <w:rsid w:val="00703376"/>
    <w:rsid w:val="0070376B"/>
    <w:rsid w:val="00703A00"/>
    <w:rsid w:val="00703F6E"/>
    <w:rsid w:val="00704103"/>
    <w:rsid w:val="007041BA"/>
    <w:rsid w:val="0070450A"/>
    <w:rsid w:val="00704F45"/>
    <w:rsid w:val="007051A2"/>
    <w:rsid w:val="00705A8E"/>
    <w:rsid w:val="00705AA6"/>
    <w:rsid w:val="00705BA0"/>
    <w:rsid w:val="00706072"/>
    <w:rsid w:val="007065CB"/>
    <w:rsid w:val="00706AB2"/>
    <w:rsid w:val="00707074"/>
    <w:rsid w:val="00707682"/>
    <w:rsid w:val="007076DA"/>
    <w:rsid w:val="00707C4A"/>
    <w:rsid w:val="00707CD5"/>
    <w:rsid w:val="007101F0"/>
    <w:rsid w:val="007106C0"/>
    <w:rsid w:val="00710E18"/>
    <w:rsid w:val="007118DF"/>
    <w:rsid w:val="00711E12"/>
    <w:rsid w:val="00712300"/>
    <w:rsid w:val="00713061"/>
    <w:rsid w:val="00713399"/>
    <w:rsid w:val="00713FB1"/>
    <w:rsid w:val="007140FD"/>
    <w:rsid w:val="007144DA"/>
    <w:rsid w:val="007147A4"/>
    <w:rsid w:val="007151BF"/>
    <w:rsid w:val="00715FE1"/>
    <w:rsid w:val="007161B4"/>
    <w:rsid w:val="00716342"/>
    <w:rsid w:val="007164BF"/>
    <w:rsid w:val="007165A5"/>
    <w:rsid w:val="00716759"/>
    <w:rsid w:val="007167DE"/>
    <w:rsid w:val="00717A73"/>
    <w:rsid w:val="00717B52"/>
    <w:rsid w:val="007203BF"/>
    <w:rsid w:val="0072056B"/>
    <w:rsid w:val="007205F7"/>
    <w:rsid w:val="00720850"/>
    <w:rsid w:val="00720942"/>
    <w:rsid w:val="00720A99"/>
    <w:rsid w:val="00720E44"/>
    <w:rsid w:val="00721031"/>
    <w:rsid w:val="00721178"/>
    <w:rsid w:val="00721767"/>
    <w:rsid w:val="00721CB3"/>
    <w:rsid w:val="007223F7"/>
    <w:rsid w:val="00722F17"/>
    <w:rsid w:val="00723534"/>
    <w:rsid w:val="007237AA"/>
    <w:rsid w:val="007238FB"/>
    <w:rsid w:val="00723A91"/>
    <w:rsid w:val="00723F73"/>
    <w:rsid w:val="00723FEC"/>
    <w:rsid w:val="00724A15"/>
    <w:rsid w:val="00724A82"/>
    <w:rsid w:val="00724BD9"/>
    <w:rsid w:val="0072592B"/>
    <w:rsid w:val="00725C1A"/>
    <w:rsid w:val="00725D74"/>
    <w:rsid w:val="00725D86"/>
    <w:rsid w:val="00725F59"/>
    <w:rsid w:val="007262D3"/>
    <w:rsid w:val="007266C8"/>
    <w:rsid w:val="00726919"/>
    <w:rsid w:val="00726CAE"/>
    <w:rsid w:val="00727212"/>
    <w:rsid w:val="007273D0"/>
    <w:rsid w:val="00727D5F"/>
    <w:rsid w:val="00730173"/>
    <w:rsid w:val="0073024F"/>
    <w:rsid w:val="00730E4F"/>
    <w:rsid w:val="0073163D"/>
    <w:rsid w:val="00731684"/>
    <w:rsid w:val="007318E3"/>
    <w:rsid w:val="00731D04"/>
    <w:rsid w:val="00732295"/>
    <w:rsid w:val="00732E6A"/>
    <w:rsid w:val="0073302D"/>
    <w:rsid w:val="007330FF"/>
    <w:rsid w:val="007333C0"/>
    <w:rsid w:val="007333E9"/>
    <w:rsid w:val="0073380E"/>
    <w:rsid w:val="00733A79"/>
    <w:rsid w:val="00733D35"/>
    <w:rsid w:val="00733F83"/>
    <w:rsid w:val="00734107"/>
    <w:rsid w:val="007341E4"/>
    <w:rsid w:val="00734573"/>
    <w:rsid w:val="00734F2C"/>
    <w:rsid w:val="00734F43"/>
    <w:rsid w:val="00735382"/>
    <w:rsid w:val="00735451"/>
    <w:rsid w:val="007354B6"/>
    <w:rsid w:val="00735657"/>
    <w:rsid w:val="00735C87"/>
    <w:rsid w:val="00740229"/>
    <w:rsid w:val="00740996"/>
    <w:rsid w:val="00740CE4"/>
    <w:rsid w:val="00740FDB"/>
    <w:rsid w:val="00741324"/>
    <w:rsid w:val="00741677"/>
    <w:rsid w:val="0074205D"/>
    <w:rsid w:val="00742608"/>
    <w:rsid w:val="00742962"/>
    <w:rsid w:val="00742C0F"/>
    <w:rsid w:val="00743006"/>
    <w:rsid w:val="00743477"/>
    <w:rsid w:val="0074379E"/>
    <w:rsid w:val="00743D74"/>
    <w:rsid w:val="007442A4"/>
    <w:rsid w:val="00744335"/>
    <w:rsid w:val="0074564F"/>
    <w:rsid w:val="007456A1"/>
    <w:rsid w:val="00745EA7"/>
    <w:rsid w:val="00746111"/>
    <w:rsid w:val="007463A8"/>
    <w:rsid w:val="007465BC"/>
    <w:rsid w:val="007467D7"/>
    <w:rsid w:val="00746A56"/>
    <w:rsid w:val="00747168"/>
    <w:rsid w:val="00747785"/>
    <w:rsid w:val="007502BF"/>
    <w:rsid w:val="0075066B"/>
    <w:rsid w:val="00750BE1"/>
    <w:rsid w:val="0075129A"/>
    <w:rsid w:val="007520A8"/>
    <w:rsid w:val="00752244"/>
    <w:rsid w:val="007529E5"/>
    <w:rsid w:val="00752DE9"/>
    <w:rsid w:val="007531C1"/>
    <w:rsid w:val="00753542"/>
    <w:rsid w:val="00753870"/>
    <w:rsid w:val="007549AC"/>
    <w:rsid w:val="00754C78"/>
    <w:rsid w:val="00755B59"/>
    <w:rsid w:val="00755C9A"/>
    <w:rsid w:val="00756B73"/>
    <w:rsid w:val="00756E8A"/>
    <w:rsid w:val="00757140"/>
    <w:rsid w:val="00757219"/>
    <w:rsid w:val="0075725E"/>
    <w:rsid w:val="0075730C"/>
    <w:rsid w:val="007574CF"/>
    <w:rsid w:val="0075786E"/>
    <w:rsid w:val="0076041E"/>
    <w:rsid w:val="00760C2F"/>
    <w:rsid w:val="0076123B"/>
    <w:rsid w:val="007613B2"/>
    <w:rsid w:val="0076158C"/>
    <w:rsid w:val="00761A0F"/>
    <w:rsid w:val="00762863"/>
    <w:rsid w:val="0076289E"/>
    <w:rsid w:val="00762945"/>
    <w:rsid w:val="007632DC"/>
    <w:rsid w:val="00763983"/>
    <w:rsid w:val="007642D0"/>
    <w:rsid w:val="00764B06"/>
    <w:rsid w:val="00764B1E"/>
    <w:rsid w:val="00764CF3"/>
    <w:rsid w:val="00765302"/>
    <w:rsid w:val="0076571A"/>
    <w:rsid w:val="00765AE2"/>
    <w:rsid w:val="00765B95"/>
    <w:rsid w:val="00766174"/>
    <w:rsid w:val="00766648"/>
    <w:rsid w:val="0076688F"/>
    <w:rsid w:val="00766BA8"/>
    <w:rsid w:val="00766D94"/>
    <w:rsid w:val="00766F29"/>
    <w:rsid w:val="00766F30"/>
    <w:rsid w:val="007670E1"/>
    <w:rsid w:val="00767323"/>
    <w:rsid w:val="007675BB"/>
    <w:rsid w:val="007700CE"/>
    <w:rsid w:val="00770750"/>
    <w:rsid w:val="00770CF0"/>
    <w:rsid w:val="007712EA"/>
    <w:rsid w:val="00771909"/>
    <w:rsid w:val="00771B32"/>
    <w:rsid w:val="00772158"/>
    <w:rsid w:val="0077218E"/>
    <w:rsid w:val="00772ACD"/>
    <w:rsid w:val="00772BA7"/>
    <w:rsid w:val="00772EDB"/>
    <w:rsid w:val="00773003"/>
    <w:rsid w:val="00773718"/>
    <w:rsid w:val="007739B5"/>
    <w:rsid w:val="00773B45"/>
    <w:rsid w:val="00773BAA"/>
    <w:rsid w:val="00773D9D"/>
    <w:rsid w:val="0077428B"/>
    <w:rsid w:val="007746D7"/>
    <w:rsid w:val="0077506E"/>
    <w:rsid w:val="007750F2"/>
    <w:rsid w:val="00775136"/>
    <w:rsid w:val="00775C32"/>
    <w:rsid w:val="0077682F"/>
    <w:rsid w:val="007768B8"/>
    <w:rsid w:val="00776DD7"/>
    <w:rsid w:val="007770FE"/>
    <w:rsid w:val="007771EE"/>
    <w:rsid w:val="00777300"/>
    <w:rsid w:val="00777399"/>
    <w:rsid w:val="007777CB"/>
    <w:rsid w:val="00777811"/>
    <w:rsid w:val="00777954"/>
    <w:rsid w:val="00777C9A"/>
    <w:rsid w:val="00777E56"/>
    <w:rsid w:val="00780887"/>
    <w:rsid w:val="00780B82"/>
    <w:rsid w:val="00780FEC"/>
    <w:rsid w:val="007812A6"/>
    <w:rsid w:val="007813F9"/>
    <w:rsid w:val="007815FA"/>
    <w:rsid w:val="007823A2"/>
    <w:rsid w:val="00782809"/>
    <w:rsid w:val="00782C97"/>
    <w:rsid w:val="00783055"/>
    <w:rsid w:val="00783135"/>
    <w:rsid w:val="00783154"/>
    <w:rsid w:val="00783C45"/>
    <w:rsid w:val="0078400A"/>
    <w:rsid w:val="00784292"/>
    <w:rsid w:val="00784297"/>
    <w:rsid w:val="00784313"/>
    <w:rsid w:val="00784511"/>
    <w:rsid w:val="007846D1"/>
    <w:rsid w:val="0078476B"/>
    <w:rsid w:val="00784821"/>
    <w:rsid w:val="00784AF9"/>
    <w:rsid w:val="00784C2F"/>
    <w:rsid w:val="00784C4A"/>
    <w:rsid w:val="00784FE3"/>
    <w:rsid w:val="007853F6"/>
    <w:rsid w:val="00785E08"/>
    <w:rsid w:val="00786756"/>
    <w:rsid w:val="00786FDF"/>
    <w:rsid w:val="00787413"/>
    <w:rsid w:val="0078765D"/>
    <w:rsid w:val="00787867"/>
    <w:rsid w:val="00787BE1"/>
    <w:rsid w:val="00787ED3"/>
    <w:rsid w:val="007904FF"/>
    <w:rsid w:val="00790B45"/>
    <w:rsid w:val="00790C10"/>
    <w:rsid w:val="00790C97"/>
    <w:rsid w:val="00792544"/>
    <w:rsid w:val="00792792"/>
    <w:rsid w:val="007928DA"/>
    <w:rsid w:val="007928E7"/>
    <w:rsid w:val="00792E0A"/>
    <w:rsid w:val="00793167"/>
    <w:rsid w:val="007932E1"/>
    <w:rsid w:val="00794039"/>
    <w:rsid w:val="00794595"/>
    <w:rsid w:val="007945A4"/>
    <w:rsid w:val="00794C71"/>
    <w:rsid w:val="007950D2"/>
    <w:rsid w:val="007953EE"/>
    <w:rsid w:val="00795A9E"/>
    <w:rsid w:val="00795FAE"/>
    <w:rsid w:val="007960DB"/>
    <w:rsid w:val="007960DE"/>
    <w:rsid w:val="007971C4"/>
    <w:rsid w:val="007979BE"/>
    <w:rsid w:val="00797E0C"/>
    <w:rsid w:val="007A02AF"/>
    <w:rsid w:val="007A0924"/>
    <w:rsid w:val="007A0A42"/>
    <w:rsid w:val="007A0B00"/>
    <w:rsid w:val="007A0C47"/>
    <w:rsid w:val="007A10B8"/>
    <w:rsid w:val="007A1110"/>
    <w:rsid w:val="007A1337"/>
    <w:rsid w:val="007A15D3"/>
    <w:rsid w:val="007A1712"/>
    <w:rsid w:val="007A1A9D"/>
    <w:rsid w:val="007A1E30"/>
    <w:rsid w:val="007A28AF"/>
    <w:rsid w:val="007A37AE"/>
    <w:rsid w:val="007A3A27"/>
    <w:rsid w:val="007A3E0A"/>
    <w:rsid w:val="007A415F"/>
    <w:rsid w:val="007A42A4"/>
    <w:rsid w:val="007A4668"/>
    <w:rsid w:val="007A4EF9"/>
    <w:rsid w:val="007A51AC"/>
    <w:rsid w:val="007A51C5"/>
    <w:rsid w:val="007A5AB6"/>
    <w:rsid w:val="007A5D93"/>
    <w:rsid w:val="007A6114"/>
    <w:rsid w:val="007A6940"/>
    <w:rsid w:val="007A6EEF"/>
    <w:rsid w:val="007A7881"/>
    <w:rsid w:val="007B0A46"/>
    <w:rsid w:val="007B1037"/>
    <w:rsid w:val="007B1175"/>
    <w:rsid w:val="007B1975"/>
    <w:rsid w:val="007B28C4"/>
    <w:rsid w:val="007B2E4F"/>
    <w:rsid w:val="007B2EFF"/>
    <w:rsid w:val="007B2F1D"/>
    <w:rsid w:val="007B2F22"/>
    <w:rsid w:val="007B30F5"/>
    <w:rsid w:val="007B338B"/>
    <w:rsid w:val="007B36C1"/>
    <w:rsid w:val="007B398A"/>
    <w:rsid w:val="007B42C3"/>
    <w:rsid w:val="007B4656"/>
    <w:rsid w:val="007B4676"/>
    <w:rsid w:val="007B4D1F"/>
    <w:rsid w:val="007B4E95"/>
    <w:rsid w:val="007B56BB"/>
    <w:rsid w:val="007B59C8"/>
    <w:rsid w:val="007B5C15"/>
    <w:rsid w:val="007B5DFE"/>
    <w:rsid w:val="007B65B9"/>
    <w:rsid w:val="007B6711"/>
    <w:rsid w:val="007B6BFC"/>
    <w:rsid w:val="007B6D9E"/>
    <w:rsid w:val="007B744D"/>
    <w:rsid w:val="007B7537"/>
    <w:rsid w:val="007B7AA0"/>
    <w:rsid w:val="007B7D6C"/>
    <w:rsid w:val="007B7F68"/>
    <w:rsid w:val="007C03E4"/>
    <w:rsid w:val="007C04B0"/>
    <w:rsid w:val="007C1513"/>
    <w:rsid w:val="007C1767"/>
    <w:rsid w:val="007C27E1"/>
    <w:rsid w:val="007C291A"/>
    <w:rsid w:val="007C2F82"/>
    <w:rsid w:val="007C3237"/>
    <w:rsid w:val="007C3239"/>
    <w:rsid w:val="007C364A"/>
    <w:rsid w:val="007C3D45"/>
    <w:rsid w:val="007C406B"/>
    <w:rsid w:val="007C407F"/>
    <w:rsid w:val="007C40A9"/>
    <w:rsid w:val="007C412A"/>
    <w:rsid w:val="007C4663"/>
    <w:rsid w:val="007C46FC"/>
    <w:rsid w:val="007C4804"/>
    <w:rsid w:val="007C511F"/>
    <w:rsid w:val="007C53B9"/>
    <w:rsid w:val="007C57C2"/>
    <w:rsid w:val="007C5F63"/>
    <w:rsid w:val="007C6471"/>
    <w:rsid w:val="007C6578"/>
    <w:rsid w:val="007C7461"/>
    <w:rsid w:val="007C74B1"/>
    <w:rsid w:val="007C75BF"/>
    <w:rsid w:val="007C778D"/>
    <w:rsid w:val="007C7E56"/>
    <w:rsid w:val="007D07E4"/>
    <w:rsid w:val="007D0991"/>
    <w:rsid w:val="007D0BC2"/>
    <w:rsid w:val="007D0DC1"/>
    <w:rsid w:val="007D17C8"/>
    <w:rsid w:val="007D17E5"/>
    <w:rsid w:val="007D1821"/>
    <w:rsid w:val="007D19CE"/>
    <w:rsid w:val="007D1F12"/>
    <w:rsid w:val="007D1F7F"/>
    <w:rsid w:val="007D218E"/>
    <w:rsid w:val="007D2222"/>
    <w:rsid w:val="007D2544"/>
    <w:rsid w:val="007D26EB"/>
    <w:rsid w:val="007D29AE"/>
    <w:rsid w:val="007D3308"/>
    <w:rsid w:val="007D37AB"/>
    <w:rsid w:val="007D3E36"/>
    <w:rsid w:val="007D3F5B"/>
    <w:rsid w:val="007D4555"/>
    <w:rsid w:val="007D4A09"/>
    <w:rsid w:val="007D4D89"/>
    <w:rsid w:val="007D4E4B"/>
    <w:rsid w:val="007D530E"/>
    <w:rsid w:val="007D5621"/>
    <w:rsid w:val="007D58B9"/>
    <w:rsid w:val="007D5ADA"/>
    <w:rsid w:val="007D5C4D"/>
    <w:rsid w:val="007D5E64"/>
    <w:rsid w:val="007D6233"/>
    <w:rsid w:val="007D7192"/>
    <w:rsid w:val="007D7226"/>
    <w:rsid w:val="007D7412"/>
    <w:rsid w:val="007D7509"/>
    <w:rsid w:val="007D780B"/>
    <w:rsid w:val="007D7BB4"/>
    <w:rsid w:val="007D7C86"/>
    <w:rsid w:val="007E0660"/>
    <w:rsid w:val="007E0B7A"/>
    <w:rsid w:val="007E109B"/>
    <w:rsid w:val="007E1117"/>
    <w:rsid w:val="007E11BB"/>
    <w:rsid w:val="007E13CE"/>
    <w:rsid w:val="007E1526"/>
    <w:rsid w:val="007E1AB5"/>
    <w:rsid w:val="007E1BD8"/>
    <w:rsid w:val="007E1D2B"/>
    <w:rsid w:val="007E2074"/>
    <w:rsid w:val="007E24B5"/>
    <w:rsid w:val="007E2611"/>
    <w:rsid w:val="007E2612"/>
    <w:rsid w:val="007E26A4"/>
    <w:rsid w:val="007E27B6"/>
    <w:rsid w:val="007E2DA1"/>
    <w:rsid w:val="007E2FC9"/>
    <w:rsid w:val="007E3219"/>
    <w:rsid w:val="007E34E2"/>
    <w:rsid w:val="007E4E5E"/>
    <w:rsid w:val="007E4EBC"/>
    <w:rsid w:val="007E56C7"/>
    <w:rsid w:val="007E57C1"/>
    <w:rsid w:val="007E61F1"/>
    <w:rsid w:val="007E6346"/>
    <w:rsid w:val="007E6672"/>
    <w:rsid w:val="007E66F8"/>
    <w:rsid w:val="007E6B8B"/>
    <w:rsid w:val="007E70E1"/>
    <w:rsid w:val="007E72EC"/>
    <w:rsid w:val="007E75F3"/>
    <w:rsid w:val="007E76BC"/>
    <w:rsid w:val="007E7997"/>
    <w:rsid w:val="007F0029"/>
    <w:rsid w:val="007F0700"/>
    <w:rsid w:val="007F0AB4"/>
    <w:rsid w:val="007F0DF1"/>
    <w:rsid w:val="007F12CE"/>
    <w:rsid w:val="007F14DF"/>
    <w:rsid w:val="007F156C"/>
    <w:rsid w:val="007F1A39"/>
    <w:rsid w:val="007F1C71"/>
    <w:rsid w:val="007F1CD3"/>
    <w:rsid w:val="007F1CDD"/>
    <w:rsid w:val="007F221A"/>
    <w:rsid w:val="007F2291"/>
    <w:rsid w:val="007F2AE6"/>
    <w:rsid w:val="007F2EDD"/>
    <w:rsid w:val="007F2FB8"/>
    <w:rsid w:val="007F314D"/>
    <w:rsid w:val="007F34D9"/>
    <w:rsid w:val="007F38B7"/>
    <w:rsid w:val="007F38FC"/>
    <w:rsid w:val="007F3966"/>
    <w:rsid w:val="007F3EDD"/>
    <w:rsid w:val="007F4A18"/>
    <w:rsid w:val="007F4E2A"/>
    <w:rsid w:val="007F4E73"/>
    <w:rsid w:val="007F5667"/>
    <w:rsid w:val="007F641F"/>
    <w:rsid w:val="007F67F4"/>
    <w:rsid w:val="007F7128"/>
    <w:rsid w:val="007F7316"/>
    <w:rsid w:val="007F752E"/>
    <w:rsid w:val="007F799D"/>
    <w:rsid w:val="007F7D36"/>
    <w:rsid w:val="008001AE"/>
    <w:rsid w:val="00800327"/>
    <w:rsid w:val="00800561"/>
    <w:rsid w:val="008009A7"/>
    <w:rsid w:val="008009DB"/>
    <w:rsid w:val="00800C90"/>
    <w:rsid w:val="00800FA8"/>
    <w:rsid w:val="0080131A"/>
    <w:rsid w:val="00801322"/>
    <w:rsid w:val="008015DA"/>
    <w:rsid w:val="0080283E"/>
    <w:rsid w:val="0080290E"/>
    <w:rsid w:val="00802977"/>
    <w:rsid w:val="00803117"/>
    <w:rsid w:val="00803188"/>
    <w:rsid w:val="008032D7"/>
    <w:rsid w:val="00803502"/>
    <w:rsid w:val="0080379B"/>
    <w:rsid w:val="00804763"/>
    <w:rsid w:val="00804C6F"/>
    <w:rsid w:val="00805030"/>
    <w:rsid w:val="008051D7"/>
    <w:rsid w:val="008053EC"/>
    <w:rsid w:val="008054C6"/>
    <w:rsid w:val="00805AB1"/>
    <w:rsid w:val="00806632"/>
    <w:rsid w:val="00806858"/>
    <w:rsid w:val="00806C5A"/>
    <w:rsid w:val="00806C73"/>
    <w:rsid w:val="0080734D"/>
    <w:rsid w:val="008073AD"/>
    <w:rsid w:val="00807BF0"/>
    <w:rsid w:val="00807FEF"/>
    <w:rsid w:val="0081000C"/>
    <w:rsid w:val="00810238"/>
    <w:rsid w:val="0081086E"/>
    <w:rsid w:val="00810891"/>
    <w:rsid w:val="00810BDF"/>
    <w:rsid w:val="00810C3D"/>
    <w:rsid w:val="00810EF9"/>
    <w:rsid w:val="00811295"/>
    <w:rsid w:val="00811BC6"/>
    <w:rsid w:val="00811C0A"/>
    <w:rsid w:val="0081211E"/>
    <w:rsid w:val="0081225F"/>
    <w:rsid w:val="00812BDB"/>
    <w:rsid w:val="0081382C"/>
    <w:rsid w:val="00813A7F"/>
    <w:rsid w:val="0081423D"/>
    <w:rsid w:val="00814D97"/>
    <w:rsid w:val="008150BD"/>
    <w:rsid w:val="008156D0"/>
    <w:rsid w:val="008158E9"/>
    <w:rsid w:val="00815910"/>
    <w:rsid w:val="00815C61"/>
    <w:rsid w:val="00816183"/>
    <w:rsid w:val="008163AA"/>
    <w:rsid w:val="00816921"/>
    <w:rsid w:val="0081699B"/>
    <w:rsid w:val="00816FAA"/>
    <w:rsid w:val="0081740D"/>
    <w:rsid w:val="00817516"/>
    <w:rsid w:val="0081768B"/>
    <w:rsid w:val="00817727"/>
    <w:rsid w:val="008208ED"/>
    <w:rsid w:val="00820BEC"/>
    <w:rsid w:val="00820E0A"/>
    <w:rsid w:val="00820EA0"/>
    <w:rsid w:val="008215BF"/>
    <w:rsid w:val="008217AC"/>
    <w:rsid w:val="008219A9"/>
    <w:rsid w:val="00821B55"/>
    <w:rsid w:val="00821D7C"/>
    <w:rsid w:val="00822BBD"/>
    <w:rsid w:val="00822F15"/>
    <w:rsid w:val="00824960"/>
    <w:rsid w:val="00824B97"/>
    <w:rsid w:val="00825162"/>
    <w:rsid w:val="008251B8"/>
    <w:rsid w:val="008256BC"/>
    <w:rsid w:val="00825C52"/>
    <w:rsid w:val="00825FC5"/>
    <w:rsid w:val="008263C0"/>
    <w:rsid w:val="00826C2E"/>
    <w:rsid w:val="0082744A"/>
    <w:rsid w:val="0082792D"/>
    <w:rsid w:val="008279C0"/>
    <w:rsid w:val="00827B60"/>
    <w:rsid w:val="00827E04"/>
    <w:rsid w:val="00830842"/>
    <w:rsid w:val="0083092F"/>
    <w:rsid w:val="00830FB8"/>
    <w:rsid w:val="00831338"/>
    <w:rsid w:val="00831719"/>
    <w:rsid w:val="00831FC0"/>
    <w:rsid w:val="00832DD0"/>
    <w:rsid w:val="00833405"/>
    <w:rsid w:val="0083411D"/>
    <w:rsid w:val="00834649"/>
    <w:rsid w:val="0083488C"/>
    <w:rsid w:val="008348FD"/>
    <w:rsid w:val="0083548F"/>
    <w:rsid w:val="00835949"/>
    <w:rsid w:val="00835A34"/>
    <w:rsid w:val="00836218"/>
    <w:rsid w:val="008362DC"/>
    <w:rsid w:val="00836A88"/>
    <w:rsid w:val="00836F20"/>
    <w:rsid w:val="00840278"/>
    <w:rsid w:val="0084040C"/>
    <w:rsid w:val="008405FB"/>
    <w:rsid w:val="00840658"/>
    <w:rsid w:val="00840EC8"/>
    <w:rsid w:val="00840ED9"/>
    <w:rsid w:val="00840F06"/>
    <w:rsid w:val="008416BF"/>
    <w:rsid w:val="008417A5"/>
    <w:rsid w:val="00841A54"/>
    <w:rsid w:val="00842AC5"/>
    <w:rsid w:val="00842D60"/>
    <w:rsid w:val="0084305D"/>
    <w:rsid w:val="00843982"/>
    <w:rsid w:val="008439AB"/>
    <w:rsid w:val="00843BB9"/>
    <w:rsid w:val="00843C16"/>
    <w:rsid w:val="008445CC"/>
    <w:rsid w:val="008446F9"/>
    <w:rsid w:val="00844B1F"/>
    <w:rsid w:val="00845348"/>
    <w:rsid w:val="0084562E"/>
    <w:rsid w:val="008459CC"/>
    <w:rsid w:val="00845B20"/>
    <w:rsid w:val="0084603F"/>
    <w:rsid w:val="008464A6"/>
    <w:rsid w:val="00846D0B"/>
    <w:rsid w:val="00846E89"/>
    <w:rsid w:val="00847021"/>
    <w:rsid w:val="00847D32"/>
    <w:rsid w:val="00847DB8"/>
    <w:rsid w:val="00847E67"/>
    <w:rsid w:val="00850546"/>
    <w:rsid w:val="00850F49"/>
    <w:rsid w:val="00851620"/>
    <w:rsid w:val="00851A97"/>
    <w:rsid w:val="00851ABE"/>
    <w:rsid w:val="008524C4"/>
    <w:rsid w:val="00852CC8"/>
    <w:rsid w:val="00852DE6"/>
    <w:rsid w:val="00852E76"/>
    <w:rsid w:val="008530DC"/>
    <w:rsid w:val="008536EB"/>
    <w:rsid w:val="00853B1A"/>
    <w:rsid w:val="00853B56"/>
    <w:rsid w:val="00854AAE"/>
    <w:rsid w:val="00854CA0"/>
    <w:rsid w:val="00855717"/>
    <w:rsid w:val="00855C9B"/>
    <w:rsid w:val="00855E72"/>
    <w:rsid w:val="00856BF1"/>
    <w:rsid w:val="00856DE1"/>
    <w:rsid w:val="008570A8"/>
    <w:rsid w:val="008571DD"/>
    <w:rsid w:val="0085754A"/>
    <w:rsid w:val="008576BE"/>
    <w:rsid w:val="00857F7B"/>
    <w:rsid w:val="00860585"/>
    <w:rsid w:val="008605B6"/>
    <w:rsid w:val="008607A4"/>
    <w:rsid w:val="00860F58"/>
    <w:rsid w:val="00861825"/>
    <w:rsid w:val="00861F03"/>
    <w:rsid w:val="00862146"/>
    <w:rsid w:val="00862809"/>
    <w:rsid w:val="00862D13"/>
    <w:rsid w:val="00863012"/>
    <w:rsid w:val="0086317F"/>
    <w:rsid w:val="008634F3"/>
    <w:rsid w:val="00863708"/>
    <w:rsid w:val="00863879"/>
    <w:rsid w:val="008639EF"/>
    <w:rsid w:val="00863F1C"/>
    <w:rsid w:val="00863F4F"/>
    <w:rsid w:val="0086476C"/>
    <w:rsid w:val="00865852"/>
    <w:rsid w:val="0086587C"/>
    <w:rsid w:val="00865D34"/>
    <w:rsid w:val="00865DC6"/>
    <w:rsid w:val="0086668A"/>
    <w:rsid w:val="008673FA"/>
    <w:rsid w:val="00867707"/>
    <w:rsid w:val="00867794"/>
    <w:rsid w:val="00867919"/>
    <w:rsid w:val="0087118B"/>
    <w:rsid w:val="00871562"/>
    <w:rsid w:val="00871720"/>
    <w:rsid w:val="0087190B"/>
    <w:rsid w:val="0087211B"/>
    <w:rsid w:val="00872884"/>
    <w:rsid w:val="00872B56"/>
    <w:rsid w:val="00872C63"/>
    <w:rsid w:val="008730ED"/>
    <w:rsid w:val="0087344C"/>
    <w:rsid w:val="008738C8"/>
    <w:rsid w:val="00873A06"/>
    <w:rsid w:val="00873D69"/>
    <w:rsid w:val="0087415A"/>
    <w:rsid w:val="0087469A"/>
    <w:rsid w:val="00874864"/>
    <w:rsid w:val="00874FF7"/>
    <w:rsid w:val="00875495"/>
    <w:rsid w:val="008755EE"/>
    <w:rsid w:val="00875795"/>
    <w:rsid w:val="008757F9"/>
    <w:rsid w:val="00877086"/>
    <w:rsid w:val="00877147"/>
    <w:rsid w:val="008776F1"/>
    <w:rsid w:val="0087782A"/>
    <w:rsid w:val="00877B8A"/>
    <w:rsid w:val="008803EB"/>
    <w:rsid w:val="008804FD"/>
    <w:rsid w:val="008808ED"/>
    <w:rsid w:val="0088120A"/>
    <w:rsid w:val="00881226"/>
    <w:rsid w:val="008812F6"/>
    <w:rsid w:val="008813CC"/>
    <w:rsid w:val="00881A7E"/>
    <w:rsid w:val="00881B5B"/>
    <w:rsid w:val="00881D7A"/>
    <w:rsid w:val="00882283"/>
    <w:rsid w:val="00882828"/>
    <w:rsid w:val="00882CAA"/>
    <w:rsid w:val="00882FF8"/>
    <w:rsid w:val="00883165"/>
    <w:rsid w:val="00883A29"/>
    <w:rsid w:val="00883CEC"/>
    <w:rsid w:val="00884291"/>
    <w:rsid w:val="00884667"/>
    <w:rsid w:val="008846D7"/>
    <w:rsid w:val="008849C6"/>
    <w:rsid w:val="00884A20"/>
    <w:rsid w:val="008852AE"/>
    <w:rsid w:val="00885582"/>
    <w:rsid w:val="008858FE"/>
    <w:rsid w:val="00885E31"/>
    <w:rsid w:val="00886163"/>
    <w:rsid w:val="00886450"/>
    <w:rsid w:val="0088676E"/>
    <w:rsid w:val="008867EC"/>
    <w:rsid w:val="008869C2"/>
    <w:rsid w:val="00886E55"/>
    <w:rsid w:val="00886F8F"/>
    <w:rsid w:val="00887494"/>
    <w:rsid w:val="0088749B"/>
    <w:rsid w:val="0088758F"/>
    <w:rsid w:val="00890389"/>
    <w:rsid w:val="0089075A"/>
    <w:rsid w:val="00890E73"/>
    <w:rsid w:val="00890FE2"/>
    <w:rsid w:val="008911C4"/>
    <w:rsid w:val="00891391"/>
    <w:rsid w:val="00891B8F"/>
    <w:rsid w:val="00891FE5"/>
    <w:rsid w:val="0089277A"/>
    <w:rsid w:val="00892A2C"/>
    <w:rsid w:val="008930C6"/>
    <w:rsid w:val="0089384F"/>
    <w:rsid w:val="00894515"/>
    <w:rsid w:val="008949C9"/>
    <w:rsid w:val="00894BC1"/>
    <w:rsid w:val="00895081"/>
    <w:rsid w:val="00895385"/>
    <w:rsid w:val="00895F4A"/>
    <w:rsid w:val="0089621C"/>
    <w:rsid w:val="0089636C"/>
    <w:rsid w:val="008964DA"/>
    <w:rsid w:val="00896B12"/>
    <w:rsid w:val="00897688"/>
    <w:rsid w:val="00897895"/>
    <w:rsid w:val="008979B0"/>
    <w:rsid w:val="00897EC7"/>
    <w:rsid w:val="00897F0F"/>
    <w:rsid w:val="008A0247"/>
    <w:rsid w:val="008A046F"/>
    <w:rsid w:val="008A09B1"/>
    <w:rsid w:val="008A0FB0"/>
    <w:rsid w:val="008A1115"/>
    <w:rsid w:val="008A17D8"/>
    <w:rsid w:val="008A1935"/>
    <w:rsid w:val="008A1E5A"/>
    <w:rsid w:val="008A222A"/>
    <w:rsid w:val="008A28D0"/>
    <w:rsid w:val="008A29E6"/>
    <w:rsid w:val="008A2A45"/>
    <w:rsid w:val="008A391C"/>
    <w:rsid w:val="008A4053"/>
    <w:rsid w:val="008A4474"/>
    <w:rsid w:val="008A44F9"/>
    <w:rsid w:val="008A4938"/>
    <w:rsid w:val="008A4D40"/>
    <w:rsid w:val="008A4F10"/>
    <w:rsid w:val="008A5324"/>
    <w:rsid w:val="008A623F"/>
    <w:rsid w:val="008A6DDE"/>
    <w:rsid w:val="008A6E9C"/>
    <w:rsid w:val="008A7A16"/>
    <w:rsid w:val="008A7EE3"/>
    <w:rsid w:val="008B0044"/>
    <w:rsid w:val="008B03F7"/>
    <w:rsid w:val="008B04E2"/>
    <w:rsid w:val="008B0834"/>
    <w:rsid w:val="008B0AA5"/>
    <w:rsid w:val="008B0B02"/>
    <w:rsid w:val="008B0F46"/>
    <w:rsid w:val="008B0FBC"/>
    <w:rsid w:val="008B10FD"/>
    <w:rsid w:val="008B1EC4"/>
    <w:rsid w:val="008B202B"/>
    <w:rsid w:val="008B2871"/>
    <w:rsid w:val="008B2B5A"/>
    <w:rsid w:val="008B2F71"/>
    <w:rsid w:val="008B3F9D"/>
    <w:rsid w:val="008B4234"/>
    <w:rsid w:val="008B47D3"/>
    <w:rsid w:val="008B4D80"/>
    <w:rsid w:val="008B4F8C"/>
    <w:rsid w:val="008B5250"/>
    <w:rsid w:val="008B5599"/>
    <w:rsid w:val="008B58CB"/>
    <w:rsid w:val="008B5E1C"/>
    <w:rsid w:val="008B6140"/>
    <w:rsid w:val="008B615F"/>
    <w:rsid w:val="008B6338"/>
    <w:rsid w:val="008B65E8"/>
    <w:rsid w:val="008B66F8"/>
    <w:rsid w:val="008B6FDE"/>
    <w:rsid w:val="008B7490"/>
    <w:rsid w:val="008B7D4C"/>
    <w:rsid w:val="008C0646"/>
    <w:rsid w:val="008C071F"/>
    <w:rsid w:val="008C0BF0"/>
    <w:rsid w:val="008C0CE8"/>
    <w:rsid w:val="008C0F5B"/>
    <w:rsid w:val="008C103B"/>
    <w:rsid w:val="008C141F"/>
    <w:rsid w:val="008C1856"/>
    <w:rsid w:val="008C197A"/>
    <w:rsid w:val="008C1C24"/>
    <w:rsid w:val="008C23B6"/>
    <w:rsid w:val="008C2785"/>
    <w:rsid w:val="008C3517"/>
    <w:rsid w:val="008C3A0B"/>
    <w:rsid w:val="008C3AE8"/>
    <w:rsid w:val="008C3B5F"/>
    <w:rsid w:val="008C3F10"/>
    <w:rsid w:val="008C4169"/>
    <w:rsid w:val="008C49EB"/>
    <w:rsid w:val="008C4C28"/>
    <w:rsid w:val="008C4D68"/>
    <w:rsid w:val="008C503A"/>
    <w:rsid w:val="008C5A41"/>
    <w:rsid w:val="008C6A59"/>
    <w:rsid w:val="008C6B22"/>
    <w:rsid w:val="008C767A"/>
    <w:rsid w:val="008C7BD3"/>
    <w:rsid w:val="008C7C6F"/>
    <w:rsid w:val="008D03BE"/>
    <w:rsid w:val="008D073F"/>
    <w:rsid w:val="008D0C5F"/>
    <w:rsid w:val="008D0E55"/>
    <w:rsid w:val="008D0E92"/>
    <w:rsid w:val="008D0EAE"/>
    <w:rsid w:val="008D127D"/>
    <w:rsid w:val="008D18FF"/>
    <w:rsid w:val="008D1A97"/>
    <w:rsid w:val="008D2642"/>
    <w:rsid w:val="008D3190"/>
    <w:rsid w:val="008D38E9"/>
    <w:rsid w:val="008D3FBB"/>
    <w:rsid w:val="008D402B"/>
    <w:rsid w:val="008D4264"/>
    <w:rsid w:val="008D4358"/>
    <w:rsid w:val="008D4CDF"/>
    <w:rsid w:val="008D5790"/>
    <w:rsid w:val="008D5C28"/>
    <w:rsid w:val="008D60F2"/>
    <w:rsid w:val="008D6386"/>
    <w:rsid w:val="008D6716"/>
    <w:rsid w:val="008D7023"/>
    <w:rsid w:val="008D7161"/>
    <w:rsid w:val="008D71B6"/>
    <w:rsid w:val="008D7909"/>
    <w:rsid w:val="008E018E"/>
    <w:rsid w:val="008E03EF"/>
    <w:rsid w:val="008E0644"/>
    <w:rsid w:val="008E1371"/>
    <w:rsid w:val="008E1DB0"/>
    <w:rsid w:val="008E1F2B"/>
    <w:rsid w:val="008E2159"/>
    <w:rsid w:val="008E240F"/>
    <w:rsid w:val="008E245A"/>
    <w:rsid w:val="008E2597"/>
    <w:rsid w:val="008E2890"/>
    <w:rsid w:val="008E2B78"/>
    <w:rsid w:val="008E32E8"/>
    <w:rsid w:val="008E35F6"/>
    <w:rsid w:val="008E376F"/>
    <w:rsid w:val="008E3B82"/>
    <w:rsid w:val="008E3BF2"/>
    <w:rsid w:val="008E3EC0"/>
    <w:rsid w:val="008E3F55"/>
    <w:rsid w:val="008E4A94"/>
    <w:rsid w:val="008E4F52"/>
    <w:rsid w:val="008E52DF"/>
    <w:rsid w:val="008E5525"/>
    <w:rsid w:val="008E585D"/>
    <w:rsid w:val="008E5FFC"/>
    <w:rsid w:val="008E687B"/>
    <w:rsid w:val="008E6A8C"/>
    <w:rsid w:val="008E6AC0"/>
    <w:rsid w:val="008E6B8F"/>
    <w:rsid w:val="008E76C0"/>
    <w:rsid w:val="008E7DF7"/>
    <w:rsid w:val="008F05CB"/>
    <w:rsid w:val="008F076D"/>
    <w:rsid w:val="008F0D64"/>
    <w:rsid w:val="008F121A"/>
    <w:rsid w:val="008F19D7"/>
    <w:rsid w:val="008F29DA"/>
    <w:rsid w:val="008F2D5D"/>
    <w:rsid w:val="008F3010"/>
    <w:rsid w:val="008F3070"/>
    <w:rsid w:val="008F35EC"/>
    <w:rsid w:val="008F39FB"/>
    <w:rsid w:val="008F3D0D"/>
    <w:rsid w:val="008F3D56"/>
    <w:rsid w:val="008F4C8C"/>
    <w:rsid w:val="008F54C4"/>
    <w:rsid w:val="008F591C"/>
    <w:rsid w:val="008F59AE"/>
    <w:rsid w:val="008F5C27"/>
    <w:rsid w:val="008F789B"/>
    <w:rsid w:val="00900377"/>
    <w:rsid w:val="009005DD"/>
    <w:rsid w:val="00900900"/>
    <w:rsid w:val="00900ABF"/>
    <w:rsid w:val="00901581"/>
    <w:rsid w:val="00901940"/>
    <w:rsid w:val="009020A8"/>
    <w:rsid w:val="00903D72"/>
    <w:rsid w:val="00903E26"/>
    <w:rsid w:val="009040B1"/>
    <w:rsid w:val="00904F85"/>
    <w:rsid w:val="009058E0"/>
    <w:rsid w:val="00905D92"/>
    <w:rsid w:val="00906383"/>
    <w:rsid w:val="009063F1"/>
    <w:rsid w:val="00906775"/>
    <w:rsid w:val="00906D18"/>
    <w:rsid w:val="00906DB4"/>
    <w:rsid w:val="00906EB5"/>
    <w:rsid w:val="00907153"/>
    <w:rsid w:val="00907F26"/>
    <w:rsid w:val="009109D2"/>
    <w:rsid w:val="009112EF"/>
    <w:rsid w:val="00911732"/>
    <w:rsid w:val="00911828"/>
    <w:rsid w:val="00911AC6"/>
    <w:rsid w:val="00911F2E"/>
    <w:rsid w:val="0091204F"/>
    <w:rsid w:val="009121C2"/>
    <w:rsid w:val="00912A82"/>
    <w:rsid w:val="00913079"/>
    <w:rsid w:val="009134CE"/>
    <w:rsid w:val="00913976"/>
    <w:rsid w:val="00913D28"/>
    <w:rsid w:val="009140E6"/>
    <w:rsid w:val="009141A8"/>
    <w:rsid w:val="009147E6"/>
    <w:rsid w:val="00914AD2"/>
    <w:rsid w:val="00914B40"/>
    <w:rsid w:val="00914BBA"/>
    <w:rsid w:val="00914E6C"/>
    <w:rsid w:val="009150C8"/>
    <w:rsid w:val="00915375"/>
    <w:rsid w:val="00916529"/>
    <w:rsid w:val="00916B98"/>
    <w:rsid w:val="00916E27"/>
    <w:rsid w:val="0091794C"/>
    <w:rsid w:val="00920086"/>
    <w:rsid w:val="00920B1C"/>
    <w:rsid w:val="009218FA"/>
    <w:rsid w:val="00921A82"/>
    <w:rsid w:val="00921AC7"/>
    <w:rsid w:val="00922423"/>
    <w:rsid w:val="00922C37"/>
    <w:rsid w:val="009231E2"/>
    <w:rsid w:val="0092328A"/>
    <w:rsid w:val="0092387A"/>
    <w:rsid w:val="009238CF"/>
    <w:rsid w:val="009246E2"/>
    <w:rsid w:val="00925034"/>
    <w:rsid w:val="009250BC"/>
    <w:rsid w:val="009259B1"/>
    <w:rsid w:val="00925E04"/>
    <w:rsid w:val="00925E8F"/>
    <w:rsid w:val="009260E2"/>
    <w:rsid w:val="00927C2A"/>
    <w:rsid w:val="00927E87"/>
    <w:rsid w:val="009302F8"/>
    <w:rsid w:val="009306FE"/>
    <w:rsid w:val="00932787"/>
    <w:rsid w:val="00932A30"/>
    <w:rsid w:val="00932A63"/>
    <w:rsid w:val="0093345C"/>
    <w:rsid w:val="0093391C"/>
    <w:rsid w:val="00934587"/>
    <w:rsid w:val="00934C0B"/>
    <w:rsid w:val="00934DDB"/>
    <w:rsid w:val="00934E44"/>
    <w:rsid w:val="0093507B"/>
    <w:rsid w:val="0093555E"/>
    <w:rsid w:val="00936BBF"/>
    <w:rsid w:val="00937290"/>
    <w:rsid w:val="00937301"/>
    <w:rsid w:val="00937342"/>
    <w:rsid w:val="00937390"/>
    <w:rsid w:val="009373BE"/>
    <w:rsid w:val="00937519"/>
    <w:rsid w:val="009377D4"/>
    <w:rsid w:val="00937CA9"/>
    <w:rsid w:val="00937EE2"/>
    <w:rsid w:val="00940055"/>
    <w:rsid w:val="009402EC"/>
    <w:rsid w:val="0094081B"/>
    <w:rsid w:val="00940A60"/>
    <w:rsid w:val="00940F8E"/>
    <w:rsid w:val="00941681"/>
    <w:rsid w:val="00941D25"/>
    <w:rsid w:val="00941E0F"/>
    <w:rsid w:val="009420C1"/>
    <w:rsid w:val="00942634"/>
    <w:rsid w:val="00942CDA"/>
    <w:rsid w:val="00942E03"/>
    <w:rsid w:val="00943312"/>
    <w:rsid w:val="00943704"/>
    <w:rsid w:val="00943CFC"/>
    <w:rsid w:val="009441D7"/>
    <w:rsid w:val="0094432B"/>
    <w:rsid w:val="00944516"/>
    <w:rsid w:val="00945AFC"/>
    <w:rsid w:val="0094601A"/>
    <w:rsid w:val="00946072"/>
    <w:rsid w:val="00946151"/>
    <w:rsid w:val="009463BB"/>
    <w:rsid w:val="00946489"/>
    <w:rsid w:val="00946559"/>
    <w:rsid w:val="009466F7"/>
    <w:rsid w:val="0094673B"/>
    <w:rsid w:val="00947A09"/>
    <w:rsid w:val="00950011"/>
    <w:rsid w:val="00950B2F"/>
    <w:rsid w:val="00950E68"/>
    <w:rsid w:val="00950F6E"/>
    <w:rsid w:val="009521F2"/>
    <w:rsid w:val="009523FC"/>
    <w:rsid w:val="00953951"/>
    <w:rsid w:val="00953FA6"/>
    <w:rsid w:val="009541EB"/>
    <w:rsid w:val="0095445E"/>
    <w:rsid w:val="00954598"/>
    <w:rsid w:val="009545F9"/>
    <w:rsid w:val="00954691"/>
    <w:rsid w:val="00954772"/>
    <w:rsid w:val="00954B8E"/>
    <w:rsid w:val="009550E0"/>
    <w:rsid w:val="0095511D"/>
    <w:rsid w:val="00955BEB"/>
    <w:rsid w:val="00955E3B"/>
    <w:rsid w:val="0095696D"/>
    <w:rsid w:val="00956A2D"/>
    <w:rsid w:val="00956AB7"/>
    <w:rsid w:val="00957D5F"/>
    <w:rsid w:val="009604E8"/>
    <w:rsid w:val="0096082D"/>
    <w:rsid w:val="00960F4A"/>
    <w:rsid w:val="00960F5C"/>
    <w:rsid w:val="0096153A"/>
    <w:rsid w:val="00961AB7"/>
    <w:rsid w:val="009621D9"/>
    <w:rsid w:val="00962649"/>
    <w:rsid w:val="00962C03"/>
    <w:rsid w:val="00962FF1"/>
    <w:rsid w:val="00963234"/>
    <w:rsid w:val="009633EF"/>
    <w:rsid w:val="00963428"/>
    <w:rsid w:val="00963456"/>
    <w:rsid w:val="009636B5"/>
    <w:rsid w:val="009637BC"/>
    <w:rsid w:val="00963BFD"/>
    <w:rsid w:val="00963D27"/>
    <w:rsid w:val="00963EE1"/>
    <w:rsid w:val="00964B7C"/>
    <w:rsid w:val="00965764"/>
    <w:rsid w:val="00966824"/>
    <w:rsid w:val="00967052"/>
    <w:rsid w:val="00967B50"/>
    <w:rsid w:val="00970041"/>
    <w:rsid w:val="0097029F"/>
    <w:rsid w:val="009707D9"/>
    <w:rsid w:val="009708B5"/>
    <w:rsid w:val="00971148"/>
    <w:rsid w:val="009712E5"/>
    <w:rsid w:val="00971581"/>
    <w:rsid w:val="00971815"/>
    <w:rsid w:val="0097183F"/>
    <w:rsid w:val="00972413"/>
    <w:rsid w:val="00972940"/>
    <w:rsid w:val="00972B99"/>
    <w:rsid w:val="00972D81"/>
    <w:rsid w:val="00972E4C"/>
    <w:rsid w:val="00973372"/>
    <w:rsid w:val="009739A1"/>
    <w:rsid w:val="00973CFF"/>
    <w:rsid w:val="00974B81"/>
    <w:rsid w:val="00974C56"/>
    <w:rsid w:val="009757FB"/>
    <w:rsid w:val="00975981"/>
    <w:rsid w:val="00975AB2"/>
    <w:rsid w:val="00975B8D"/>
    <w:rsid w:val="00976526"/>
    <w:rsid w:val="009768B2"/>
    <w:rsid w:val="00976C8F"/>
    <w:rsid w:val="00976DCC"/>
    <w:rsid w:val="00976E83"/>
    <w:rsid w:val="00976F71"/>
    <w:rsid w:val="009770A3"/>
    <w:rsid w:val="00977A54"/>
    <w:rsid w:val="00980251"/>
    <w:rsid w:val="00980DB0"/>
    <w:rsid w:val="00980E3A"/>
    <w:rsid w:val="00980E8B"/>
    <w:rsid w:val="009814A9"/>
    <w:rsid w:val="009817EE"/>
    <w:rsid w:val="00981B56"/>
    <w:rsid w:val="00981F6A"/>
    <w:rsid w:val="00982D0F"/>
    <w:rsid w:val="00983472"/>
    <w:rsid w:val="00983BDD"/>
    <w:rsid w:val="00983CF7"/>
    <w:rsid w:val="0098474A"/>
    <w:rsid w:val="00984EF2"/>
    <w:rsid w:val="00984FBB"/>
    <w:rsid w:val="0098532F"/>
    <w:rsid w:val="009854B5"/>
    <w:rsid w:val="009856CE"/>
    <w:rsid w:val="009856CF"/>
    <w:rsid w:val="00985A5C"/>
    <w:rsid w:val="00985CE7"/>
    <w:rsid w:val="00985F7A"/>
    <w:rsid w:val="00986044"/>
    <w:rsid w:val="00986612"/>
    <w:rsid w:val="00986F0D"/>
    <w:rsid w:val="00987657"/>
    <w:rsid w:val="00987B67"/>
    <w:rsid w:val="00987DD3"/>
    <w:rsid w:val="009909BB"/>
    <w:rsid w:val="00990CEB"/>
    <w:rsid w:val="00990E69"/>
    <w:rsid w:val="00991361"/>
    <w:rsid w:val="009913FC"/>
    <w:rsid w:val="009916E9"/>
    <w:rsid w:val="00991B6F"/>
    <w:rsid w:val="00992012"/>
    <w:rsid w:val="00992809"/>
    <w:rsid w:val="00992AA3"/>
    <w:rsid w:val="00992C75"/>
    <w:rsid w:val="009931CC"/>
    <w:rsid w:val="009936CD"/>
    <w:rsid w:val="00993732"/>
    <w:rsid w:val="00993754"/>
    <w:rsid w:val="0099398E"/>
    <w:rsid w:val="00993C5A"/>
    <w:rsid w:val="00993D7A"/>
    <w:rsid w:val="00994467"/>
    <w:rsid w:val="009946D9"/>
    <w:rsid w:val="0099526D"/>
    <w:rsid w:val="00995354"/>
    <w:rsid w:val="009954AA"/>
    <w:rsid w:val="009959E3"/>
    <w:rsid w:val="00995D7F"/>
    <w:rsid w:val="00995DC1"/>
    <w:rsid w:val="0099632D"/>
    <w:rsid w:val="0099699E"/>
    <w:rsid w:val="0099702F"/>
    <w:rsid w:val="00997CAB"/>
    <w:rsid w:val="009A0166"/>
    <w:rsid w:val="009A082B"/>
    <w:rsid w:val="009A0F6E"/>
    <w:rsid w:val="009A16E5"/>
    <w:rsid w:val="009A1FD2"/>
    <w:rsid w:val="009A24D8"/>
    <w:rsid w:val="009A274A"/>
    <w:rsid w:val="009A27A3"/>
    <w:rsid w:val="009A27DB"/>
    <w:rsid w:val="009A27DE"/>
    <w:rsid w:val="009A2D10"/>
    <w:rsid w:val="009A30FC"/>
    <w:rsid w:val="009A3551"/>
    <w:rsid w:val="009A376C"/>
    <w:rsid w:val="009A3B8D"/>
    <w:rsid w:val="009A3DA7"/>
    <w:rsid w:val="009A4022"/>
    <w:rsid w:val="009A4225"/>
    <w:rsid w:val="009A43F2"/>
    <w:rsid w:val="009A4591"/>
    <w:rsid w:val="009A45AB"/>
    <w:rsid w:val="009A49C3"/>
    <w:rsid w:val="009A4A04"/>
    <w:rsid w:val="009A5134"/>
    <w:rsid w:val="009A5347"/>
    <w:rsid w:val="009A5671"/>
    <w:rsid w:val="009A64E8"/>
    <w:rsid w:val="009A6889"/>
    <w:rsid w:val="009A69DB"/>
    <w:rsid w:val="009A718C"/>
    <w:rsid w:val="009A7309"/>
    <w:rsid w:val="009A7807"/>
    <w:rsid w:val="009A79FD"/>
    <w:rsid w:val="009A7EE4"/>
    <w:rsid w:val="009A7F6B"/>
    <w:rsid w:val="009A7FFD"/>
    <w:rsid w:val="009B0333"/>
    <w:rsid w:val="009B0906"/>
    <w:rsid w:val="009B0B0F"/>
    <w:rsid w:val="009B0D53"/>
    <w:rsid w:val="009B0D9B"/>
    <w:rsid w:val="009B1082"/>
    <w:rsid w:val="009B1617"/>
    <w:rsid w:val="009B1705"/>
    <w:rsid w:val="009B19E3"/>
    <w:rsid w:val="009B1BFE"/>
    <w:rsid w:val="009B23F5"/>
    <w:rsid w:val="009B240B"/>
    <w:rsid w:val="009B2BFF"/>
    <w:rsid w:val="009B2FD0"/>
    <w:rsid w:val="009B352E"/>
    <w:rsid w:val="009B353E"/>
    <w:rsid w:val="009B35F6"/>
    <w:rsid w:val="009B3F90"/>
    <w:rsid w:val="009B3FE6"/>
    <w:rsid w:val="009B4014"/>
    <w:rsid w:val="009B4398"/>
    <w:rsid w:val="009B47E3"/>
    <w:rsid w:val="009B4B7C"/>
    <w:rsid w:val="009B4CF5"/>
    <w:rsid w:val="009B549E"/>
    <w:rsid w:val="009B5553"/>
    <w:rsid w:val="009B5AB2"/>
    <w:rsid w:val="009B60DC"/>
    <w:rsid w:val="009B61BD"/>
    <w:rsid w:val="009B6352"/>
    <w:rsid w:val="009B67A6"/>
    <w:rsid w:val="009B69DE"/>
    <w:rsid w:val="009B6CC6"/>
    <w:rsid w:val="009B6D9F"/>
    <w:rsid w:val="009B6EDC"/>
    <w:rsid w:val="009B7563"/>
    <w:rsid w:val="009B7753"/>
    <w:rsid w:val="009B7EEA"/>
    <w:rsid w:val="009C004F"/>
    <w:rsid w:val="009C0D0A"/>
    <w:rsid w:val="009C0EB5"/>
    <w:rsid w:val="009C0F5C"/>
    <w:rsid w:val="009C1132"/>
    <w:rsid w:val="009C1A3D"/>
    <w:rsid w:val="009C1AFC"/>
    <w:rsid w:val="009C2046"/>
    <w:rsid w:val="009C2AA0"/>
    <w:rsid w:val="009C2AEA"/>
    <w:rsid w:val="009C42C5"/>
    <w:rsid w:val="009C4305"/>
    <w:rsid w:val="009C44EB"/>
    <w:rsid w:val="009C4A3F"/>
    <w:rsid w:val="009C4AB2"/>
    <w:rsid w:val="009C58D4"/>
    <w:rsid w:val="009C62B8"/>
    <w:rsid w:val="009C66AD"/>
    <w:rsid w:val="009C66E0"/>
    <w:rsid w:val="009C6AE0"/>
    <w:rsid w:val="009C6EBB"/>
    <w:rsid w:val="009C70A1"/>
    <w:rsid w:val="009C7693"/>
    <w:rsid w:val="009C7694"/>
    <w:rsid w:val="009C7E2D"/>
    <w:rsid w:val="009C7F08"/>
    <w:rsid w:val="009D010F"/>
    <w:rsid w:val="009D026F"/>
    <w:rsid w:val="009D05E2"/>
    <w:rsid w:val="009D0622"/>
    <w:rsid w:val="009D0652"/>
    <w:rsid w:val="009D0DC3"/>
    <w:rsid w:val="009D0E05"/>
    <w:rsid w:val="009D10D9"/>
    <w:rsid w:val="009D154C"/>
    <w:rsid w:val="009D19E7"/>
    <w:rsid w:val="009D1D84"/>
    <w:rsid w:val="009D2034"/>
    <w:rsid w:val="009D23AB"/>
    <w:rsid w:val="009D2B6B"/>
    <w:rsid w:val="009D2D2F"/>
    <w:rsid w:val="009D2E02"/>
    <w:rsid w:val="009D33D2"/>
    <w:rsid w:val="009D39B8"/>
    <w:rsid w:val="009D3D73"/>
    <w:rsid w:val="009D46CC"/>
    <w:rsid w:val="009D5A46"/>
    <w:rsid w:val="009D5A8C"/>
    <w:rsid w:val="009D5AFF"/>
    <w:rsid w:val="009D6A2B"/>
    <w:rsid w:val="009D6C62"/>
    <w:rsid w:val="009D7294"/>
    <w:rsid w:val="009D7820"/>
    <w:rsid w:val="009D791D"/>
    <w:rsid w:val="009D7AE5"/>
    <w:rsid w:val="009D7D24"/>
    <w:rsid w:val="009D7FA4"/>
    <w:rsid w:val="009E020B"/>
    <w:rsid w:val="009E03BA"/>
    <w:rsid w:val="009E03E3"/>
    <w:rsid w:val="009E0A1A"/>
    <w:rsid w:val="009E0F47"/>
    <w:rsid w:val="009E129F"/>
    <w:rsid w:val="009E1425"/>
    <w:rsid w:val="009E15F3"/>
    <w:rsid w:val="009E176E"/>
    <w:rsid w:val="009E1DBD"/>
    <w:rsid w:val="009E1FDF"/>
    <w:rsid w:val="009E2BDE"/>
    <w:rsid w:val="009E3CFE"/>
    <w:rsid w:val="009E3E86"/>
    <w:rsid w:val="009E4454"/>
    <w:rsid w:val="009E4F1A"/>
    <w:rsid w:val="009E56D2"/>
    <w:rsid w:val="009E56ED"/>
    <w:rsid w:val="009E59B1"/>
    <w:rsid w:val="009E60F4"/>
    <w:rsid w:val="009E6998"/>
    <w:rsid w:val="009E6D01"/>
    <w:rsid w:val="009E717F"/>
    <w:rsid w:val="009E7402"/>
    <w:rsid w:val="009E7A7B"/>
    <w:rsid w:val="009E7AD6"/>
    <w:rsid w:val="009E7AD8"/>
    <w:rsid w:val="009E7AF1"/>
    <w:rsid w:val="009E7C8F"/>
    <w:rsid w:val="009E7FA9"/>
    <w:rsid w:val="009F0B9D"/>
    <w:rsid w:val="009F0DB5"/>
    <w:rsid w:val="009F1997"/>
    <w:rsid w:val="009F2098"/>
    <w:rsid w:val="009F26C1"/>
    <w:rsid w:val="009F2B45"/>
    <w:rsid w:val="009F34D6"/>
    <w:rsid w:val="009F3A1F"/>
    <w:rsid w:val="009F3C54"/>
    <w:rsid w:val="009F4246"/>
    <w:rsid w:val="009F43DB"/>
    <w:rsid w:val="009F43EE"/>
    <w:rsid w:val="009F4730"/>
    <w:rsid w:val="009F4ACC"/>
    <w:rsid w:val="009F4F0A"/>
    <w:rsid w:val="009F4FA0"/>
    <w:rsid w:val="009F5D1E"/>
    <w:rsid w:val="009F68D8"/>
    <w:rsid w:val="009F698E"/>
    <w:rsid w:val="009F6BF4"/>
    <w:rsid w:val="009F749F"/>
    <w:rsid w:val="009F756F"/>
    <w:rsid w:val="00A0047E"/>
    <w:rsid w:val="00A0054E"/>
    <w:rsid w:val="00A00B41"/>
    <w:rsid w:val="00A00B9D"/>
    <w:rsid w:val="00A00CED"/>
    <w:rsid w:val="00A01651"/>
    <w:rsid w:val="00A01BC4"/>
    <w:rsid w:val="00A01BEB"/>
    <w:rsid w:val="00A02060"/>
    <w:rsid w:val="00A020F8"/>
    <w:rsid w:val="00A026A4"/>
    <w:rsid w:val="00A0307C"/>
    <w:rsid w:val="00A03236"/>
    <w:rsid w:val="00A03835"/>
    <w:rsid w:val="00A03F4B"/>
    <w:rsid w:val="00A04085"/>
    <w:rsid w:val="00A044EC"/>
    <w:rsid w:val="00A047E7"/>
    <w:rsid w:val="00A04B6B"/>
    <w:rsid w:val="00A04D01"/>
    <w:rsid w:val="00A052FF"/>
    <w:rsid w:val="00A06211"/>
    <w:rsid w:val="00A06C5E"/>
    <w:rsid w:val="00A06F50"/>
    <w:rsid w:val="00A06FEA"/>
    <w:rsid w:val="00A07028"/>
    <w:rsid w:val="00A1031C"/>
    <w:rsid w:val="00A1061B"/>
    <w:rsid w:val="00A1083F"/>
    <w:rsid w:val="00A1091A"/>
    <w:rsid w:val="00A10968"/>
    <w:rsid w:val="00A10C11"/>
    <w:rsid w:val="00A11B2F"/>
    <w:rsid w:val="00A11B97"/>
    <w:rsid w:val="00A124C7"/>
    <w:rsid w:val="00A1325F"/>
    <w:rsid w:val="00A134A1"/>
    <w:rsid w:val="00A134CA"/>
    <w:rsid w:val="00A135D6"/>
    <w:rsid w:val="00A13E05"/>
    <w:rsid w:val="00A14402"/>
    <w:rsid w:val="00A15175"/>
    <w:rsid w:val="00A151C5"/>
    <w:rsid w:val="00A15821"/>
    <w:rsid w:val="00A16558"/>
    <w:rsid w:val="00A16772"/>
    <w:rsid w:val="00A1685B"/>
    <w:rsid w:val="00A16F9C"/>
    <w:rsid w:val="00A1734C"/>
    <w:rsid w:val="00A17580"/>
    <w:rsid w:val="00A176FF"/>
    <w:rsid w:val="00A17B73"/>
    <w:rsid w:val="00A17C3B"/>
    <w:rsid w:val="00A20182"/>
    <w:rsid w:val="00A2026C"/>
    <w:rsid w:val="00A20667"/>
    <w:rsid w:val="00A21B9F"/>
    <w:rsid w:val="00A221A4"/>
    <w:rsid w:val="00A232D6"/>
    <w:rsid w:val="00A234E3"/>
    <w:rsid w:val="00A2376B"/>
    <w:rsid w:val="00A238C8"/>
    <w:rsid w:val="00A250B4"/>
    <w:rsid w:val="00A2537E"/>
    <w:rsid w:val="00A255CC"/>
    <w:rsid w:val="00A25625"/>
    <w:rsid w:val="00A2573D"/>
    <w:rsid w:val="00A25F3F"/>
    <w:rsid w:val="00A267C2"/>
    <w:rsid w:val="00A269F7"/>
    <w:rsid w:val="00A26FFE"/>
    <w:rsid w:val="00A27AD9"/>
    <w:rsid w:val="00A27B86"/>
    <w:rsid w:val="00A27D22"/>
    <w:rsid w:val="00A27D7A"/>
    <w:rsid w:val="00A308E0"/>
    <w:rsid w:val="00A30B49"/>
    <w:rsid w:val="00A30BE4"/>
    <w:rsid w:val="00A30E0C"/>
    <w:rsid w:val="00A30F11"/>
    <w:rsid w:val="00A312B0"/>
    <w:rsid w:val="00A31618"/>
    <w:rsid w:val="00A316B4"/>
    <w:rsid w:val="00A317D6"/>
    <w:rsid w:val="00A33092"/>
    <w:rsid w:val="00A33263"/>
    <w:rsid w:val="00A3340B"/>
    <w:rsid w:val="00A33D53"/>
    <w:rsid w:val="00A351FC"/>
    <w:rsid w:val="00A352F0"/>
    <w:rsid w:val="00A35AA9"/>
    <w:rsid w:val="00A35F13"/>
    <w:rsid w:val="00A36114"/>
    <w:rsid w:val="00A36247"/>
    <w:rsid w:val="00A36324"/>
    <w:rsid w:val="00A36497"/>
    <w:rsid w:val="00A365BA"/>
    <w:rsid w:val="00A36CD9"/>
    <w:rsid w:val="00A370C3"/>
    <w:rsid w:val="00A379B0"/>
    <w:rsid w:val="00A37E93"/>
    <w:rsid w:val="00A40419"/>
    <w:rsid w:val="00A404E2"/>
    <w:rsid w:val="00A405BB"/>
    <w:rsid w:val="00A410CC"/>
    <w:rsid w:val="00A4135F"/>
    <w:rsid w:val="00A413C0"/>
    <w:rsid w:val="00A41C79"/>
    <w:rsid w:val="00A42C6D"/>
    <w:rsid w:val="00A42D9D"/>
    <w:rsid w:val="00A43A35"/>
    <w:rsid w:val="00A43B9A"/>
    <w:rsid w:val="00A43BD4"/>
    <w:rsid w:val="00A4401A"/>
    <w:rsid w:val="00A445C6"/>
    <w:rsid w:val="00A44CD4"/>
    <w:rsid w:val="00A44D8D"/>
    <w:rsid w:val="00A44E1E"/>
    <w:rsid w:val="00A45032"/>
    <w:rsid w:val="00A450A2"/>
    <w:rsid w:val="00A4652D"/>
    <w:rsid w:val="00A465A6"/>
    <w:rsid w:val="00A46B7A"/>
    <w:rsid w:val="00A475EB"/>
    <w:rsid w:val="00A47E81"/>
    <w:rsid w:val="00A506FE"/>
    <w:rsid w:val="00A50836"/>
    <w:rsid w:val="00A5091B"/>
    <w:rsid w:val="00A510C0"/>
    <w:rsid w:val="00A511BD"/>
    <w:rsid w:val="00A51210"/>
    <w:rsid w:val="00A5153A"/>
    <w:rsid w:val="00A51D32"/>
    <w:rsid w:val="00A520F5"/>
    <w:rsid w:val="00A52152"/>
    <w:rsid w:val="00A521EA"/>
    <w:rsid w:val="00A521ED"/>
    <w:rsid w:val="00A5279D"/>
    <w:rsid w:val="00A52832"/>
    <w:rsid w:val="00A5287A"/>
    <w:rsid w:val="00A528FC"/>
    <w:rsid w:val="00A5320D"/>
    <w:rsid w:val="00A53C71"/>
    <w:rsid w:val="00A53C72"/>
    <w:rsid w:val="00A544C9"/>
    <w:rsid w:val="00A54E76"/>
    <w:rsid w:val="00A551D1"/>
    <w:rsid w:val="00A551E3"/>
    <w:rsid w:val="00A55370"/>
    <w:rsid w:val="00A5545B"/>
    <w:rsid w:val="00A55483"/>
    <w:rsid w:val="00A55527"/>
    <w:rsid w:val="00A55F51"/>
    <w:rsid w:val="00A56A3A"/>
    <w:rsid w:val="00A570D8"/>
    <w:rsid w:val="00A5734F"/>
    <w:rsid w:val="00A5756A"/>
    <w:rsid w:val="00A575FC"/>
    <w:rsid w:val="00A577A7"/>
    <w:rsid w:val="00A57DE2"/>
    <w:rsid w:val="00A600B0"/>
    <w:rsid w:val="00A60CB2"/>
    <w:rsid w:val="00A61821"/>
    <w:rsid w:val="00A61EBD"/>
    <w:rsid w:val="00A6218A"/>
    <w:rsid w:val="00A627F2"/>
    <w:rsid w:val="00A6295C"/>
    <w:rsid w:val="00A62DD6"/>
    <w:rsid w:val="00A631B5"/>
    <w:rsid w:val="00A63E7C"/>
    <w:rsid w:val="00A64026"/>
    <w:rsid w:val="00A64334"/>
    <w:rsid w:val="00A64F79"/>
    <w:rsid w:val="00A65393"/>
    <w:rsid w:val="00A6558F"/>
    <w:rsid w:val="00A65E36"/>
    <w:rsid w:val="00A65E92"/>
    <w:rsid w:val="00A665EA"/>
    <w:rsid w:val="00A66677"/>
    <w:rsid w:val="00A66B39"/>
    <w:rsid w:val="00A66C5A"/>
    <w:rsid w:val="00A66D2C"/>
    <w:rsid w:val="00A66DBF"/>
    <w:rsid w:val="00A66EE1"/>
    <w:rsid w:val="00A67451"/>
    <w:rsid w:val="00A674E9"/>
    <w:rsid w:val="00A6785E"/>
    <w:rsid w:val="00A67F30"/>
    <w:rsid w:val="00A67F82"/>
    <w:rsid w:val="00A70BA6"/>
    <w:rsid w:val="00A71171"/>
    <w:rsid w:val="00A712FC"/>
    <w:rsid w:val="00A71306"/>
    <w:rsid w:val="00A73D62"/>
    <w:rsid w:val="00A7505B"/>
    <w:rsid w:val="00A75A15"/>
    <w:rsid w:val="00A75C4C"/>
    <w:rsid w:val="00A7664A"/>
    <w:rsid w:val="00A767FC"/>
    <w:rsid w:val="00A76A15"/>
    <w:rsid w:val="00A76A1B"/>
    <w:rsid w:val="00A76AD8"/>
    <w:rsid w:val="00A76EDB"/>
    <w:rsid w:val="00A772D0"/>
    <w:rsid w:val="00A773DC"/>
    <w:rsid w:val="00A778BC"/>
    <w:rsid w:val="00A80505"/>
    <w:rsid w:val="00A80BC1"/>
    <w:rsid w:val="00A80EA7"/>
    <w:rsid w:val="00A80FEE"/>
    <w:rsid w:val="00A81081"/>
    <w:rsid w:val="00A812E6"/>
    <w:rsid w:val="00A818EB"/>
    <w:rsid w:val="00A82B7A"/>
    <w:rsid w:val="00A82CCD"/>
    <w:rsid w:val="00A82D4D"/>
    <w:rsid w:val="00A82D82"/>
    <w:rsid w:val="00A82E3A"/>
    <w:rsid w:val="00A82F9E"/>
    <w:rsid w:val="00A830B2"/>
    <w:rsid w:val="00A831E2"/>
    <w:rsid w:val="00A8372A"/>
    <w:rsid w:val="00A83AB2"/>
    <w:rsid w:val="00A83BE1"/>
    <w:rsid w:val="00A851A6"/>
    <w:rsid w:val="00A85852"/>
    <w:rsid w:val="00A85D90"/>
    <w:rsid w:val="00A85F12"/>
    <w:rsid w:val="00A8625E"/>
    <w:rsid w:val="00A8667F"/>
    <w:rsid w:val="00A86844"/>
    <w:rsid w:val="00A870B0"/>
    <w:rsid w:val="00A871F6"/>
    <w:rsid w:val="00A87480"/>
    <w:rsid w:val="00A87747"/>
    <w:rsid w:val="00A87B74"/>
    <w:rsid w:val="00A9038C"/>
    <w:rsid w:val="00A9065C"/>
    <w:rsid w:val="00A90F6B"/>
    <w:rsid w:val="00A911BA"/>
    <w:rsid w:val="00A915F2"/>
    <w:rsid w:val="00A91AFE"/>
    <w:rsid w:val="00A91B21"/>
    <w:rsid w:val="00A91C63"/>
    <w:rsid w:val="00A91D91"/>
    <w:rsid w:val="00A91E47"/>
    <w:rsid w:val="00A927E2"/>
    <w:rsid w:val="00A92ADB"/>
    <w:rsid w:val="00A93232"/>
    <w:rsid w:val="00A9352B"/>
    <w:rsid w:val="00A936D4"/>
    <w:rsid w:val="00A938EC"/>
    <w:rsid w:val="00A93AAE"/>
    <w:rsid w:val="00A9464B"/>
    <w:rsid w:val="00A9465B"/>
    <w:rsid w:val="00A95087"/>
    <w:rsid w:val="00A95B73"/>
    <w:rsid w:val="00A95B8B"/>
    <w:rsid w:val="00A95C75"/>
    <w:rsid w:val="00A95D36"/>
    <w:rsid w:val="00A96349"/>
    <w:rsid w:val="00A97546"/>
    <w:rsid w:val="00A9795A"/>
    <w:rsid w:val="00AA054E"/>
    <w:rsid w:val="00AA0CBF"/>
    <w:rsid w:val="00AA0E48"/>
    <w:rsid w:val="00AA0FC2"/>
    <w:rsid w:val="00AA1100"/>
    <w:rsid w:val="00AA11CC"/>
    <w:rsid w:val="00AA194B"/>
    <w:rsid w:val="00AA1A0D"/>
    <w:rsid w:val="00AA1CF7"/>
    <w:rsid w:val="00AA237B"/>
    <w:rsid w:val="00AA2938"/>
    <w:rsid w:val="00AA3F8F"/>
    <w:rsid w:val="00AA410B"/>
    <w:rsid w:val="00AA489F"/>
    <w:rsid w:val="00AA57EE"/>
    <w:rsid w:val="00AA5D9A"/>
    <w:rsid w:val="00AA5F41"/>
    <w:rsid w:val="00AA6057"/>
    <w:rsid w:val="00AA67E0"/>
    <w:rsid w:val="00AA6B8D"/>
    <w:rsid w:val="00AA6F01"/>
    <w:rsid w:val="00AA7281"/>
    <w:rsid w:val="00AA7615"/>
    <w:rsid w:val="00AA7FA7"/>
    <w:rsid w:val="00AB014D"/>
    <w:rsid w:val="00AB01CF"/>
    <w:rsid w:val="00AB02C7"/>
    <w:rsid w:val="00AB0432"/>
    <w:rsid w:val="00AB04D8"/>
    <w:rsid w:val="00AB16D7"/>
    <w:rsid w:val="00AB2227"/>
    <w:rsid w:val="00AB225F"/>
    <w:rsid w:val="00AB29B4"/>
    <w:rsid w:val="00AB2AC8"/>
    <w:rsid w:val="00AB2B0B"/>
    <w:rsid w:val="00AB2C34"/>
    <w:rsid w:val="00AB3628"/>
    <w:rsid w:val="00AB385A"/>
    <w:rsid w:val="00AB3D7D"/>
    <w:rsid w:val="00AB3DBE"/>
    <w:rsid w:val="00AB3E54"/>
    <w:rsid w:val="00AB3E9E"/>
    <w:rsid w:val="00AB3F7F"/>
    <w:rsid w:val="00AB411F"/>
    <w:rsid w:val="00AB51C0"/>
    <w:rsid w:val="00AB534C"/>
    <w:rsid w:val="00AB5D79"/>
    <w:rsid w:val="00AB64B1"/>
    <w:rsid w:val="00AB64DA"/>
    <w:rsid w:val="00AB6F37"/>
    <w:rsid w:val="00AB6FFB"/>
    <w:rsid w:val="00AB7132"/>
    <w:rsid w:val="00AB7463"/>
    <w:rsid w:val="00AB7542"/>
    <w:rsid w:val="00AB769F"/>
    <w:rsid w:val="00AB76F8"/>
    <w:rsid w:val="00AB7785"/>
    <w:rsid w:val="00AB7897"/>
    <w:rsid w:val="00AB7AC8"/>
    <w:rsid w:val="00AC0B81"/>
    <w:rsid w:val="00AC0EFE"/>
    <w:rsid w:val="00AC12E0"/>
    <w:rsid w:val="00AC1A4A"/>
    <w:rsid w:val="00AC1BD9"/>
    <w:rsid w:val="00AC1F4F"/>
    <w:rsid w:val="00AC22EE"/>
    <w:rsid w:val="00AC257B"/>
    <w:rsid w:val="00AC26BB"/>
    <w:rsid w:val="00AC2758"/>
    <w:rsid w:val="00AC2D66"/>
    <w:rsid w:val="00AC2EC4"/>
    <w:rsid w:val="00AC3E22"/>
    <w:rsid w:val="00AC4A8E"/>
    <w:rsid w:val="00AC4B1C"/>
    <w:rsid w:val="00AC4C35"/>
    <w:rsid w:val="00AC50E9"/>
    <w:rsid w:val="00AC50FD"/>
    <w:rsid w:val="00AC5949"/>
    <w:rsid w:val="00AC5AED"/>
    <w:rsid w:val="00AC5CCD"/>
    <w:rsid w:val="00AC5CED"/>
    <w:rsid w:val="00AC631D"/>
    <w:rsid w:val="00AC670D"/>
    <w:rsid w:val="00AC6BA0"/>
    <w:rsid w:val="00AC71B2"/>
    <w:rsid w:val="00AC7635"/>
    <w:rsid w:val="00AC774B"/>
    <w:rsid w:val="00AC7764"/>
    <w:rsid w:val="00AC77A8"/>
    <w:rsid w:val="00AC79E0"/>
    <w:rsid w:val="00AC7BCD"/>
    <w:rsid w:val="00AD0B10"/>
    <w:rsid w:val="00AD14F2"/>
    <w:rsid w:val="00AD150A"/>
    <w:rsid w:val="00AD17E2"/>
    <w:rsid w:val="00AD1AAC"/>
    <w:rsid w:val="00AD1E14"/>
    <w:rsid w:val="00AD202A"/>
    <w:rsid w:val="00AD2375"/>
    <w:rsid w:val="00AD239F"/>
    <w:rsid w:val="00AD28C9"/>
    <w:rsid w:val="00AD35AB"/>
    <w:rsid w:val="00AD3E97"/>
    <w:rsid w:val="00AD4153"/>
    <w:rsid w:val="00AD41CA"/>
    <w:rsid w:val="00AD4318"/>
    <w:rsid w:val="00AD4813"/>
    <w:rsid w:val="00AD4ADE"/>
    <w:rsid w:val="00AD4DD7"/>
    <w:rsid w:val="00AD4FE1"/>
    <w:rsid w:val="00AD5036"/>
    <w:rsid w:val="00AD54E6"/>
    <w:rsid w:val="00AD57F7"/>
    <w:rsid w:val="00AD5B71"/>
    <w:rsid w:val="00AD5F0D"/>
    <w:rsid w:val="00AD694C"/>
    <w:rsid w:val="00AD6CD5"/>
    <w:rsid w:val="00AE0E18"/>
    <w:rsid w:val="00AE0F32"/>
    <w:rsid w:val="00AE24F3"/>
    <w:rsid w:val="00AE2CC4"/>
    <w:rsid w:val="00AE2F10"/>
    <w:rsid w:val="00AE33F4"/>
    <w:rsid w:val="00AE3D96"/>
    <w:rsid w:val="00AE3FDC"/>
    <w:rsid w:val="00AE4FC7"/>
    <w:rsid w:val="00AE5271"/>
    <w:rsid w:val="00AE5433"/>
    <w:rsid w:val="00AE74C9"/>
    <w:rsid w:val="00AF0116"/>
    <w:rsid w:val="00AF0498"/>
    <w:rsid w:val="00AF0D15"/>
    <w:rsid w:val="00AF0ECE"/>
    <w:rsid w:val="00AF0F6F"/>
    <w:rsid w:val="00AF14D5"/>
    <w:rsid w:val="00AF172D"/>
    <w:rsid w:val="00AF18A1"/>
    <w:rsid w:val="00AF1E9D"/>
    <w:rsid w:val="00AF1FC7"/>
    <w:rsid w:val="00AF2260"/>
    <w:rsid w:val="00AF2994"/>
    <w:rsid w:val="00AF2B95"/>
    <w:rsid w:val="00AF2D5B"/>
    <w:rsid w:val="00AF4048"/>
    <w:rsid w:val="00AF43B1"/>
    <w:rsid w:val="00AF4529"/>
    <w:rsid w:val="00AF45D5"/>
    <w:rsid w:val="00AF465C"/>
    <w:rsid w:val="00AF4703"/>
    <w:rsid w:val="00AF4840"/>
    <w:rsid w:val="00AF4AAA"/>
    <w:rsid w:val="00AF4DD6"/>
    <w:rsid w:val="00AF4F1B"/>
    <w:rsid w:val="00AF4FD8"/>
    <w:rsid w:val="00AF4FDC"/>
    <w:rsid w:val="00AF592B"/>
    <w:rsid w:val="00AF6356"/>
    <w:rsid w:val="00AF639E"/>
    <w:rsid w:val="00AF6B1E"/>
    <w:rsid w:val="00AF6F08"/>
    <w:rsid w:val="00AF71CA"/>
    <w:rsid w:val="00AF761C"/>
    <w:rsid w:val="00AF781B"/>
    <w:rsid w:val="00AF7C11"/>
    <w:rsid w:val="00AF7E24"/>
    <w:rsid w:val="00AF7E46"/>
    <w:rsid w:val="00B00BEC"/>
    <w:rsid w:val="00B00DF5"/>
    <w:rsid w:val="00B016C1"/>
    <w:rsid w:val="00B01DB3"/>
    <w:rsid w:val="00B01DCC"/>
    <w:rsid w:val="00B028CB"/>
    <w:rsid w:val="00B036D5"/>
    <w:rsid w:val="00B03969"/>
    <w:rsid w:val="00B040F3"/>
    <w:rsid w:val="00B04283"/>
    <w:rsid w:val="00B05096"/>
    <w:rsid w:val="00B05427"/>
    <w:rsid w:val="00B05441"/>
    <w:rsid w:val="00B05B62"/>
    <w:rsid w:val="00B05C99"/>
    <w:rsid w:val="00B07101"/>
    <w:rsid w:val="00B07463"/>
    <w:rsid w:val="00B07994"/>
    <w:rsid w:val="00B103D7"/>
    <w:rsid w:val="00B10921"/>
    <w:rsid w:val="00B114F0"/>
    <w:rsid w:val="00B11AC2"/>
    <w:rsid w:val="00B11EFB"/>
    <w:rsid w:val="00B123ED"/>
    <w:rsid w:val="00B13011"/>
    <w:rsid w:val="00B13118"/>
    <w:rsid w:val="00B131A4"/>
    <w:rsid w:val="00B13428"/>
    <w:rsid w:val="00B141CE"/>
    <w:rsid w:val="00B14CC4"/>
    <w:rsid w:val="00B14D0D"/>
    <w:rsid w:val="00B14DFF"/>
    <w:rsid w:val="00B154E6"/>
    <w:rsid w:val="00B15C0B"/>
    <w:rsid w:val="00B16A01"/>
    <w:rsid w:val="00B16B3C"/>
    <w:rsid w:val="00B1790D"/>
    <w:rsid w:val="00B17AF3"/>
    <w:rsid w:val="00B17D87"/>
    <w:rsid w:val="00B2035F"/>
    <w:rsid w:val="00B203DC"/>
    <w:rsid w:val="00B208FE"/>
    <w:rsid w:val="00B21274"/>
    <w:rsid w:val="00B21548"/>
    <w:rsid w:val="00B22006"/>
    <w:rsid w:val="00B22030"/>
    <w:rsid w:val="00B222F2"/>
    <w:rsid w:val="00B2286F"/>
    <w:rsid w:val="00B23047"/>
    <w:rsid w:val="00B23DDF"/>
    <w:rsid w:val="00B243CB"/>
    <w:rsid w:val="00B245C2"/>
    <w:rsid w:val="00B25327"/>
    <w:rsid w:val="00B25399"/>
    <w:rsid w:val="00B25C8A"/>
    <w:rsid w:val="00B26198"/>
    <w:rsid w:val="00B26E5D"/>
    <w:rsid w:val="00B27499"/>
    <w:rsid w:val="00B275D7"/>
    <w:rsid w:val="00B2764F"/>
    <w:rsid w:val="00B27EDD"/>
    <w:rsid w:val="00B303A1"/>
    <w:rsid w:val="00B30933"/>
    <w:rsid w:val="00B30BCC"/>
    <w:rsid w:val="00B31386"/>
    <w:rsid w:val="00B314F3"/>
    <w:rsid w:val="00B31666"/>
    <w:rsid w:val="00B31A88"/>
    <w:rsid w:val="00B31B09"/>
    <w:rsid w:val="00B3222D"/>
    <w:rsid w:val="00B32A46"/>
    <w:rsid w:val="00B33214"/>
    <w:rsid w:val="00B33761"/>
    <w:rsid w:val="00B3384F"/>
    <w:rsid w:val="00B33C3F"/>
    <w:rsid w:val="00B33D10"/>
    <w:rsid w:val="00B33EB5"/>
    <w:rsid w:val="00B34BFB"/>
    <w:rsid w:val="00B353DD"/>
    <w:rsid w:val="00B35640"/>
    <w:rsid w:val="00B356BE"/>
    <w:rsid w:val="00B35F06"/>
    <w:rsid w:val="00B36F57"/>
    <w:rsid w:val="00B3711F"/>
    <w:rsid w:val="00B3712E"/>
    <w:rsid w:val="00B37185"/>
    <w:rsid w:val="00B37295"/>
    <w:rsid w:val="00B37830"/>
    <w:rsid w:val="00B3786F"/>
    <w:rsid w:val="00B40B74"/>
    <w:rsid w:val="00B40D81"/>
    <w:rsid w:val="00B410C4"/>
    <w:rsid w:val="00B4130E"/>
    <w:rsid w:val="00B417D4"/>
    <w:rsid w:val="00B425CC"/>
    <w:rsid w:val="00B42BD1"/>
    <w:rsid w:val="00B42FB6"/>
    <w:rsid w:val="00B4325C"/>
    <w:rsid w:val="00B43388"/>
    <w:rsid w:val="00B43FEE"/>
    <w:rsid w:val="00B44AFC"/>
    <w:rsid w:val="00B44F2A"/>
    <w:rsid w:val="00B450E6"/>
    <w:rsid w:val="00B46251"/>
    <w:rsid w:val="00B462B8"/>
    <w:rsid w:val="00B46422"/>
    <w:rsid w:val="00B466BB"/>
    <w:rsid w:val="00B46EF0"/>
    <w:rsid w:val="00B47807"/>
    <w:rsid w:val="00B47C39"/>
    <w:rsid w:val="00B50534"/>
    <w:rsid w:val="00B507E1"/>
    <w:rsid w:val="00B50CC8"/>
    <w:rsid w:val="00B510B3"/>
    <w:rsid w:val="00B51722"/>
    <w:rsid w:val="00B51C6C"/>
    <w:rsid w:val="00B51D00"/>
    <w:rsid w:val="00B52E10"/>
    <w:rsid w:val="00B55282"/>
    <w:rsid w:val="00B5534F"/>
    <w:rsid w:val="00B55ABB"/>
    <w:rsid w:val="00B55F41"/>
    <w:rsid w:val="00B561F9"/>
    <w:rsid w:val="00B56B6C"/>
    <w:rsid w:val="00B56C44"/>
    <w:rsid w:val="00B60E6D"/>
    <w:rsid w:val="00B60F50"/>
    <w:rsid w:val="00B61717"/>
    <w:rsid w:val="00B61765"/>
    <w:rsid w:val="00B61CF8"/>
    <w:rsid w:val="00B62298"/>
    <w:rsid w:val="00B624DC"/>
    <w:rsid w:val="00B6266F"/>
    <w:rsid w:val="00B62AD5"/>
    <w:rsid w:val="00B62B82"/>
    <w:rsid w:val="00B62BD8"/>
    <w:rsid w:val="00B63785"/>
    <w:rsid w:val="00B63F4B"/>
    <w:rsid w:val="00B63FEA"/>
    <w:rsid w:val="00B6441A"/>
    <w:rsid w:val="00B644A5"/>
    <w:rsid w:val="00B64A07"/>
    <w:rsid w:val="00B64EE5"/>
    <w:rsid w:val="00B6511F"/>
    <w:rsid w:val="00B65259"/>
    <w:rsid w:val="00B653F0"/>
    <w:rsid w:val="00B655D1"/>
    <w:rsid w:val="00B667DB"/>
    <w:rsid w:val="00B66BAC"/>
    <w:rsid w:val="00B67AC1"/>
    <w:rsid w:val="00B705C4"/>
    <w:rsid w:val="00B70C7F"/>
    <w:rsid w:val="00B70F28"/>
    <w:rsid w:val="00B7125A"/>
    <w:rsid w:val="00B714BD"/>
    <w:rsid w:val="00B714FC"/>
    <w:rsid w:val="00B71EF3"/>
    <w:rsid w:val="00B72041"/>
    <w:rsid w:val="00B720FB"/>
    <w:rsid w:val="00B72138"/>
    <w:rsid w:val="00B722C7"/>
    <w:rsid w:val="00B7247A"/>
    <w:rsid w:val="00B72643"/>
    <w:rsid w:val="00B73281"/>
    <w:rsid w:val="00B735C5"/>
    <w:rsid w:val="00B73BD4"/>
    <w:rsid w:val="00B73D82"/>
    <w:rsid w:val="00B741C6"/>
    <w:rsid w:val="00B741E3"/>
    <w:rsid w:val="00B74FA7"/>
    <w:rsid w:val="00B750FE"/>
    <w:rsid w:val="00B7550D"/>
    <w:rsid w:val="00B75D5C"/>
    <w:rsid w:val="00B767E0"/>
    <w:rsid w:val="00B773A7"/>
    <w:rsid w:val="00B7765E"/>
    <w:rsid w:val="00B77662"/>
    <w:rsid w:val="00B777E2"/>
    <w:rsid w:val="00B80369"/>
    <w:rsid w:val="00B8053F"/>
    <w:rsid w:val="00B80879"/>
    <w:rsid w:val="00B8171F"/>
    <w:rsid w:val="00B824C7"/>
    <w:rsid w:val="00B82724"/>
    <w:rsid w:val="00B833DB"/>
    <w:rsid w:val="00B8356A"/>
    <w:rsid w:val="00B83B6C"/>
    <w:rsid w:val="00B83B90"/>
    <w:rsid w:val="00B83BE8"/>
    <w:rsid w:val="00B846DF"/>
    <w:rsid w:val="00B848A3"/>
    <w:rsid w:val="00B84E7E"/>
    <w:rsid w:val="00B85001"/>
    <w:rsid w:val="00B85345"/>
    <w:rsid w:val="00B85764"/>
    <w:rsid w:val="00B857B7"/>
    <w:rsid w:val="00B85BAE"/>
    <w:rsid w:val="00B85C15"/>
    <w:rsid w:val="00B85C5B"/>
    <w:rsid w:val="00B85D0A"/>
    <w:rsid w:val="00B85DC6"/>
    <w:rsid w:val="00B85DDA"/>
    <w:rsid w:val="00B86274"/>
    <w:rsid w:val="00B86F6E"/>
    <w:rsid w:val="00B86FD7"/>
    <w:rsid w:val="00B8709F"/>
    <w:rsid w:val="00B87124"/>
    <w:rsid w:val="00B8784E"/>
    <w:rsid w:val="00B90DAF"/>
    <w:rsid w:val="00B919AB"/>
    <w:rsid w:val="00B91A63"/>
    <w:rsid w:val="00B91B6E"/>
    <w:rsid w:val="00B91D44"/>
    <w:rsid w:val="00B925DE"/>
    <w:rsid w:val="00B92A6C"/>
    <w:rsid w:val="00B92B26"/>
    <w:rsid w:val="00B92B32"/>
    <w:rsid w:val="00B93F96"/>
    <w:rsid w:val="00B94380"/>
    <w:rsid w:val="00B947F8"/>
    <w:rsid w:val="00B94E13"/>
    <w:rsid w:val="00B94F5C"/>
    <w:rsid w:val="00B95298"/>
    <w:rsid w:val="00B9534D"/>
    <w:rsid w:val="00B95418"/>
    <w:rsid w:val="00B9580D"/>
    <w:rsid w:val="00B960C3"/>
    <w:rsid w:val="00B966FC"/>
    <w:rsid w:val="00B966FE"/>
    <w:rsid w:val="00B96738"/>
    <w:rsid w:val="00B96AE1"/>
    <w:rsid w:val="00B96D24"/>
    <w:rsid w:val="00B970E3"/>
    <w:rsid w:val="00B97689"/>
    <w:rsid w:val="00BA166B"/>
    <w:rsid w:val="00BA1A26"/>
    <w:rsid w:val="00BA1BC7"/>
    <w:rsid w:val="00BA204B"/>
    <w:rsid w:val="00BA2576"/>
    <w:rsid w:val="00BA2CFD"/>
    <w:rsid w:val="00BA3748"/>
    <w:rsid w:val="00BA3840"/>
    <w:rsid w:val="00BA3BD6"/>
    <w:rsid w:val="00BA427D"/>
    <w:rsid w:val="00BA46CA"/>
    <w:rsid w:val="00BA474C"/>
    <w:rsid w:val="00BA480F"/>
    <w:rsid w:val="00BA4CDD"/>
    <w:rsid w:val="00BA4D38"/>
    <w:rsid w:val="00BA538D"/>
    <w:rsid w:val="00BA54E9"/>
    <w:rsid w:val="00BA5E68"/>
    <w:rsid w:val="00BA62BD"/>
    <w:rsid w:val="00BA6689"/>
    <w:rsid w:val="00BA66F2"/>
    <w:rsid w:val="00BA6AFD"/>
    <w:rsid w:val="00BA6B57"/>
    <w:rsid w:val="00BA6EA2"/>
    <w:rsid w:val="00BA70FA"/>
    <w:rsid w:val="00BA71FA"/>
    <w:rsid w:val="00BB02DB"/>
    <w:rsid w:val="00BB0B6E"/>
    <w:rsid w:val="00BB14D4"/>
    <w:rsid w:val="00BB153A"/>
    <w:rsid w:val="00BB187D"/>
    <w:rsid w:val="00BB2004"/>
    <w:rsid w:val="00BB21F2"/>
    <w:rsid w:val="00BB2F6D"/>
    <w:rsid w:val="00BB351D"/>
    <w:rsid w:val="00BB3D70"/>
    <w:rsid w:val="00BB41F5"/>
    <w:rsid w:val="00BB449C"/>
    <w:rsid w:val="00BB4635"/>
    <w:rsid w:val="00BB4AE3"/>
    <w:rsid w:val="00BB4F3E"/>
    <w:rsid w:val="00BB4FA4"/>
    <w:rsid w:val="00BB5603"/>
    <w:rsid w:val="00BB56A6"/>
    <w:rsid w:val="00BB591C"/>
    <w:rsid w:val="00BB5E8C"/>
    <w:rsid w:val="00BB6CD7"/>
    <w:rsid w:val="00BB705C"/>
    <w:rsid w:val="00BB77BA"/>
    <w:rsid w:val="00BC0B46"/>
    <w:rsid w:val="00BC1085"/>
    <w:rsid w:val="00BC1340"/>
    <w:rsid w:val="00BC151A"/>
    <w:rsid w:val="00BC1625"/>
    <w:rsid w:val="00BC1798"/>
    <w:rsid w:val="00BC1E22"/>
    <w:rsid w:val="00BC2561"/>
    <w:rsid w:val="00BC2647"/>
    <w:rsid w:val="00BC27AA"/>
    <w:rsid w:val="00BC2B58"/>
    <w:rsid w:val="00BC313A"/>
    <w:rsid w:val="00BC323F"/>
    <w:rsid w:val="00BC33D0"/>
    <w:rsid w:val="00BC3ADB"/>
    <w:rsid w:val="00BC3B72"/>
    <w:rsid w:val="00BC3CC2"/>
    <w:rsid w:val="00BC3EED"/>
    <w:rsid w:val="00BC422A"/>
    <w:rsid w:val="00BC4AAB"/>
    <w:rsid w:val="00BC4B80"/>
    <w:rsid w:val="00BC4D20"/>
    <w:rsid w:val="00BC517F"/>
    <w:rsid w:val="00BC5213"/>
    <w:rsid w:val="00BC5384"/>
    <w:rsid w:val="00BC588F"/>
    <w:rsid w:val="00BC5C8E"/>
    <w:rsid w:val="00BC6004"/>
    <w:rsid w:val="00BC610E"/>
    <w:rsid w:val="00BC62B2"/>
    <w:rsid w:val="00BC6629"/>
    <w:rsid w:val="00BC7002"/>
    <w:rsid w:val="00BC70D2"/>
    <w:rsid w:val="00BC77DF"/>
    <w:rsid w:val="00BC795D"/>
    <w:rsid w:val="00BC79D3"/>
    <w:rsid w:val="00BD03AA"/>
    <w:rsid w:val="00BD0A04"/>
    <w:rsid w:val="00BD0F8C"/>
    <w:rsid w:val="00BD115D"/>
    <w:rsid w:val="00BD11D5"/>
    <w:rsid w:val="00BD11F4"/>
    <w:rsid w:val="00BD164D"/>
    <w:rsid w:val="00BD2013"/>
    <w:rsid w:val="00BD25D2"/>
    <w:rsid w:val="00BD2E2E"/>
    <w:rsid w:val="00BD31B3"/>
    <w:rsid w:val="00BD332D"/>
    <w:rsid w:val="00BD3B0E"/>
    <w:rsid w:val="00BD3B92"/>
    <w:rsid w:val="00BD41C7"/>
    <w:rsid w:val="00BD4302"/>
    <w:rsid w:val="00BD469B"/>
    <w:rsid w:val="00BD4C05"/>
    <w:rsid w:val="00BD52B6"/>
    <w:rsid w:val="00BD5300"/>
    <w:rsid w:val="00BD5310"/>
    <w:rsid w:val="00BD5A62"/>
    <w:rsid w:val="00BD6123"/>
    <w:rsid w:val="00BD65A6"/>
    <w:rsid w:val="00BD6B42"/>
    <w:rsid w:val="00BD6B45"/>
    <w:rsid w:val="00BD6F53"/>
    <w:rsid w:val="00BD7CB3"/>
    <w:rsid w:val="00BE0853"/>
    <w:rsid w:val="00BE1AE6"/>
    <w:rsid w:val="00BE225E"/>
    <w:rsid w:val="00BE240C"/>
    <w:rsid w:val="00BE24DA"/>
    <w:rsid w:val="00BE2B4F"/>
    <w:rsid w:val="00BE2B9C"/>
    <w:rsid w:val="00BE2DB7"/>
    <w:rsid w:val="00BE3092"/>
    <w:rsid w:val="00BE3258"/>
    <w:rsid w:val="00BE32FB"/>
    <w:rsid w:val="00BE330A"/>
    <w:rsid w:val="00BE35F4"/>
    <w:rsid w:val="00BE37E4"/>
    <w:rsid w:val="00BE392A"/>
    <w:rsid w:val="00BE3BC5"/>
    <w:rsid w:val="00BE3C46"/>
    <w:rsid w:val="00BE452A"/>
    <w:rsid w:val="00BE4CBC"/>
    <w:rsid w:val="00BE5C0C"/>
    <w:rsid w:val="00BE5C1D"/>
    <w:rsid w:val="00BE5EFB"/>
    <w:rsid w:val="00BE5FAD"/>
    <w:rsid w:val="00BE7272"/>
    <w:rsid w:val="00BE74CB"/>
    <w:rsid w:val="00BE7531"/>
    <w:rsid w:val="00BE77F5"/>
    <w:rsid w:val="00BF03DD"/>
    <w:rsid w:val="00BF0971"/>
    <w:rsid w:val="00BF0B0A"/>
    <w:rsid w:val="00BF0B18"/>
    <w:rsid w:val="00BF106B"/>
    <w:rsid w:val="00BF13FE"/>
    <w:rsid w:val="00BF15EB"/>
    <w:rsid w:val="00BF179E"/>
    <w:rsid w:val="00BF1F1A"/>
    <w:rsid w:val="00BF2581"/>
    <w:rsid w:val="00BF25A5"/>
    <w:rsid w:val="00BF25CD"/>
    <w:rsid w:val="00BF2619"/>
    <w:rsid w:val="00BF39CB"/>
    <w:rsid w:val="00BF4010"/>
    <w:rsid w:val="00BF4095"/>
    <w:rsid w:val="00BF40BE"/>
    <w:rsid w:val="00BF413E"/>
    <w:rsid w:val="00BF4871"/>
    <w:rsid w:val="00BF497A"/>
    <w:rsid w:val="00BF4D96"/>
    <w:rsid w:val="00BF4FF9"/>
    <w:rsid w:val="00BF5503"/>
    <w:rsid w:val="00BF583A"/>
    <w:rsid w:val="00BF5EA9"/>
    <w:rsid w:val="00BF63CE"/>
    <w:rsid w:val="00BF6547"/>
    <w:rsid w:val="00BF6D7F"/>
    <w:rsid w:val="00BF759B"/>
    <w:rsid w:val="00C0019B"/>
    <w:rsid w:val="00C008C4"/>
    <w:rsid w:val="00C01571"/>
    <w:rsid w:val="00C016FD"/>
    <w:rsid w:val="00C018E0"/>
    <w:rsid w:val="00C01EFF"/>
    <w:rsid w:val="00C024F5"/>
    <w:rsid w:val="00C02BE1"/>
    <w:rsid w:val="00C02D5D"/>
    <w:rsid w:val="00C0370A"/>
    <w:rsid w:val="00C03872"/>
    <w:rsid w:val="00C038E5"/>
    <w:rsid w:val="00C054D9"/>
    <w:rsid w:val="00C05671"/>
    <w:rsid w:val="00C058DC"/>
    <w:rsid w:val="00C068E0"/>
    <w:rsid w:val="00C0696A"/>
    <w:rsid w:val="00C06A65"/>
    <w:rsid w:val="00C06B7B"/>
    <w:rsid w:val="00C06D56"/>
    <w:rsid w:val="00C07601"/>
    <w:rsid w:val="00C07624"/>
    <w:rsid w:val="00C07C80"/>
    <w:rsid w:val="00C07C86"/>
    <w:rsid w:val="00C100C9"/>
    <w:rsid w:val="00C1064A"/>
    <w:rsid w:val="00C10F2E"/>
    <w:rsid w:val="00C116FD"/>
    <w:rsid w:val="00C118E0"/>
    <w:rsid w:val="00C11A46"/>
    <w:rsid w:val="00C11BC0"/>
    <w:rsid w:val="00C11FF5"/>
    <w:rsid w:val="00C12097"/>
    <w:rsid w:val="00C123AA"/>
    <w:rsid w:val="00C12D47"/>
    <w:rsid w:val="00C12E29"/>
    <w:rsid w:val="00C1316E"/>
    <w:rsid w:val="00C138DD"/>
    <w:rsid w:val="00C13A27"/>
    <w:rsid w:val="00C151E5"/>
    <w:rsid w:val="00C1524F"/>
    <w:rsid w:val="00C15373"/>
    <w:rsid w:val="00C15756"/>
    <w:rsid w:val="00C15817"/>
    <w:rsid w:val="00C158ED"/>
    <w:rsid w:val="00C15D1B"/>
    <w:rsid w:val="00C15DFD"/>
    <w:rsid w:val="00C167BE"/>
    <w:rsid w:val="00C167E5"/>
    <w:rsid w:val="00C16DBE"/>
    <w:rsid w:val="00C16F0B"/>
    <w:rsid w:val="00C16FB2"/>
    <w:rsid w:val="00C17606"/>
    <w:rsid w:val="00C17A40"/>
    <w:rsid w:val="00C17C83"/>
    <w:rsid w:val="00C206BD"/>
    <w:rsid w:val="00C209CC"/>
    <w:rsid w:val="00C21578"/>
    <w:rsid w:val="00C217C3"/>
    <w:rsid w:val="00C21AD3"/>
    <w:rsid w:val="00C21C03"/>
    <w:rsid w:val="00C2257E"/>
    <w:rsid w:val="00C22A7B"/>
    <w:rsid w:val="00C23675"/>
    <w:rsid w:val="00C23C1D"/>
    <w:rsid w:val="00C23D9E"/>
    <w:rsid w:val="00C247FE"/>
    <w:rsid w:val="00C24801"/>
    <w:rsid w:val="00C261F8"/>
    <w:rsid w:val="00C27242"/>
    <w:rsid w:val="00C27B8F"/>
    <w:rsid w:val="00C3067F"/>
    <w:rsid w:val="00C30898"/>
    <w:rsid w:val="00C309FC"/>
    <w:rsid w:val="00C312CF"/>
    <w:rsid w:val="00C31635"/>
    <w:rsid w:val="00C31674"/>
    <w:rsid w:val="00C31839"/>
    <w:rsid w:val="00C320FB"/>
    <w:rsid w:val="00C321CD"/>
    <w:rsid w:val="00C321F7"/>
    <w:rsid w:val="00C32664"/>
    <w:rsid w:val="00C3276F"/>
    <w:rsid w:val="00C32A4B"/>
    <w:rsid w:val="00C32A8B"/>
    <w:rsid w:val="00C32BE6"/>
    <w:rsid w:val="00C332B6"/>
    <w:rsid w:val="00C33319"/>
    <w:rsid w:val="00C33885"/>
    <w:rsid w:val="00C33C05"/>
    <w:rsid w:val="00C340DD"/>
    <w:rsid w:val="00C345D7"/>
    <w:rsid w:val="00C34E41"/>
    <w:rsid w:val="00C34F99"/>
    <w:rsid w:val="00C350DE"/>
    <w:rsid w:val="00C3630B"/>
    <w:rsid w:val="00C367BD"/>
    <w:rsid w:val="00C36B53"/>
    <w:rsid w:val="00C37966"/>
    <w:rsid w:val="00C37AE9"/>
    <w:rsid w:val="00C37AF2"/>
    <w:rsid w:val="00C37B42"/>
    <w:rsid w:val="00C37C70"/>
    <w:rsid w:val="00C37CC0"/>
    <w:rsid w:val="00C40219"/>
    <w:rsid w:val="00C40992"/>
    <w:rsid w:val="00C40A9C"/>
    <w:rsid w:val="00C40CD9"/>
    <w:rsid w:val="00C41921"/>
    <w:rsid w:val="00C41EC9"/>
    <w:rsid w:val="00C41F8A"/>
    <w:rsid w:val="00C43C9E"/>
    <w:rsid w:val="00C43D49"/>
    <w:rsid w:val="00C449A5"/>
    <w:rsid w:val="00C44F31"/>
    <w:rsid w:val="00C4503A"/>
    <w:rsid w:val="00C465B5"/>
    <w:rsid w:val="00C465C5"/>
    <w:rsid w:val="00C469CF"/>
    <w:rsid w:val="00C46AA2"/>
    <w:rsid w:val="00C47686"/>
    <w:rsid w:val="00C47D18"/>
    <w:rsid w:val="00C47D21"/>
    <w:rsid w:val="00C50EFB"/>
    <w:rsid w:val="00C51673"/>
    <w:rsid w:val="00C520B9"/>
    <w:rsid w:val="00C52C64"/>
    <w:rsid w:val="00C52D0E"/>
    <w:rsid w:val="00C52E26"/>
    <w:rsid w:val="00C52FFC"/>
    <w:rsid w:val="00C53656"/>
    <w:rsid w:val="00C537F4"/>
    <w:rsid w:val="00C53E27"/>
    <w:rsid w:val="00C54278"/>
    <w:rsid w:val="00C5469A"/>
    <w:rsid w:val="00C554B4"/>
    <w:rsid w:val="00C5552D"/>
    <w:rsid w:val="00C55B06"/>
    <w:rsid w:val="00C56158"/>
    <w:rsid w:val="00C56311"/>
    <w:rsid w:val="00C56525"/>
    <w:rsid w:val="00C5694F"/>
    <w:rsid w:val="00C56CA8"/>
    <w:rsid w:val="00C570F9"/>
    <w:rsid w:val="00C571B0"/>
    <w:rsid w:val="00C600A2"/>
    <w:rsid w:val="00C603E4"/>
    <w:rsid w:val="00C60425"/>
    <w:rsid w:val="00C604AB"/>
    <w:rsid w:val="00C60620"/>
    <w:rsid w:val="00C6063C"/>
    <w:rsid w:val="00C60778"/>
    <w:rsid w:val="00C60B79"/>
    <w:rsid w:val="00C60D25"/>
    <w:rsid w:val="00C61B3B"/>
    <w:rsid w:val="00C62014"/>
    <w:rsid w:val="00C62999"/>
    <w:rsid w:val="00C62B79"/>
    <w:rsid w:val="00C638E3"/>
    <w:rsid w:val="00C63E3B"/>
    <w:rsid w:val="00C64929"/>
    <w:rsid w:val="00C64E25"/>
    <w:rsid w:val="00C65438"/>
    <w:rsid w:val="00C6639C"/>
    <w:rsid w:val="00C6665B"/>
    <w:rsid w:val="00C668F5"/>
    <w:rsid w:val="00C670ED"/>
    <w:rsid w:val="00C67A23"/>
    <w:rsid w:val="00C7017B"/>
    <w:rsid w:val="00C702A3"/>
    <w:rsid w:val="00C71855"/>
    <w:rsid w:val="00C71B41"/>
    <w:rsid w:val="00C71F8B"/>
    <w:rsid w:val="00C72837"/>
    <w:rsid w:val="00C72ACF"/>
    <w:rsid w:val="00C730E2"/>
    <w:rsid w:val="00C7334B"/>
    <w:rsid w:val="00C7367B"/>
    <w:rsid w:val="00C73789"/>
    <w:rsid w:val="00C73DBB"/>
    <w:rsid w:val="00C73EAC"/>
    <w:rsid w:val="00C74093"/>
    <w:rsid w:val="00C744A9"/>
    <w:rsid w:val="00C7477F"/>
    <w:rsid w:val="00C748E1"/>
    <w:rsid w:val="00C762CA"/>
    <w:rsid w:val="00C76449"/>
    <w:rsid w:val="00C76DAC"/>
    <w:rsid w:val="00C77394"/>
    <w:rsid w:val="00C775F7"/>
    <w:rsid w:val="00C77E5F"/>
    <w:rsid w:val="00C77F8C"/>
    <w:rsid w:val="00C80DDB"/>
    <w:rsid w:val="00C81029"/>
    <w:rsid w:val="00C81169"/>
    <w:rsid w:val="00C8126F"/>
    <w:rsid w:val="00C8292C"/>
    <w:rsid w:val="00C83129"/>
    <w:rsid w:val="00C83F8E"/>
    <w:rsid w:val="00C84820"/>
    <w:rsid w:val="00C84A0F"/>
    <w:rsid w:val="00C84FA0"/>
    <w:rsid w:val="00C85513"/>
    <w:rsid w:val="00C859F9"/>
    <w:rsid w:val="00C85E79"/>
    <w:rsid w:val="00C85F26"/>
    <w:rsid w:val="00C860B7"/>
    <w:rsid w:val="00C87077"/>
    <w:rsid w:val="00C8748F"/>
    <w:rsid w:val="00C8761A"/>
    <w:rsid w:val="00C8789F"/>
    <w:rsid w:val="00C90566"/>
    <w:rsid w:val="00C9061F"/>
    <w:rsid w:val="00C90638"/>
    <w:rsid w:val="00C90882"/>
    <w:rsid w:val="00C90E77"/>
    <w:rsid w:val="00C9103C"/>
    <w:rsid w:val="00C912C0"/>
    <w:rsid w:val="00C91472"/>
    <w:rsid w:val="00C91859"/>
    <w:rsid w:val="00C918AF"/>
    <w:rsid w:val="00C919C8"/>
    <w:rsid w:val="00C91C11"/>
    <w:rsid w:val="00C920FE"/>
    <w:rsid w:val="00C921DC"/>
    <w:rsid w:val="00C92A72"/>
    <w:rsid w:val="00C92BF3"/>
    <w:rsid w:val="00C92FB0"/>
    <w:rsid w:val="00C93525"/>
    <w:rsid w:val="00C947DB"/>
    <w:rsid w:val="00C949B5"/>
    <w:rsid w:val="00C94EA9"/>
    <w:rsid w:val="00C9560A"/>
    <w:rsid w:val="00C95806"/>
    <w:rsid w:val="00C96385"/>
    <w:rsid w:val="00C96468"/>
    <w:rsid w:val="00C9693D"/>
    <w:rsid w:val="00C96B99"/>
    <w:rsid w:val="00C96D26"/>
    <w:rsid w:val="00C96EBD"/>
    <w:rsid w:val="00C97198"/>
    <w:rsid w:val="00C97F26"/>
    <w:rsid w:val="00C97F55"/>
    <w:rsid w:val="00CA003E"/>
    <w:rsid w:val="00CA048D"/>
    <w:rsid w:val="00CA04B9"/>
    <w:rsid w:val="00CA06B3"/>
    <w:rsid w:val="00CA0A1F"/>
    <w:rsid w:val="00CA162D"/>
    <w:rsid w:val="00CA322F"/>
    <w:rsid w:val="00CA3536"/>
    <w:rsid w:val="00CA3737"/>
    <w:rsid w:val="00CA391E"/>
    <w:rsid w:val="00CA42B1"/>
    <w:rsid w:val="00CA49C0"/>
    <w:rsid w:val="00CA49CA"/>
    <w:rsid w:val="00CA49D4"/>
    <w:rsid w:val="00CA4B60"/>
    <w:rsid w:val="00CA4E75"/>
    <w:rsid w:val="00CA5589"/>
    <w:rsid w:val="00CA565A"/>
    <w:rsid w:val="00CA649D"/>
    <w:rsid w:val="00CA679E"/>
    <w:rsid w:val="00CA719F"/>
    <w:rsid w:val="00CA75B1"/>
    <w:rsid w:val="00CA7F1A"/>
    <w:rsid w:val="00CB0120"/>
    <w:rsid w:val="00CB058B"/>
    <w:rsid w:val="00CB0ADE"/>
    <w:rsid w:val="00CB1A84"/>
    <w:rsid w:val="00CB2255"/>
    <w:rsid w:val="00CB2288"/>
    <w:rsid w:val="00CB23A7"/>
    <w:rsid w:val="00CB254A"/>
    <w:rsid w:val="00CB2D7F"/>
    <w:rsid w:val="00CB330E"/>
    <w:rsid w:val="00CB3571"/>
    <w:rsid w:val="00CB3DBC"/>
    <w:rsid w:val="00CB41F2"/>
    <w:rsid w:val="00CB436E"/>
    <w:rsid w:val="00CB463B"/>
    <w:rsid w:val="00CB4927"/>
    <w:rsid w:val="00CB498B"/>
    <w:rsid w:val="00CB50EF"/>
    <w:rsid w:val="00CB52B8"/>
    <w:rsid w:val="00CB532C"/>
    <w:rsid w:val="00CB54C6"/>
    <w:rsid w:val="00CB6248"/>
    <w:rsid w:val="00CB63D9"/>
    <w:rsid w:val="00CB64EB"/>
    <w:rsid w:val="00CB6518"/>
    <w:rsid w:val="00CB65B1"/>
    <w:rsid w:val="00CB6EBE"/>
    <w:rsid w:val="00CB7450"/>
    <w:rsid w:val="00CB75C7"/>
    <w:rsid w:val="00CB7611"/>
    <w:rsid w:val="00CB791A"/>
    <w:rsid w:val="00CB7A24"/>
    <w:rsid w:val="00CC0CD1"/>
    <w:rsid w:val="00CC176C"/>
    <w:rsid w:val="00CC1FA4"/>
    <w:rsid w:val="00CC2547"/>
    <w:rsid w:val="00CC2E6D"/>
    <w:rsid w:val="00CC2FE7"/>
    <w:rsid w:val="00CC309D"/>
    <w:rsid w:val="00CC3711"/>
    <w:rsid w:val="00CC412F"/>
    <w:rsid w:val="00CC4D20"/>
    <w:rsid w:val="00CC5174"/>
    <w:rsid w:val="00CC563E"/>
    <w:rsid w:val="00CC5C5E"/>
    <w:rsid w:val="00CC60C3"/>
    <w:rsid w:val="00CC6BD6"/>
    <w:rsid w:val="00CC6D74"/>
    <w:rsid w:val="00CC71F2"/>
    <w:rsid w:val="00CC7C5C"/>
    <w:rsid w:val="00CD04DC"/>
    <w:rsid w:val="00CD0789"/>
    <w:rsid w:val="00CD0D42"/>
    <w:rsid w:val="00CD1538"/>
    <w:rsid w:val="00CD2066"/>
    <w:rsid w:val="00CD4080"/>
    <w:rsid w:val="00CD47B2"/>
    <w:rsid w:val="00CD522E"/>
    <w:rsid w:val="00CD55CD"/>
    <w:rsid w:val="00CD5BC5"/>
    <w:rsid w:val="00CD5D7E"/>
    <w:rsid w:val="00CD5ED8"/>
    <w:rsid w:val="00CD627A"/>
    <w:rsid w:val="00CD6631"/>
    <w:rsid w:val="00CD676B"/>
    <w:rsid w:val="00CD6975"/>
    <w:rsid w:val="00CD7404"/>
    <w:rsid w:val="00CD7659"/>
    <w:rsid w:val="00CE0085"/>
    <w:rsid w:val="00CE01B6"/>
    <w:rsid w:val="00CE0AEB"/>
    <w:rsid w:val="00CE0F54"/>
    <w:rsid w:val="00CE12F5"/>
    <w:rsid w:val="00CE134B"/>
    <w:rsid w:val="00CE13A9"/>
    <w:rsid w:val="00CE1B4C"/>
    <w:rsid w:val="00CE1BA0"/>
    <w:rsid w:val="00CE2435"/>
    <w:rsid w:val="00CE2A08"/>
    <w:rsid w:val="00CE2F1E"/>
    <w:rsid w:val="00CE301B"/>
    <w:rsid w:val="00CE31C5"/>
    <w:rsid w:val="00CE36C1"/>
    <w:rsid w:val="00CE49F8"/>
    <w:rsid w:val="00CE50F2"/>
    <w:rsid w:val="00CE53AD"/>
    <w:rsid w:val="00CE55C4"/>
    <w:rsid w:val="00CE5B06"/>
    <w:rsid w:val="00CE5DA9"/>
    <w:rsid w:val="00CE605F"/>
    <w:rsid w:val="00CE6274"/>
    <w:rsid w:val="00CE6ED6"/>
    <w:rsid w:val="00CE749A"/>
    <w:rsid w:val="00CF01DC"/>
    <w:rsid w:val="00CF0480"/>
    <w:rsid w:val="00CF0BAC"/>
    <w:rsid w:val="00CF14B6"/>
    <w:rsid w:val="00CF1B8C"/>
    <w:rsid w:val="00CF23A4"/>
    <w:rsid w:val="00CF253E"/>
    <w:rsid w:val="00CF36F9"/>
    <w:rsid w:val="00CF374D"/>
    <w:rsid w:val="00CF3F92"/>
    <w:rsid w:val="00CF423C"/>
    <w:rsid w:val="00CF44C5"/>
    <w:rsid w:val="00CF4D2A"/>
    <w:rsid w:val="00CF523D"/>
    <w:rsid w:val="00CF5295"/>
    <w:rsid w:val="00CF5348"/>
    <w:rsid w:val="00CF55E8"/>
    <w:rsid w:val="00CF5DEC"/>
    <w:rsid w:val="00CF6490"/>
    <w:rsid w:val="00CF6C91"/>
    <w:rsid w:val="00CF7178"/>
    <w:rsid w:val="00CF731F"/>
    <w:rsid w:val="00CF73A2"/>
    <w:rsid w:val="00CF7838"/>
    <w:rsid w:val="00CF7851"/>
    <w:rsid w:val="00CF7A06"/>
    <w:rsid w:val="00CF7BE0"/>
    <w:rsid w:val="00D000D8"/>
    <w:rsid w:val="00D0022C"/>
    <w:rsid w:val="00D01A3E"/>
    <w:rsid w:val="00D029E1"/>
    <w:rsid w:val="00D02D3F"/>
    <w:rsid w:val="00D03281"/>
    <w:rsid w:val="00D0373D"/>
    <w:rsid w:val="00D0375D"/>
    <w:rsid w:val="00D03770"/>
    <w:rsid w:val="00D03F84"/>
    <w:rsid w:val="00D04052"/>
    <w:rsid w:val="00D0426F"/>
    <w:rsid w:val="00D04358"/>
    <w:rsid w:val="00D04412"/>
    <w:rsid w:val="00D05051"/>
    <w:rsid w:val="00D0539D"/>
    <w:rsid w:val="00D060F3"/>
    <w:rsid w:val="00D06825"/>
    <w:rsid w:val="00D06C70"/>
    <w:rsid w:val="00D06CFF"/>
    <w:rsid w:val="00D07458"/>
    <w:rsid w:val="00D07790"/>
    <w:rsid w:val="00D07A2B"/>
    <w:rsid w:val="00D07D08"/>
    <w:rsid w:val="00D10323"/>
    <w:rsid w:val="00D10665"/>
    <w:rsid w:val="00D1077E"/>
    <w:rsid w:val="00D10939"/>
    <w:rsid w:val="00D1106C"/>
    <w:rsid w:val="00D11367"/>
    <w:rsid w:val="00D11E3A"/>
    <w:rsid w:val="00D1225E"/>
    <w:rsid w:val="00D127FF"/>
    <w:rsid w:val="00D128F5"/>
    <w:rsid w:val="00D12EB4"/>
    <w:rsid w:val="00D1314A"/>
    <w:rsid w:val="00D13354"/>
    <w:rsid w:val="00D13BEA"/>
    <w:rsid w:val="00D1409C"/>
    <w:rsid w:val="00D14115"/>
    <w:rsid w:val="00D14211"/>
    <w:rsid w:val="00D14235"/>
    <w:rsid w:val="00D14AFF"/>
    <w:rsid w:val="00D14D77"/>
    <w:rsid w:val="00D15374"/>
    <w:rsid w:val="00D162F7"/>
    <w:rsid w:val="00D1679C"/>
    <w:rsid w:val="00D16D25"/>
    <w:rsid w:val="00D17302"/>
    <w:rsid w:val="00D177EC"/>
    <w:rsid w:val="00D203BF"/>
    <w:rsid w:val="00D206B3"/>
    <w:rsid w:val="00D209FF"/>
    <w:rsid w:val="00D21195"/>
    <w:rsid w:val="00D211D0"/>
    <w:rsid w:val="00D21C35"/>
    <w:rsid w:val="00D21C75"/>
    <w:rsid w:val="00D220E2"/>
    <w:rsid w:val="00D2297E"/>
    <w:rsid w:val="00D22F2F"/>
    <w:rsid w:val="00D231DE"/>
    <w:rsid w:val="00D23606"/>
    <w:rsid w:val="00D237FC"/>
    <w:rsid w:val="00D23820"/>
    <w:rsid w:val="00D23A01"/>
    <w:rsid w:val="00D24983"/>
    <w:rsid w:val="00D252D6"/>
    <w:rsid w:val="00D2564A"/>
    <w:rsid w:val="00D25A5A"/>
    <w:rsid w:val="00D26156"/>
    <w:rsid w:val="00D26821"/>
    <w:rsid w:val="00D26CA1"/>
    <w:rsid w:val="00D27723"/>
    <w:rsid w:val="00D27F24"/>
    <w:rsid w:val="00D301A4"/>
    <w:rsid w:val="00D309B2"/>
    <w:rsid w:val="00D30B8A"/>
    <w:rsid w:val="00D31030"/>
    <w:rsid w:val="00D31DC7"/>
    <w:rsid w:val="00D32AF3"/>
    <w:rsid w:val="00D32F2F"/>
    <w:rsid w:val="00D32F68"/>
    <w:rsid w:val="00D330D5"/>
    <w:rsid w:val="00D335C2"/>
    <w:rsid w:val="00D339B2"/>
    <w:rsid w:val="00D33C31"/>
    <w:rsid w:val="00D34457"/>
    <w:rsid w:val="00D348FF"/>
    <w:rsid w:val="00D34DC5"/>
    <w:rsid w:val="00D35257"/>
    <w:rsid w:val="00D354CE"/>
    <w:rsid w:val="00D35A2C"/>
    <w:rsid w:val="00D36254"/>
    <w:rsid w:val="00D367CF"/>
    <w:rsid w:val="00D36D6C"/>
    <w:rsid w:val="00D3727B"/>
    <w:rsid w:val="00D37312"/>
    <w:rsid w:val="00D37508"/>
    <w:rsid w:val="00D3767D"/>
    <w:rsid w:val="00D37D3A"/>
    <w:rsid w:val="00D401DF"/>
    <w:rsid w:val="00D409EC"/>
    <w:rsid w:val="00D40C5D"/>
    <w:rsid w:val="00D4106A"/>
    <w:rsid w:val="00D414B9"/>
    <w:rsid w:val="00D4188A"/>
    <w:rsid w:val="00D41B1B"/>
    <w:rsid w:val="00D4220C"/>
    <w:rsid w:val="00D42806"/>
    <w:rsid w:val="00D42884"/>
    <w:rsid w:val="00D4298E"/>
    <w:rsid w:val="00D42B56"/>
    <w:rsid w:val="00D43276"/>
    <w:rsid w:val="00D43368"/>
    <w:rsid w:val="00D43391"/>
    <w:rsid w:val="00D43930"/>
    <w:rsid w:val="00D43BCB"/>
    <w:rsid w:val="00D441E8"/>
    <w:rsid w:val="00D44BA0"/>
    <w:rsid w:val="00D452DE"/>
    <w:rsid w:val="00D455BC"/>
    <w:rsid w:val="00D4581A"/>
    <w:rsid w:val="00D459C5"/>
    <w:rsid w:val="00D45E51"/>
    <w:rsid w:val="00D461ED"/>
    <w:rsid w:val="00D46275"/>
    <w:rsid w:val="00D465F8"/>
    <w:rsid w:val="00D46972"/>
    <w:rsid w:val="00D46BCA"/>
    <w:rsid w:val="00D46D76"/>
    <w:rsid w:val="00D470B7"/>
    <w:rsid w:val="00D4758C"/>
    <w:rsid w:val="00D477AC"/>
    <w:rsid w:val="00D47CCF"/>
    <w:rsid w:val="00D47E56"/>
    <w:rsid w:val="00D47FBF"/>
    <w:rsid w:val="00D50C23"/>
    <w:rsid w:val="00D50D0C"/>
    <w:rsid w:val="00D50E8B"/>
    <w:rsid w:val="00D52095"/>
    <w:rsid w:val="00D52334"/>
    <w:rsid w:val="00D5278C"/>
    <w:rsid w:val="00D52831"/>
    <w:rsid w:val="00D528E5"/>
    <w:rsid w:val="00D52A1C"/>
    <w:rsid w:val="00D52A55"/>
    <w:rsid w:val="00D53558"/>
    <w:rsid w:val="00D539C6"/>
    <w:rsid w:val="00D53B15"/>
    <w:rsid w:val="00D546C1"/>
    <w:rsid w:val="00D547A1"/>
    <w:rsid w:val="00D55AD4"/>
    <w:rsid w:val="00D55B3D"/>
    <w:rsid w:val="00D55E35"/>
    <w:rsid w:val="00D562F5"/>
    <w:rsid w:val="00D56688"/>
    <w:rsid w:val="00D56895"/>
    <w:rsid w:val="00D569CD"/>
    <w:rsid w:val="00D569D2"/>
    <w:rsid w:val="00D56F0F"/>
    <w:rsid w:val="00D57841"/>
    <w:rsid w:val="00D57C74"/>
    <w:rsid w:val="00D57E90"/>
    <w:rsid w:val="00D60201"/>
    <w:rsid w:val="00D604F0"/>
    <w:rsid w:val="00D604F9"/>
    <w:rsid w:val="00D60551"/>
    <w:rsid w:val="00D60A0F"/>
    <w:rsid w:val="00D60B8A"/>
    <w:rsid w:val="00D60C99"/>
    <w:rsid w:val="00D60D42"/>
    <w:rsid w:val="00D60E06"/>
    <w:rsid w:val="00D60F43"/>
    <w:rsid w:val="00D615D1"/>
    <w:rsid w:val="00D6211B"/>
    <w:rsid w:val="00D62547"/>
    <w:rsid w:val="00D62641"/>
    <w:rsid w:val="00D633E7"/>
    <w:rsid w:val="00D646B4"/>
    <w:rsid w:val="00D64D06"/>
    <w:rsid w:val="00D65020"/>
    <w:rsid w:val="00D657B7"/>
    <w:rsid w:val="00D66499"/>
    <w:rsid w:val="00D66561"/>
    <w:rsid w:val="00D668E2"/>
    <w:rsid w:val="00D67136"/>
    <w:rsid w:val="00D67BB2"/>
    <w:rsid w:val="00D67D72"/>
    <w:rsid w:val="00D70685"/>
    <w:rsid w:val="00D70800"/>
    <w:rsid w:val="00D71CAA"/>
    <w:rsid w:val="00D72940"/>
    <w:rsid w:val="00D72A37"/>
    <w:rsid w:val="00D72D48"/>
    <w:rsid w:val="00D73338"/>
    <w:rsid w:val="00D73444"/>
    <w:rsid w:val="00D73604"/>
    <w:rsid w:val="00D73F37"/>
    <w:rsid w:val="00D740B5"/>
    <w:rsid w:val="00D7452C"/>
    <w:rsid w:val="00D74ADB"/>
    <w:rsid w:val="00D75650"/>
    <w:rsid w:val="00D75788"/>
    <w:rsid w:val="00D75852"/>
    <w:rsid w:val="00D75B84"/>
    <w:rsid w:val="00D75EC7"/>
    <w:rsid w:val="00D7649C"/>
    <w:rsid w:val="00D7676B"/>
    <w:rsid w:val="00D768A3"/>
    <w:rsid w:val="00D76F7F"/>
    <w:rsid w:val="00D76F90"/>
    <w:rsid w:val="00D77369"/>
    <w:rsid w:val="00D80318"/>
    <w:rsid w:val="00D8075D"/>
    <w:rsid w:val="00D80A8A"/>
    <w:rsid w:val="00D80B68"/>
    <w:rsid w:val="00D812CB"/>
    <w:rsid w:val="00D8173A"/>
    <w:rsid w:val="00D81D03"/>
    <w:rsid w:val="00D82141"/>
    <w:rsid w:val="00D822EB"/>
    <w:rsid w:val="00D82863"/>
    <w:rsid w:val="00D836E2"/>
    <w:rsid w:val="00D8452F"/>
    <w:rsid w:val="00D84531"/>
    <w:rsid w:val="00D846AC"/>
    <w:rsid w:val="00D84C40"/>
    <w:rsid w:val="00D84EA2"/>
    <w:rsid w:val="00D86389"/>
    <w:rsid w:val="00D8734F"/>
    <w:rsid w:val="00D874FE"/>
    <w:rsid w:val="00D879BF"/>
    <w:rsid w:val="00D904E4"/>
    <w:rsid w:val="00D90B33"/>
    <w:rsid w:val="00D90C51"/>
    <w:rsid w:val="00D91799"/>
    <w:rsid w:val="00D918C4"/>
    <w:rsid w:val="00D91DC2"/>
    <w:rsid w:val="00D9216C"/>
    <w:rsid w:val="00D92701"/>
    <w:rsid w:val="00D931D3"/>
    <w:rsid w:val="00D93972"/>
    <w:rsid w:val="00D93D74"/>
    <w:rsid w:val="00D93DCC"/>
    <w:rsid w:val="00D94180"/>
    <w:rsid w:val="00D9448F"/>
    <w:rsid w:val="00D9492C"/>
    <w:rsid w:val="00D94B1C"/>
    <w:rsid w:val="00D94C95"/>
    <w:rsid w:val="00D94E85"/>
    <w:rsid w:val="00D95897"/>
    <w:rsid w:val="00D959D6"/>
    <w:rsid w:val="00D95C5B"/>
    <w:rsid w:val="00D96154"/>
    <w:rsid w:val="00D96243"/>
    <w:rsid w:val="00D964FE"/>
    <w:rsid w:val="00D968BA"/>
    <w:rsid w:val="00DA039E"/>
    <w:rsid w:val="00DA08C6"/>
    <w:rsid w:val="00DA095A"/>
    <w:rsid w:val="00DA09C2"/>
    <w:rsid w:val="00DA0A84"/>
    <w:rsid w:val="00DA0AE5"/>
    <w:rsid w:val="00DA14AE"/>
    <w:rsid w:val="00DA259E"/>
    <w:rsid w:val="00DA2BFB"/>
    <w:rsid w:val="00DA3587"/>
    <w:rsid w:val="00DA3B83"/>
    <w:rsid w:val="00DA3CCD"/>
    <w:rsid w:val="00DA3CF5"/>
    <w:rsid w:val="00DA46E2"/>
    <w:rsid w:val="00DA4919"/>
    <w:rsid w:val="00DA4963"/>
    <w:rsid w:val="00DA4DBE"/>
    <w:rsid w:val="00DA522C"/>
    <w:rsid w:val="00DA59AF"/>
    <w:rsid w:val="00DA5CA1"/>
    <w:rsid w:val="00DA6248"/>
    <w:rsid w:val="00DA6711"/>
    <w:rsid w:val="00DA74C1"/>
    <w:rsid w:val="00DA76EF"/>
    <w:rsid w:val="00DA79FF"/>
    <w:rsid w:val="00DB060B"/>
    <w:rsid w:val="00DB0FD9"/>
    <w:rsid w:val="00DB1C6C"/>
    <w:rsid w:val="00DB1F5D"/>
    <w:rsid w:val="00DB209B"/>
    <w:rsid w:val="00DB2D68"/>
    <w:rsid w:val="00DB2FD6"/>
    <w:rsid w:val="00DB34B0"/>
    <w:rsid w:val="00DB3FA3"/>
    <w:rsid w:val="00DB40AB"/>
    <w:rsid w:val="00DB481F"/>
    <w:rsid w:val="00DB4AFA"/>
    <w:rsid w:val="00DB4BDA"/>
    <w:rsid w:val="00DB4DCA"/>
    <w:rsid w:val="00DB4EA6"/>
    <w:rsid w:val="00DB52C3"/>
    <w:rsid w:val="00DB55E6"/>
    <w:rsid w:val="00DB568E"/>
    <w:rsid w:val="00DB56AF"/>
    <w:rsid w:val="00DB5851"/>
    <w:rsid w:val="00DB766B"/>
    <w:rsid w:val="00DB77CE"/>
    <w:rsid w:val="00DB7A97"/>
    <w:rsid w:val="00DC02C4"/>
    <w:rsid w:val="00DC0F3B"/>
    <w:rsid w:val="00DC1034"/>
    <w:rsid w:val="00DC1A66"/>
    <w:rsid w:val="00DC2982"/>
    <w:rsid w:val="00DC2B9C"/>
    <w:rsid w:val="00DC3338"/>
    <w:rsid w:val="00DC3667"/>
    <w:rsid w:val="00DC40F8"/>
    <w:rsid w:val="00DC46D5"/>
    <w:rsid w:val="00DC46FD"/>
    <w:rsid w:val="00DC481D"/>
    <w:rsid w:val="00DC5733"/>
    <w:rsid w:val="00DC5B2E"/>
    <w:rsid w:val="00DC5FFA"/>
    <w:rsid w:val="00DC64C4"/>
    <w:rsid w:val="00DC6BEF"/>
    <w:rsid w:val="00DC789D"/>
    <w:rsid w:val="00DD03DC"/>
    <w:rsid w:val="00DD08E9"/>
    <w:rsid w:val="00DD0D7B"/>
    <w:rsid w:val="00DD0F79"/>
    <w:rsid w:val="00DD1485"/>
    <w:rsid w:val="00DD2181"/>
    <w:rsid w:val="00DD21C3"/>
    <w:rsid w:val="00DD24BF"/>
    <w:rsid w:val="00DD2AB4"/>
    <w:rsid w:val="00DD2E65"/>
    <w:rsid w:val="00DD2EEE"/>
    <w:rsid w:val="00DD2FCE"/>
    <w:rsid w:val="00DD3013"/>
    <w:rsid w:val="00DD30BE"/>
    <w:rsid w:val="00DD3189"/>
    <w:rsid w:val="00DD3302"/>
    <w:rsid w:val="00DD3CF8"/>
    <w:rsid w:val="00DD4B2F"/>
    <w:rsid w:val="00DD5466"/>
    <w:rsid w:val="00DD57BA"/>
    <w:rsid w:val="00DD586F"/>
    <w:rsid w:val="00DD5AA5"/>
    <w:rsid w:val="00DD5C35"/>
    <w:rsid w:val="00DD5CD3"/>
    <w:rsid w:val="00DD5F58"/>
    <w:rsid w:val="00DD682A"/>
    <w:rsid w:val="00DD6999"/>
    <w:rsid w:val="00DD704F"/>
    <w:rsid w:val="00DD7A15"/>
    <w:rsid w:val="00DE05CF"/>
    <w:rsid w:val="00DE0952"/>
    <w:rsid w:val="00DE192A"/>
    <w:rsid w:val="00DE1D07"/>
    <w:rsid w:val="00DE28E0"/>
    <w:rsid w:val="00DE330F"/>
    <w:rsid w:val="00DE3318"/>
    <w:rsid w:val="00DE338A"/>
    <w:rsid w:val="00DE3473"/>
    <w:rsid w:val="00DE3474"/>
    <w:rsid w:val="00DE3498"/>
    <w:rsid w:val="00DE3930"/>
    <w:rsid w:val="00DE393F"/>
    <w:rsid w:val="00DE4863"/>
    <w:rsid w:val="00DE50C8"/>
    <w:rsid w:val="00DE5434"/>
    <w:rsid w:val="00DE59A8"/>
    <w:rsid w:val="00DE6478"/>
    <w:rsid w:val="00DE66AB"/>
    <w:rsid w:val="00DE7069"/>
    <w:rsid w:val="00DE7A0D"/>
    <w:rsid w:val="00DF0197"/>
    <w:rsid w:val="00DF0667"/>
    <w:rsid w:val="00DF0A66"/>
    <w:rsid w:val="00DF0B9A"/>
    <w:rsid w:val="00DF0DF7"/>
    <w:rsid w:val="00DF1706"/>
    <w:rsid w:val="00DF1982"/>
    <w:rsid w:val="00DF1A5D"/>
    <w:rsid w:val="00DF230E"/>
    <w:rsid w:val="00DF2F4A"/>
    <w:rsid w:val="00DF315D"/>
    <w:rsid w:val="00DF32CE"/>
    <w:rsid w:val="00DF3362"/>
    <w:rsid w:val="00DF3785"/>
    <w:rsid w:val="00DF3A52"/>
    <w:rsid w:val="00DF4119"/>
    <w:rsid w:val="00DF45D3"/>
    <w:rsid w:val="00DF4AD3"/>
    <w:rsid w:val="00DF4DDD"/>
    <w:rsid w:val="00DF52AB"/>
    <w:rsid w:val="00DF53CC"/>
    <w:rsid w:val="00DF5A4C"/>
    <w:rsid w:val="00DF5D2D"/>
    <w:rsid w:val="00DF68FB"/>
    <w:rsid w:val="00DF694E"/>
    <w:rsid w:val="00DF6C2E"/>
    <w:rsid w:val="00E00AEA"/>
    <w:rsid w:val="00E00F7A"/>
    <w:rsid w:val="00E01025"/>
    <w:rsid w:val="00E011C5"/>
    <w:rsid w:val="00E013D6"/>
    <w:rsid w:val="00E01A3D"/>
    <w:rsid w:val="00E02098"/>
    <w:rsid w:val="00E0221B"/>
    <w:rsid w:val="00E02534"/>
    <w:rsid w:val="00E02FC9"/>
    <w:rsid w:val="00E034A3"/>
    <w:rsid w:val="00E03793"/>
    <w:rsid w:val="00E04282"/>
    <w:rsid w:val="00E04C42"/>
    <w:rsid w:val="00E04CD1"/>
    <w:rsid w:val="00E04F36"/>
    <w:rsid w:val="00E05459"/>
    <w:rsid w:val="00E0559A"/>
    <w:rsid w:val="00E0696E"/>
    <w:rsid w:val="00E06C4B"/>
    <w:rsid w:val="00E06E20"/>
    <w:rsid w:val="00E0777E"/>
    <w:rsid w:val="00E0798B"/>
    <w:rsid w:val="00E07C32"/>
    <w:rsid w:val="00E100D7"/>
    <w:rsid w:val="00E11057"/>
    <w:rsid w:val="00E1105F"/>
    <w:rsid w:val="00E1169A"/>
    <w:rsid w:val="00E116E6"/>
    <w:rsid w:val="00E12822"/>
    <w:rsid w:val="00E13074"/>
    <w:rsid w:val="00E13809"/>
    <w:rsid w:val="00E13BB5"/>
    <w:rsid w:val="00E13D25"/>
    <w:rsid w:val="00E14613"/>
    <w:rsid w:val="00E14A7D"/>
    <w:rsid w:val="00E14B9F"/>
    <w:rsid w:val="00E15153"/>
    <w:rsid w:val="00E15AC4"/>
    <w:rsid w:val="00E15F1F"/>
    <w:rsid w:val="00E15F4B"/>
    <w:rsid w:val="00E15FFD"/>
    <w:rsid w:val="00E1673E"/>
    <w:rsid w:val="00E16C91"/>
    <w:rsid w:val="00E203AD"/>
    <w:rsid w:val="00E2046D"/>
    <w:rsid w:val="00E205E7"/>
    <w:rsid w:val="00E211F0"/>
    <w:rsid w:val="00E21617"/>
    <w:rsid w:val="00E21E5A"/>
    <w:rsid w:val="00E22561"/>
    <w:rsid w:val="00E2298F"/>
    <w:rsid w:val="00E22AD2"/>
    <w:rsid w:val="00E2321A"/>
    <w:rsid w:val="00E23712"/>
    <w:rsid w:val="00E2375C"/>
    <w:rsid w:val="00E2423D"/>
    <w:rsid w:val="00E24500"/>
    <w:rsid w:val="00E24894"/>
    <w:rsid w:val="00E24A24"/>
    <w:rsid w:val="00E24A46"/>
    <w:rsid w:val="00E24F18"/>
    <w:rsid w:val="00E2575F"/>
    <w:rsid w:val="00E2586C"/>
    <w:rsid w:val="00E267FA"/>
    <w:rsid w:val="00E27036"/>
    <w:rsid w:val="00E270A9"/>
    <w:rsid w:val="00E2796D"/>
    <w:rsid w:val="00E2796F"/>
    <w:rsid w:val="00E27B64"/>
    <w:rsid w:val="00E27FB7"/>
    <w:rsid w:val="00E303FA"/>
    <w:rsid w:val="00E30663"/>
    <w:rsid w:val="00E30C17"/>
    <w:rsid w:val="00E30F6A"/>
    <w:rsid w:val="00E31122"/>
    <w:rsid w:val="00E31329"/>
    <w:rsid w:val="00E313A8"/>
    <w:rsid w:val="00E31C78"/>
    <w:rsid w:val="00E31C8D"/>
    <w:rsid w:val="00E32777"/>
    <w:rsid w:val="00E32EB2"/>
    <w:rsid w:val="00E33A79"/>
    <w:rsid w:val="00E33B6C"/>
    <w:rsid w:val="00E33B86"/>
    <w:rsid w:val="00E33C03"/>
    <w:rsid w:val="00E33D2D"/>
    <w:rsid w:val="00E341E9"/>
    <w:rsid w:val="00E3456B"/>
    <w:rsid w:val="00E34731"/>
    <w:rsid w:val="00E34F5E"/>
    <w:rsid w:val="00E3532C"/>
    <w:rsid w:val="00E35DA8"/>
    <w:rsid w:val="00E35DB3"/>
    <w:rsid w:val="00E366E2"/>
    <w:rsid w:val="00E36EE9"/>
    <w:rsid w:val="00E37244"/>
    <w:rsid w:val="00E3778F"/>
    <w:rsid w:val="00E37F6A"/>
    <w:rsid w:val="00E40274"/>
    <w:rsid w:val="00E40300"/>
    <w:rsid w:val="00E4047A"/>
    <w:rsid w:val="00E40497"/>
    <w:rsid w:val="00E4058E"/>
    <w:rsid w:val="00E40D2C"/>
    <w:rsid w:val="00E40D9D"/>
    <w:rsid w:val="00E4101D"/>
    <w:rsid w:val="00E41188"/>
    <w:rsid w:val="00E425DC"/>
    <w:rsid w:val="00E42696"/>
    <w:rsid w:val="00E4287B"/>
    <w:rsid w:val="00E43112"/>
    <w:rsid w:val="00E43749"/>
    <w:rsid w:val="00E438B8"/>
    <w:rsid w:val="00E43B0B"/>
    <w:rsid w:val="00E43B7E"/>
    <w:rsid w:val="00E44068"/>
    <w:rsid w:val="00E44284"/>
    <w:rsid w:val="00E442B0"/>
    <w:rsid w:val="00E44355"/>
    <w:rsid w:val="00E4449E"/>
    <w:rsid w:val="00E457E8"/>
    <w:rsid w:val="00E45938"/>
    <w:rsid w:val="00E45A41"/>
    <w:rsid w:val="00E45B17"/>
    <w:rsid w:val="00E45FFD"/>
    <w:rsid w:val="00E4629C"/>
    <w:rsid w:val="00E463AC"/>
    <w:rsid w:val="00E4661C"/>
    <w:rsid w:val="00E470E3"/>
    <w:rsid w:val="00E4789C"/>
    <w:rsid w:val="00E50044"/>
    <w:rsid w:val="00E50057"/>
    <w:rsid w:val="00E500AC"/>
    <w:rsid w:val="00E5029C"/>
    <w:rsid w:val="00E50A3F"/>
    <w:rsid w:val="00E50B88"/>
    <w:rsid w:val="00E50E24"/>
    <w:rsid w:val="00E51EE2"/>
    <w:rsid w:val="00E52695"/>
    <w:rsid w:val="00E52995"/>
    <w:rsid w:val="00E52BA5"/>
    <w:rsid w:val="00E52EEA"/>
    <w:rsid w:val="00E530A5"/>
    <w:rsid w:val="00E534E3"/>
    <w:rsid w:val="00E536A8"/>
    <w:rsid w:val="00E53EFF"/>
    <w:rsid w:val="00E54A3A"/>
    <w:rsid w:val="00E54B51"/>
    <w:rsid w:val="00E55700"/>
    <w:rsid w:val="00E558E9"/>
    <w:rsid w:val="00E55BB9"/>
    <w:rsid w:val="00E55E8A"/>
    <w:rsid w:val="00E56436"/>
    <w:rsid w:val="00E56968"/>
    <w:rsid w:val="00E56E36"/>
    <w:rsid w:val="00E571C5"/>
    <w:rsid w:val="00E57810"/>
    <w:rsid w:val="00E578D4"/>
    <w:rsid w:val="00E57E2D"/>
    <w:rsid w:val="00E60185"/>
    <w:rsid w:val="00E60BA2"/>
    <w:rsid w:val="00E61047"/>
    <w:rsid w:val="00E618E2"/>
    <w:rsid w:val="00E61CF5"/>
    <w:rsid w:val="00E62329"/>
    <w:rsid w:val="00E62BAD"/>
    <w:rsid w:val="00E630D8"/>
    <w:rsid w:val="00E6315A"/>
    <w:rsid w:val="00E63917"/>
    <w:rsid w:val="00E63A18"/>
    <w:rsid w:val="00E63A25"/>
    <w:rsid w:val="00E64BCC"/>
    <w:rsid w:val="00E6508D"/>
    <w:rsid w:val="00E65975"/>
    <w:rsid w:val="00E65F35"/>
    <w:rsid w:val="00E65F61"/>
    <w:rsid w:val="00E6714E"/>
    <w:rsid w:val="00E67610"/>
    <w:rsid w:val="00E67CAF"/>
    <w:rsid w:val="00E67E44"/>
    <w:rsid w:val="00E7090A"/>
    <w:rsid w:val="00E712F7"/>
    <w:rsid w:val="00E71BBF"/>
    <w:rsid w:val="00E71BD4"/>
    <w:rsid w:val="00E71EF8"/>
    <w:rsid w:val="00E7218A"/>
    <w:rsid w:val="00E72E2F"/>
    <w:rsid w:val="00E72F6E"/>
    <w:rsid w:val="00E733A6"/>
    <w:rsid w:val="00E73A09"/>
    <w:rsid w:val="00E73A0E"/>
    <w:rsid w:val="00E73B9F"/>
    <w:rsid w:val="00E741D2"/>
    <w:rsid w:val="00E743CF"/>
    <w:rsid w:val="00E74804"/>
    <w:rsid w:val="00E74D2A"/>
    <w:rsid w:val="00E74E7D"/>
    <w:rsid w:val="00E74E8C"/>
    <w:rsid w:val="00E759C3"/>
    <w:rsid w:val="00E75AE4"/>
    <w:rsid w:val="00E76053"/>
    <w:rsid w:val="00E76298"/>
    <w:rsid w:val="00E76986"/>
    <w:rsid w:val="00E775AE"/>
    <w:rsid w:val="00E77E04"/>
    <w:rsid w:val="00E810C3"/>
    <w:rsid w:val="00E810CB"/>
    <w:rsid w:val="00E814EB"/>
    <w:rsid w:val="00E81C78"/>
    <w:rsid w:val="00E827D6"/>
    <w:rsid w:val="00E82872"/>
    <w:rsid w:val="00E82CFF"/>
    <w:rsid w:val="00E82DFF"/>
    <w:rsid w:val="00E82FDB"/>
    <w:rsid w:val="00E83394"/>
    <w:rsid w:val="00E83910"/>
    <w:rsid w:val="00E83D73"/>
    <w:rsid w:val="00E84950"/>
    <w:rsid w:val="00E85519"/>
    <w:rsid w:val="00E855A3"/>
    <w:rsid w:val="00E855B7"/>
    <w:rsid w:val="00E85705"/>
    <w:rsid w:val="00E857A7"/>
    <w:rsid w:val="00E85F3B"/>
    <w:rsid w:val="00E862DF"/>
    <w:rsid w:val="00E863D5"/>
    <w:rsid w:val="00E86A20"/>
    <w:rsid w:val="00E86B8B"/>
    <w:rsid w:val="00E86F32"/>
    <w:rsid w:val="00E9004E"/>
    <w:rsid w:val="00E90252"/>
    <w:rsid w:val="00E90685"/>
    <w:rsid w:val="00E90E61"/>
    <w:rsid w:val="00E91632"/>
    <w:rsid w:val="00E91AF8"/>
    <w:rsid w:val="00E93392"/>
    <w:rsid w:val="00E93460"/>
    <w:rsid w:val="00E938F2"/>
    <w:rsid w:val="00E940E9"/>
    <w:rsid w:val="00E9432A"/>
    <w:rsid w:val="00E94E34"/>
    <w:rsid w:val="00E94F94"/>
    <w:rsid w:val="00E95A5A"/>
    <w:rsid w:val="00E95DA0"/>
    <w:rsid w:val="00E95F9D"/>
    <w:rsid w:val="00E966DB"/>
    <w:rsid w:val="00E96AC5"/>
    <w:rsid w:val="00E96BF5"/>
    <w:rsid w:val="00E979C6"/>
    <w:rsid w:val="00E97B72"/>
    <w:rsid w:val="00EA0306"/>
    <w:rsid w:val="00EA03D7"/>
    <w:rsid w:val="00EA0950"/>
    <w:rsid w:val="00EA0A63"/>
    <w:rsid w:val="00EA0B01"/>
    <w:rsid w:val="00EA0D0D"/>
    <w:rsid w:val="00EA15EF"/>
    <w:rsid w:val="00EA1769"/>
    <w:rsid w:val="00EA247C"/>
    <w:rsid w:val="00EA2743"/>
    <w:rsid w:val="00EA2833"/>
    <w:rsid w:val="00EA2865"/>
    <w:rsid w:val="00EA31CE"/>
    <w:rsid w:val="00EA3DDC"/>
    <w:rsid w:val="00EA423A"/>
    <w:rsid w:val="00EA44CB"/>
    <w:rsid w:val="00EA4B1E"/>
    <w:rsid w:val="00EA4F72"/>
    <w:rsid w:val="00EA520D"/>
    <w:rsid w:val="00EA5527"/>
    <w:rsid w:val="00EA5762"/>
    <w:rsid w:val="00EA5A37"/>
    <w:rsid w:val="00EA5B8D"/>
    <w:rsid w:val="00EA5CF2"/>
    <w:rsid w:val="00EA6FCF"/>
    <w:rsid w:val="00EA7023"/>
    <w:rsid w:val="00EA7104"/>
    <w:rsid w:val="00EA71D8"/>
    <w:rsid w:val="00EA7304"/>
    <w:rsid w:val="00EA7355"/>
    <w:rsid w:val="00EA7406"/>
    <w:rsid w:val="00EA789D"/>
    <w:rsid w:val="00EA7974"/>
    <w:rsid w:val="00EA7A24"/>
    <w:rsid w:val="00EA7BF3"/>
    <w:rsid w:val="00EB017E"/>
    <w:rsid w:val="00EB04CA"/>
    <w:rsid w:val="00EB127D"/>
    <w:rsid w:val="00EB2264"/>
    <w:rsid w:val="00EB237F"/>
    <w:rsid w:val="00EB238F"/>
    <w:rsid w:val="00EB241C"/>
    <w:rsid w:val="00EB3260"/>
    <w:rsid w:val="00EB348A"/>
    <w:rsid w:val="00EB34B8"/>
    <w:rsid w:val="00EB382D"/>
    <w:rsid w:val="00EB3C63"/>
    <w:rsid w:val="00EB3C96"/>
    <w:rsid w:val="00EB3E52"/>
    <w:rsid w:val="00EB432C"/>
    <w:rsid w:val="00EB469B"/>
    <w:rsid w:val="00EB4A63"/>
    <w:rsid w:val="00EB504F"/>
    <w:rsid w:val="00EB5275"/>
    <w:rsid w:val="00EB5599"/>
    <w:rsid w:val="00EB55B7"/>
    <w:rsid w:val="00EB6182"/>
    <w:rsid w:val="00EB6225"/>
    <w:rsid w:val="00EB6539"/>
    <w:rsid w:val="00EB6937"/>
    <w:rsid w:val="00EB70BA"/>
    <w:rsid w:val="00EB7151"/>
    <w:rsid w:val="00EB74F4"/>
    <w:rsid w:val="00EB75BF"/>
    <w:rsid w:val="00EB75F3"/>
    <w:rsid w:val="00EC0378"/>
    <w:rsid w:val="00EC075C"/>
    <w:rsid w:val="00EC0F10"/>
    <w:rsid w:val="00EC13FE"/>
    <w:rsid w:val="00EC16EF"/>
    <w:rsid w:val="00EC1E30"/>
    <w:rsid w:val="00EC1F31"/>
    <w:rsid w:val="00EC2402"/>
    <w:rsid w:val="00EC2569"/>
    <w:rsid w:val="00EC2BE8"/>
    <w:rsid w:val="00EC303D"/>
    <w:rsid w:val="00EC3223"/>
    <w:rsid w:val="00EC3B9E"/>
    <w:rsid w:val="00EC4137"/>
    <w:rsid w:val="00EC4362"/>
    <w:rsid w:val="00EC4AC9"/>
    <w:rsid w:val="00EC4D3E"/>
    <w:rsid w:val="00EC4DAA"/>
    <w:rsid w:val="00EC51E6"/>
    <w:rsid w:val="00EC54E2"/>
    <w:rsid w:val="00EC5D39"/>
    <w:rsid w:val="00EC5EEE"/>
    <w:rsid w:val="00EC6066"/>
    <w:rsid w:val="00EC6BAD"/>
    <w:rsid w:val="00EC6BD8"/>
    <w:rsid w:val="00EC6C23"/>
    <w:rsid w:val="00EC705F"/>
    <w:rsid w:val="00EC7106"/>
    <w:rsid w:val="00EC73B0"/>
    <w:rsid w:val="00EC78ED"/>
    <w:rsid w:val="00EC7DCA"/>
    <w:rsid w:val="00ED05E5"/>
    <w:rsid w:val="00ED08A7"/>
    <w:rsid w:val="00ED1271"/>
    <w:rsid w:val="00ED14E7"/>
    <w:rsid w:val="00ED1A7B"/>
    <w:rsid w:val="00ED1C96"/>
    <w:rsid w:val="00ED1F42"/>
    <w:rsid w:val="00ED2A57"/>
    <w:rsid w:val="00ED2E20"/>
    <w:rsid w:val="00ED2E3B"/>
    <w:rsid w:val="00ED397D"/>
    <w:rsid w:val="00ED3D9B"/>
    <w:rsid w:val="00ED41E4"/>
    <w:rsid w:val="00ED4213"/>
    <w:rsid w:val="00ED4858"/>
    <w:rsid w:val="00ED65A6"/>
    <w:rsid w:val="00ED6B63"/>
    <w:rsid w:val="00ED6CB5"/>
    <w:rsid w:val="00ED6E0C"/>
    <w:rsid w:val="00ED6EBD"/>
    <w:rsid w:val="00ED7149"/>
    <w:rsid w:val="00ED7358"/>
    <w:rsid w:val="00ED7364"/>
    <w:rsid w:val="00ED74D7"/>
    <w:rsid w:val="00ED75A2"/>
    <w:rsid w:val="00ED7E48"/>
    <w:rsid w:val="00EE0009"/>
    <w:rsid w:val="00EE0983"/>
    <w:rsid w:val="00EE1A96"/>
    <w:rsid w:val="00EE1B99"/>
    <w:rsid w:val="00EE1C5E"/>
    <w:rsid w:val="00EE1DEE"/>
    <w:rsid w:val="00EE219C"/>
    <w:rsid w:val="00EE232B"/>
    <w:rsid w:val="00EE236B"/>
    <w:rsid w:val="00EE29A9"/>
    <w:rsid w:val="00EE2CC4"/>
    <w:rsid w:val="00EE3254"/>
    <w:rsid w:val="00EE3D34"/>
    <w:rsid w:val="00EE40A4"/>
    <w:rsid w:val="00EE41B4"/>
    <w:rsid w:val="00EE48DD"/>
    <w:rsid w:val="00EE4906"/>
    <w:rsid w:val="00EE4C62"/>
    <w:rsid w:val="00EE5DD9"/>
    <w:rsid w:val="00EE5ED8"/>
    <w:rsid w:val="00EE5F75"/>
    <w:rsid w:val="00EE67D8"/>
    <w:rsid w:val="00EE6A77"/>
    <w:rsid w:val="00EE6DF1"/>
    <w:rsid w:val="00EE7646"/>
    <w:rsid w:val="00EE7779"/>
    <w:rsid w:val="00EE7DF9"/>
    <w:rsid w:val="00EE7F14"/>
    <w:rsid w:val="00EF0051"/>
    <w:rsid w:val="00EF0314"/>
    <w:rsid w:val="00EF089C"/>
    <w:rsid w:val="00EF0A37"/>
    <w:rsid w:val="00EF0CB4"/>
    <w:rsid w:val="00EF0F6E"/>
    <w:rsid w:val="00EF129C"/>
    <w:rsid w:val="00EF15DA"/>
    <w:rsid w:val="00EF1A8C"/>
    <w:rsid w:val="00EF1B10"/>
    <w:rsid w:val="00EF1C31"/>
    <w:rsid w:val="00EF1C42"/>
    <w:rsid w:val="00EF1DDA"/>
    <w:rsid w:val="00EF27FA"/>
    <w:rsid w:val="00EF34F9"/>
    <w:rsid w:val="00EF3A76"/>
    <w:rsid w:val="00EF3B2B"/>
    <w:rsid w:val="00EF3C58"/>
    <w:rsid w:val="00EF44BC"/>
    <w:rsid w:val="00EF4829"/>
    <w:rsid w:val="00EF4CD7"/>
    <w:rsid w:val="00EF510E"/>
    <w:rsid w:val="00EF534C"/>
    <w:rsid w:val="00EF5E8F"/>
    <w:rsid w:val="00EF5F94"/>
    <w:rsid w:val="00EF62A0"/>
    <w:rsid w:val="00EF6787"/>
    <w:rsid w:val="00EF6E2A"/>
    <w:rsid w:val="00EF75F0"/>
    <w:rsid w:val="00F002A0"/>
    <w:rsid w:val="00F006C5"/>
    <w:rsid w:val="00F00731"/>
    <w:rsid w:val="00F00A7D"/>
    <w:rsid w:val="00F01831"/>
    <w:rsid w:val="00F01A32"/>
    <w:rsid w:val="00F01F41"/>
    <w:rsid w:val="00F02325"/>
    <w:rsid w:val="00F02392"/>
    <w:rsid w:val="00F03481"/>
    <w:rsid w:val="00F035A2"/>
    <w:rsid w:val="00F038D6"/>
    <w:rsid w:val="00F03DE4"/>
    <w:rsid w:val="00F041E6"/>
    <w:rsid w:val="00F04665"/>
    <w:rsid w:val="00F04AAC"/>
    <w:rsid w:val="00F05228"/>
    <w:rsid w:val="00F05D8B"/>
    <w:rsid w:val="00F06455"/>
    <w:rsid w:val="00F06948"/>
    <w:rsid w:val="00F06B25"/>
    <w:rsid w:val="00F06B7D"/>
    <w:rsid w:val="00F0727B"/>
    <w:rsid w:val="00F079D4"/>
    <w:rsid w:val="00F07C34"/>
    <w:rsid w:val="00F1049F"/>
    <w:rsid w:val="00F108D4"/>
    <w:rsid w:val="00F11564"/>
    <w:rsid w:val="00F11B63"/>
    <w:rsid w:val="00F11FB1"/>
    <w:rsid w:val="00F12EC9"/>
    <w:rsid w:val="00F13439"/>
    <w:rsid w:val="00F141D6"/>
    <w:rsid w:val="00F14539"/>
    <w:rsid w:val="00F14E67"/>
    <w:rsid w:val="00F15217"/>
    <w:rsid w:val="00F1571D"/>
    <w:rsid w:val="00F15A34"/>
    <w:rsid w:val="00F1604B"/>
    <w:rsid w:val="00F1749D"/>
    <w:rsid w:val="00F205B9"/>
    <w:rsid w:val="00F2079A"/>
    <w:rsid w:val="00F20BF3"/>
    <w:rsid w:val="00F20C06"/>
    <w:rsid w:val="00F2136E"/>
    <w:rsid w:val="00F219DE"/>
    <w:rsid w:val="00F21E8B"/>
    <w:rsid w:val="00F226E0"/>
    <w:rsid w:val="00F22B59"/>
    <w:rsid w:val="00F2338B"/>
    <w:rsid w:val="00F2403C"/>
    <w:rsid w:val="00F24231"/>
    <w:rsid w:val="00F244EC"/>
    <w:rsid w:val="00F248FA"/>
    <w:rsid w:val="00F26539"/>
    <w:rsid w:val="00F269E9"/>
    <w:rsid w:val="00F26BDC"/>
    <w:rsid w:val="00F26DF0"/>
    <w:rsid w:val="00F27063"/>
    <w:rsid w:val="00F27589"/>
    <w:rsid w:val="00F2769E"/>
    <w:rsid w:val="00F276BE"/>
    <w:rsid w:val="00F278AE"/>
    <w:rsid w:val="00F301C5"/>
    <w:rsid w:val="00F30C61"/>
    <w:rsid w:val="00F30D54"/>
    <w:rsid w:val="00F30E36"/>
    <w:rsid w:val="00F312C6"/>
    <w:rsid w:val="00F31BC4"/>
    <w:rsid w:val="00F3206F"/>
    <w:rsid w:val="00F32423"/>
    <w:rsid w:val="00F32631"/>
    <w:rsid w:val="00F32E77"/>
    <w:rsid w:val="00F331C3"/>
    <w:rsid w:val="00F33207"/>
    <w:rsid w:val="00F33255"/>
    <w:rsid w:val="00F33606"/>
    <w:rsid w:val="00F33681"/>
    <w:rsid w:val="00F346F9"/>
    <w:rsid w:val="00F34887"/>
    <w:rsid w:val="00F357F3"/>
    <w:rsid w:val="00F35831"/>
    <w:rsid w:val="00F35971"/>
    <w:rsid w:val="00F35C3F"/>
    <w:rsid w:val="00F36015"/>
    <w:rsid w:val="00F361D6"/>
    <w:rsid w:val="00F3621E"/>
    <w:rsid w:val="00F36730"/>
    <w:rsid w:val="00F36DAD"/>
    <w:rsid w:val="00F37135"/>
    <w:rsid w:val="00F37686"/>
    <w:rsid w:val="00F37D5E"/>
    <w:rsid w:val="00F401E8"/>
    <w:rsid w:val="00F4028F"/>
    <w:rsid w:val="00F40363"/>
    <w:rsid w:val="00F41049"/>
    <w:rsid w:val="00F4113A"/>
    <w:rsid w:val="00F41558"/>
    <w:rsid w:val="00F418AA"/>
    <w:rsid w:val="00F41964"/>
    <w:rsid w:val="00F41B5B"/>
    <w:rsid w:val="00F41E54"/>
    <w:rsid w:val="00F424FB"/>
    <w:rsid w:val="00F42D9B"/>
    <w:rsid w:val="00F431F6"/>
    <w:rsid w:val="00F43204"/>
    <w:rsid w:val="00F432E6"/>
    <w:rsid w:val="00F43670"/>
    <w:rsid w:val="00F437BC"/>
    <w:rsid w:val="00F45314"/>
    <w:rsid w:val="00F453C1"/>
    <w:rsid w:val="00F466FA"/>
    <w:rsid w:val="00F46CD1"/>
    <w:rsid w:val="00F46E7B"/>
    <w:rsid w:val="00F472A3"/>
    <w:rsid w:val="00F47402"/>
    <w:rsid w:val="00F47697"/>
    <w:rsid w:val="00F479AB"/>
    <w:rsid w:val="00F503C2"/>
    <w:rsid w:val="00F50D66"/>
    <w:rsid w:val="00F51EFB"/>
    <w:rsid w:val="00F51F9A"/>
    <w:rsid w:val="00F52098"/>
    <w:rsid w:val="00F5225B"/>
    <w:rsid w:val="00F52CC0"/>
    <w:rsid w:val="00F52E42"/>
    <w:rsid w:val="00F52FDD"/>
    <w:rsid w:val="00F53304"/>
    <w:rsid w:val="00F53535"/>
    <w:rsid w:val="00F53576"/>
    <w:rsid w:val="00F537FA"/>
    <w:rsid w:val="00F53985"/>
    <w:rsid w:val="00F539D9"/>
    <w:rsid w:val="00F53AE9"/>
    <w:rsid w:val="00F53BCB"/>
    <w:rsid w:val="00F53CE4"/>
    <w:rsid w:val="00F53F33"/>
    <w:rsid w:val="00F53FE8"/>
    <w:rsid w:val="00F541D9"/>
    <w:rsid w:val="00F54647"/>
    <w:rsid w:val="00F54D98"/>
    <w:rsid w:val="00F55736"/>
    <w:rsid w:val="00F55D8C"/>
    <w:rsid w:val="00F56990"/>
    <w:rsid w:val="00F57154"/>
    <w:rsid w:val="00F5742C"/>
    <w:rsid w:val="00F5745D"/>
    <w:rsid w:val="00F57730"/>
    <w:rsid w:val="00F5777C"/>
    <w:rsid w:val="00F57888"/>
    <w:rsid w:val="00F57D1C"/>
    <w:rsid w:val="00F57D30"/>
    <w:rsid w:val="00F57EC0"/>
    <w:rsid w:val="00F60040"/>
    <w:rsid w:val="00F60620"/>
    <w:rsid w:val="00F609CF"/>
    <w:rsid w:val="00F615DC"/>
    <w:rsid w:val="00F61687"/>
    <w:rsid w:val="00F617D8"/>
    <w:rsid w:val="00F61C39"/>
    <w:rsid w:val="00F61FB0"/>
    <w:rsid w:val="00F6217B"/>
    <w:rsid w:val="00F62923"/>
    <w:rsid w:val="00F62A02"/>
    <w:rsid w:val="00F633BC"/>
    <w:rsid w:val="00F6424A"/>
    <w:rsid w:val="00F64476"/>
    <w:rsid w:val="00F64991"/>
    <w:rsid w:val="00F64A65"/>
    <w:rsid w:val="00F65E43"/>
    <w:rsid w:val="00F66041"/>
    <w:rsid w:val="00F66C81"/>
    <w:rsid w:val="00F66CA3"/>
    <w:rsid w:val="00F66F90"/>
    <w:rsid w:val="00F67EBD"/>
    <w:rsid w:val="00F70478"/>
    <w:rsid w:val="00F705CF"/>
    <w:rsid w:val="00F709D0"/>
    <w:rsid w:val="00F70BA2"/>
    <w:rsid w:val="00F70CB3"/>
    <w:rsid w:val="00F7103B"/>
    <w:rsid w:val="00F71157"/>
    <w:rsid w:val="00F71A32"/>
    <w:rsid w:val="00F71B05"/>
    <w:rsid w:val="00F721EF"/>
    <w:rsid w:val="00F72548"/>
    <w:rsid w:val="00F72CFC"/>
    <w:rsid w:val="00F72D28"/>
    <w:rsid w:val="00F7313C"/>
    <w:rsid w:val="00F732C1"/>
    <w:rsid w:val="00F73382"/>
    <w:rsid w:val="00F738EE"/>
    <w:rsid w:val="00F73DEC"/>
    <w:rsid w:val="00F74C4E"/>
    <w:rsid w:val="00F75351"/>
    <w:rsid w:val="00F75407"/>
    <w:rsid w:val="00F76801"/>
    <w:rsid w:val="00F76B8E"/>
    <w:rsid w:val="00F76F09"/>
    <w:rsid w:val="00F76F93"/>
    <w:rsid w:val="00F76FA4"/>
    <w:rsid w:val="00F76FEF"/>
    <w:rsid w:val="00F76FFA"/>
    <w:rsid w:val="00F77392"/>
    <w:rsid w:val="00F775C7"/>
    <w:rsid w:val="00F77D99"/>
    <w:rsid w:val="00F80158"/>
    <w:rsid w:val="00F801A1"/>
    <w:rsid w:val="00F80815"/>
    <w:rsid w:val="00F80AC2"/>
    <w:rsid w:val="00F80CD8"/>
    <w:rsid w:val="00F80FAB"/>
    <w:rsid w:val="00F81076"/>
    <w:rsid w:val="00F8149E"/>
    <w:rsid w:val="00F819A0"/>
    <w:rsid w:val="00F81ABB"/>
    <w:rsid w:val="00F81C79"/>
    <w:rsid w:val="00F81D5B"/>
    <w:rsid w:val="00F81D9E"/>
    <w:rsid w:val="00F82262"/>
    <w:rsid w:val="00F82EE4"/>
    <w:rsid w:val="00F842B4"/>
    <w:rsid w:val="00F8472B"/>
    <w:rsid w:val="00F84AFA"/>
    <w:rsid w:val="00F84BC8"/>
    <w:rsid w:val="00F84CBC"/>
    <w:rsid w:val="00F84D46"/>
    <w:rsid w:val="00F85101"/>
    <w:rsid w:val="00F85326"/>
    <w:rsid w:val="00F85424"/>
    <w:rsid w:val="00F8555C"/>
    <w:rsid w:val="00F85660"/>
    <w:rsid w:val="00F85707"/>
    <w:rsid w:val="00F85C22"/>
    <w:rsid w:val="00F85EFD"/>
    <w:rsid w:val="00F85F30"/>
    <w:rsid w:val="00F864FC"/>
    <w:rsid w:val="00F86F02"/>
    <w:rsid w:val="00F87261"/>
    <w:rsid w:val="00F87C05"/>
    <w:rsid w:val="00F87C1E"/>
    <w:rsid w:val="00F87CE8"/>
    <w:rsid w:val="00F87EB9"/>
    <w:rsid w:val="00F900BF"/>
    <w:rsid w:val="00F908CB"/>
    <w:rsid w:val="00F90BD9"/>
    <w:rsid w:val="00F91669"/>
    <w:rsid w:val="00F9175E"/>
    <w:rsid w:val="00F9189F"/>
    <w:rsid w:val="00F91FAF"/>
    <w:rsid w:val="00F92FB8"/>
    <w:rsid w:val="00F9350F"/>
    <w:rsid w:val="00F935EF"/>
    <w:rsid w:val="00F93D06"/>
    <w:rsid w:val="00F93D1A"/>
    <w:rsid w:val="00F9413E"/>
    <w:rsid w:val="00F94351"/>
    <w:rsid w:val="00F945FF"/>
    <w:rsid w:val="00F9495A"/>
    <w:rsid w:val="00F94BF3"/>
    <w:rsid w:val="00F94DCF"/>
    <w:rsid w:val="00F9565D"/>
    <w:rsid w:val="00F956E3"/>
    <w:rsid w:val="00F95A07"/>
    <w:rsid w:val="00F95C15"/>
    <w:rsid w:val="00F95DE9"/>
    <w:rsid w:val="00F95F1A"/>
    <w:rsid w:val="00F9611B"/>
    <w:rsid w:val="00F96139"/>
    <w:rsid w:val="00F9665F"/>
    <w:rsid w:val="00F96973"/>
    <w:rsid w:val="00F96A6B"/>
    <w:rsid w:val="00F96ACC"/>
    <w:rsid w:val="00F96D9D"/>
    <w:rsid w:val="00F97465"/>
    <w:rsid w:val="00F974E5"/>
    <w:rsid w:val="00F97A98"/>
    <w:rsid w:val="00FA00DB"/>
    <w:rsid w:val="00FA02FB"/>
    <w:rsid w:val="00FA0D39"/>
    <w:rsid w:val="00FA0D71"/>
    <w:rsid w:val="00FA151B"/>
    <w:rsid w:val="00FA1852"/>
    <w:rsid w:val="00FA2266"/>
    <w:rsid w:val="00FA229C"/>
    <w:rsid w:val="00FA22C9"/>
    <w:rsid w:val="00FA24DB"/>
    <w:rsid w:val="00FA2D03"/>
    <w:rsid w:val="00FA3570"/>
    <w:rsid w:val="00FA389D"/>
    <w:rsid w:val="00FA3A80"/>
    <w:rsid w:val="00FA4E66"/>
    <w:rsid w:val="00FA5067"/>
    <w:rsid w:val="00FA5192"/>
    <w:rsid w:val="00FA53B0"/>
    <w:rsid w:val="00FA5756"/>
    <w:rsid w:val="00FA57B3"/>
    <w:rsid w:val="00FA64C0"/>
    <w:rsid w:val="00FA6A88"/>
    <w:rsid w:val="00FA7F18"/>
    <w:rsid w:val="00FB0A01"/>
    <w:rsid w:val="00FB0C7C"/>
    <w:rsid w:val="00FB0DD1"/>
    <w:rsid w:val="00FB2318"/>
    <w:rsid w:val="00FB293B"/>
    <w:rsid w:val="00FB2CFA"/>
    <w:rsid w:val="00FB2FEC"/>
    <w:rsid w:val="00FB3051"/>
    <w:rsid w:val="00FB326E"/>
    <w:rsid w:val="00FB3626"/>
    <w:rsid w:val="00FB3A04"/>
    <w:rsid w:val="00FB3B3B"/>
    <w:rsid w:val="00FB442C"/>
    <w:rsid w:val="00FB456A"/>
    <w:rsid w:val="00FB4A19"/>
    <w:rsid w:val="00FB4E50"/>
    <w:rsid w:val="00FB4EAE"/>
    <w:rsid w:val="00FB5035"/>
    <w:rsid w:val="00FB65CC"/>
    <w:rsid w:val="00FB6B7C"/>
    <w:rsid w:val="00FB6C65"/>
    <w:rsid w:val="00FB6E09"/>
    <w:rsid w:val="00FB71BB"/>
    <w:rsid w:val="00FB76DD"/>
    <w:rsid w:val="00FB79F9"/>
    <w:rsid w:val="00FC0663"/>
    <w:rsid w:val="00FC0AD6"/>
    <w:rsid w:val="00FC0BDF"/>
    <w:rsid w:val="00FC141D"/>
    <w:rsid w:val="00FC14B6"/>
    <w:rsid w:val="00FC173A"/>
    <w:rsid w:val="00FC18B4"/>
    <w:rsid w:val="00FC18B5"/>
    <w:rsid w:val="00FC1CE0"/>
    <w:rsid w:val="00FC1FA2"/>
    <w:rsid w:val="00FC228C"/>
    <w:rsid w:val="00FC28D1"/>
    <w:rsid w:val="00FC298C"/>
    <w:rsid w:val="00FC2B97"/>
    <w:rsid w:val="00FC2CDF"/>
    <w:rsid w:val="00FC31FC"/>
    <w:rsid w:val="00FC3778"/>
    <w:rsid w:val="00FC3993"/>
    <w:rsid w:val="00FC4ACE"/>
    <w:rsid w:val="00FC505B"/>
    <w:rsid w:val="00FC52E5"/>
    <w:rsid w:val="00FC574B"/>
    <w:rsid w:val="00FC5986"/>
    <w:rsid w:val="00FC5A30"/>
    <w:rsid w:val="00FC5E51"/>
    <w:rsid w:val="00FC6043"/>
    <w:rsid w:val="00FC6872"/>
    <w:rsid w:val="00FC68F7"/>
    <w:rsid w:val="00FC6C45"/>
    <w:rsid w:val="00FC73F0"/>
    <w:rsid w:val="00FC7442"/>
    <w:rsid w:val="00FC763B"/>
    <w:rsid w:val="00FC76B3"/>
    <w:rsid w:val="00FC7851"/>
    <w:rsid w:val="00FD0060"/>
    <w:rsid w:val="00FD038D"/>
    <w:rsid w:val="00FD0F83"/>
    <w:rsid w:val="00FD1F52"/>
    <w:rsid w:val="00FD241D"/>
    <w:rsid w:val="00FD2720"/>
    <w:rsid w:val="00FD2F8E"/>
    <w:rsid w:val="00FD2FE9"/>
    <w:rsid w:val="00FD3547"/>
    <w:rsid w:val="00FD38D8"/>
    <w:rsid w:val="00FD414B"/>
    <w:rsid w:val="00FD4910"/>
    <w:rsid w:val="00FD4E39"/>
    <w:rsid w:val="00FD5262"/>
    <w:rsid w:val="00FD52E8"/>
    <w:rsid w:val="00FD567F"/>
    <w:rsid w:val="00FD6398"/>
    <w:rsid w:val="00FD66C4"/>
    <w:rsid w:val="00FD68EA"/>
    <w:rsid w:val="00FD7328"/>
    <w:rsid w:val="00FD772F"/>
    <w:rsid w:val="00FD77AF"/>
    <w:rsid w:val="00FD7D95"/>
    <w:rsid w:val="00FE0364"/>
    <w:rsid w:val="00FE0EB1"/>
    <w:rsid w:val="00FE1327"/>
    <w:rsid w:val="00FE17B0"/>
    <w:rsid w:val="00FE17F0"/>
    <w:rsid w:val="00FE1DDC"/>
    <w:rsid w:val="00FE2071"/>
    <w:rsid w:val="00FE2356"/>
    <w:rsid w:val="00FE2578"/>
    <w:rsid w:val="00FE2F18"/>
    <w:rsid w:val="00FE3C32"/>
    <w:rsid w:val="00FE4207"/>
    <w:rsid w:val="00FE4306"/>
    <w:rsid w:val="00FE4A62"/>
    <w:rsid w:val="00FE4BCA"/>
    <w:rsid w:val="00FE526A"/>
    <w:rsid w:val="00FE5E65"/>
    <w:rsid w:val="00FE5EDF"/>
    <w:rsid w:val="00FE6973"/>
    <w:rsid w:val="00FE7651"/>
    <w:rsid w:val="00FE7728"/>
    <w:rsid w:val="00FE7B7B"/>
    <w:rsid w:val="00FE7D2C"/>
    <w:rsid w:val="00FE7F60"/>
    <w:rsid w:val="00FF0074"/>
    <w:rsid w:val="00FF0186"/>
    <w:rsid w:val="00FF0573"/>
    <w:rsid w:val="00FF0B8B"/>
    <w:rsid w:val="00FF16F8"/>
    <w:rsid w:val="00FF2055"/>
    <w:rsid w:val="00FF28D1"/>
    <w:rsid w:val="00FF2B59"/>
    <w:rsid w:val="00FF2EEF"/>
    <w:rsid w:val="00FF351E"/>
    <w:rsid w:val="00FF37DD"/>
    <w:rsid w:val="00FF39C1"/>
    <w:rsid w:val="00FF48B1"/>
    <w:rsid w:val="00FF5283"/>
    <w:rsid w:val="00FF54D6"/>
    <w:rsid w:val="00FF54DF"/>
    <w:rsid w:val="00FF563F"/>
    <w:rsid w:val="00FF5EED"/>
    <w:rsid w:val="00FF5F60"/>
    <w:rsid w:val="00FF6169"/>
    <w:rsid w:val="00FF61E7"/>
    <w:rsid w:val="00FF647B"/>
    <w:rsid w:val="00FF66FF"/>
    <w:rsid w:val="00FF6827"/>
    <w:rsid w:val="00FF6C07"/>
    <w:rsid w:val="00FF75E5"/>
    <w:rsid w:val="02C63C15"/>
    <w:rsid w:val="09279C31"/>
    <w:rsid w:val="0C4E8E1F"/>
    <w:rsid w:val="0D6D60D0"/>
    <w:rsid w:val="0E422046"/>
    <w:rsid w:val="0F455412"/>
    <w:rsid w:val="1009D8DD"/>
    <w:rsid w:val="110C20C8"/>
    <w:rsid w:val="12A05C79"/>
    <w:rsid w:val="13F4D292"/>
    <w:rsid w:val="15B41B58"/>
    <w:rsid w:val="173974A0"/>
    <w:rsid w:val="1A6C9CF2"/>
    <w:rsid w:val="1B10D94D"/>
    <w:rsid w:val="23E199AC"/>
    <w:rsid w:val="267D91F1"/>
    <w:rsid w:val="26D23CDC"/>
    <w:rsid w:val="2B1A5111"/>
    <w:rsid w:val="2E2D1427"/>
    <w:rsid w:val="2E320E92"/>
    <w:rsid w:val="2F00B5C4"/>
    <w:rsid w:val="31556F2A"/>
    <w:rsid w:val="32911453"/>
    <w:rsid w:val="332FDD82"/>
    <w:rsid w:val="3454CE48"/>
    <w:rsid w:val="34879645"/>
    <w:rsid w:val="38EE295F"/>
    <w:rsid w:val="3901CD6E"/>
    <w:rsid w:val="3CF683E9"/>
    <w:rsid w:val="3FF7589E"/>
    <w:rsid w:val="463198DC"/>
    <w:rsid w:val="4A8D5317"/>
    <w:rsid w:val="4BB2E5D4"/>
    <w:rsid w:val="4CE26CB8"/>
    <w:rsid w:val="4CE3D7C0"/>
    <w:rsid w:val="4E238264"/>
    <w:rsid w:val="4EE84FC7"/>
    <w:rsid w:val="50A9FD72"/>
    <w:rsid w:val="5222B786"/>
    <w:rsid w:val="5323BF33"/>
    <w:rsid w:val="53A6EE7B"/>
    <w:rsid w:val="5A4AE5CE"/>
    <w:rsid w:val="5DBB31AB"/>
    <w:rsid w:val="5EE44466"/>
    <w:rsid w:val="60200EDA"/>
    <w:rsid w:val="671075B2"/>
    <w:rsid w:val="6993BDF7"/>
    <w:rsid w:val="6FD4B664"/>
    <w:rsid w:val="6FDA5F82"/>
    <w:rsid w:val="707E4694"/>
    <w:rsid w:val="750978C6"/>
    <w:rsid w:val="7662D4CF"/>
    <w:rsid w:val="7857EED6"/>
    <w:rsid w:val="7B29C50C"/>
    <w:rsid w:val="7E489780"/>
    <w:rsid w:val="7E93D1E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7E00F"/>
  <w15:docId w15:val="{F03B3FEF-66D7-422F-8EB5-87E962B0C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FD6"/>
    <w:pPr>
      <w:spacing w:after="250" w:line="276" w:lineRule="auto"/>
      <w:jc w:val="both"/>
    </w:pPr>
    <w:rPr>
      <w:color w:val="181818" w:themeColor="background1" w:themeShade="1A"/>
      <w:sz w:val="22"/>
      <w:lang w:val="en-GB"/>
    </w:rPr>
  </w:style>
  <w:style w:type="paragraph" w:styleId="Heading1">
    <w:name w:val="heading 1"/>
    <w:basedOn w:val="Normal"/>
    <w:next w:val="Normal"/>
    <w:link w:val="Heading1Char"/>
    <w:uiPriority w:val="9"/>
    <w:qFormat/>
    <w:rsid w:val="0082744A"/>
    <w:pPr>
      <w:keepNext/>
      <w:keepLines/>
      <w:numPr>
        <w:numId w:val="1"/>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Heading2">
    <w:name w:val="heading 2"/>
    <w:basedOn w:val="Normal"/>
    <w:next w:val="Normal"/>
    <w:link w:val="Heading2Char"/>
    <w:uiPriority w:val="9"/>
    <w:unhideWhenUsed/>
    <w:qFormat/>
    <w:rsid w:val="0082744A"/>
    <w:pPr>
      <w:keepNext/>
      <w:keepLines/>
      <w:numPr>
        <w:ilvl w:val="1"/>
        <w:numId w:val="1"/>
      </w:numPr>
      <w:spacing w:before="320"/>
      <w:outlineLvl w:val="1"/>
    </w:pPr>
    <w:rPr>
      <w:rFonts w:asciiTheme="majorHAnsi" w:eastAsiaTheme="majorEastAsia" w:hAnsiTheme="majorHAnsi" w:cstheme="majorBidi"/>
      <w:b/>
      <w:color w:val="00379F" w:themeColor="text1"/>
      <w:sz w:val="28"/>
      <w:szCs w:val="28"/>
    </w:rPr>
  </w:style>
  <w:style w:type="paragraph" w:styleId="Heading3">
    <w:name w:val="heading 3"/>
    <w:basedOn w:val="Normal"/>
    <w:next w:val="Normal"/>
    <w:link w:val="Heading3Char"/>
    <w:uiPriority w:val="9"/>
    <w:unhideWhenUsed/>
    <w:qFormat/>
    <w:rsid w:val="00020300"/>
    <w:pPr>
      <w:keepNext/>
      <w:keepLines/>
      <w:numPr>
        <w:ilvl w:val="2"/>
        <w:numId w:val="1"/>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1"/>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2"/>
      </w:numPr>
      <w:spacing w:before="40" w:after="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1"/>
      </w:numPr>
      <w:spacing w:before="40" w:after="0"/>
      <w:outlineLvl w:val="5"/>
    </w:pPr>
    <w:rPr>
      <w:rFonts w:asciiTheme="majorHAnsi" w:eastAsiaTheme="majorEastAsia" w:hAnsiTheme="majorHAnsi" w:cstheme="majorBidi"/>
      <w:i/>
      <w:iCs/>
      <w:color w:val="007EFF"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1"/>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1"/>
      </w:numPr>
      <w:spacing w:before="40" w:after="0"/>
      <w:outlineLvl w:val="7"/>
    </w:pPr>
    <w:rPr>
      <w:rFonts w:asciiTheme="majorHAnsi" w:eastAsiaTheme="majorEastAsia" w:hAnsiTheme="majorHAnsi" w:cstheme="majorBidi"/>
      <w:b/>
      <w:bCs/>
      <w:color w:val="007EFF" w:themeColor="text2"/>
    </w:rPr>
  </w:style>
  <w:style w:type="paragraph" w:styleId="Heading9">
    <w:name w:val="heading 9"/>
    <w:basedOn w:val="Normal"/>
    <w:next w:val="Normal"/>
    <w:link w:val="Heading9Char"/>
    <w:uiPriority w:val="9"/>
    <w:semiHidden/>
    <w:unhideWhenUsed/>
    <w:qFormat/>
    <w:rsid w:val="00AA054E"/>
    <w:pPr>
      <w:keepNext/>
      <w:keepLines/>
      <w:numPr>
        <w:ilvl w:val="8"/>
        <w:numId w:val="1"/>
      </w:numPr>
      <w:spacing w:before="40" w:after="0"/>
      <w:outlineLvl w:val="8"/>
    </w:pPr>
    <w:rPr>
      <w:rFonts w:asciiTheme="majorHAnsi" w:eastAsiaTheme="majorEastAsia" w:hAnsiTheme="majorHAnsi" w:cstheme="majorBidi"/>
      <w:b/>
      <w:bCs/>
      <w:i/>
      <w:iCs/>
      <w:color w:val="007EFF"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color w:val="181818" w:themeColor="background1" w:themeShade="1A"/>
      <w:sz w:val="22"/>
      <w:szCs w:val="22"/>
      <w:lang w:val="en-GB"/>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color w:val="181818" w:themeColor="background1" w:themeShade="1A"/>
      <w:sz w:val="24"/>
      <w:szCs w:val="24"/>
      <w:lang w:val="en-GB"/>
    </w:rPr>
  </w:style>
  <w:style w:type="character" w:customStyle="1" w:styleId="Heading1Char">
    <w:name w:val="Heading 1 Char"/>
    <w:basedOn w:val="DefaultParagraphFont"/>
    <w:link w:val="Heading1"/>
    <w:uiPriority w:val="9"/>
    <w:rsid w:val="0082744A"/>
    <w:rPr>
      <w:rFonts w:asciiTheme="majorHAnsi" w:eastAsiaTheme="majorEastAsia" w:hAnsiTheme="majorHAnsi" w:cstheme="majorBidi"/>
      <w:b/>
      <w:color w:val="00379F" w:themeColor="text1"/>
      <w:sz w:val="32"/>
      <w:szCs w:val="32"/>
      <w:lang w:val="en-GB"/>
    </w:rPr>
  </w:style>
  <w:style w:type="character" w:customStyle="1" w:styleId="Heading2Char">
    <w:name w:val="Heading 2 Char"/>
    <w:basedOn w:val="DefaultParagraphFont"/>
    <w:link w:val="Heading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qFormat/>
    <w:rsid w:val="00F205B9"/>
    <w:pPr>
      <w:numPr>
        <w:numId w:val="0"/>
      </w:numPr>
      <w:ind w:left="792" w:hanging="432"/>
    </w:pPr>
    <w:rPr>
      <w:b/>
      <w:color w:val="00379F" w:themeColor="text1"/>
      <w:sz w:val="28"/>
    </w:rPr>
  </w:style>
  <w:style w:type="character" w:customStyle="1" w:styleId="Title1Char">
    <w:name w:val="Title 1 Char"/>
    <w:basedOn w:val="DefaultParagraphFont"/>
    <w:link w:val="Title1"/>
    <w:rsid w:val="00F205B9"/>
    <w:rPr>
      <w:rFonts w:asciiTheme="majorHAnsi" w:hAnsiTheme="majorHAnsi" w:cstheme="majorHAnsi"/>
      <w:b/>
      <w:color w:val="00379F" w:themeColor="text1"/>
      <w:sz w:val="28"/>
      <w:szCs w:val="22"/>
      <w:lang w:val="pt-PT"/>
    </w:rPr>
  </w:style>
  <w:style w:type="paragraph" w:styleId="ListParagraph">
    <w:name w:val="List Paragraph"/>
    <w:aliases w:val="Paragraphe EI,Paragraphe de liste1,EC"/>
    <w:basedOn w:val="Normal"/>
    <w:link w:val="ListParagraphChar"/>
    <w:autoRedefine/>
    <w:uiPriority w:val="34"/>
    <w:qFormat/>
    <w:rsid w:val="00EC6066"/>
    <w:pPr>
      <w:numPr>
        <w:numId w:val="11"/>
      </w:numPr>
    </w:pPr>
    <w:rPr>
      <w:rFonts w:asciiTheme="majorHAnsi" w:hAnsiTheme="majorHAnsi" w:cstheme="majorHAnsi"/>
      <w:szCs w:val="22"/>
      <w:lang w:val="pt-PT"/>
    </w:rPr>
  </w:style>
  <w:style w:type="paragraph" w:customStyle="1" w:styleId="Title3">
    <w:name w:val="Title 3"/>
    <w:basedOn w:val="ListParagraph"/>
    <w:link w:val="Title3Char"/>
    <w:autoRedefine/>
    <w:rsid w:val="00F205B9"/>
    <w:pPr>
      <w:numPr>
        <w:ilvl w:val="3"/>
        <w:numId w:val="4"/>
      </w:numPr>
    </w:pPr>
  </w:style>
  <w:style w:type="character" w:customStyle="1" w:styleId="Title3Char">
    <w:name w:val="Title 3 Char"/>
    <w:basedOn w:val="DefaultParagraphFont"/>
    <w:link w:val="Title3"/>
    <w:rsid w:val="003C4EB5"/>
    <w:rPr>
      <w:rFonts w:asciiTheme="majorHAnsi" w:hAnsiTheme="majorHAnsi" w:cstheme="majorHAnsi"/>
      <w:color w:val="181818" w:themeColor="background1" w:themeShade="1A"/>
      <w:sz w:val="22"/>
      <w:szCs w:val="22"/>
      <w:lang w:val="pt-PT"/>
    </w:rPr>
  </w:style>
  <w:style w:type="paragraph" w:customStyle="1" w:styleId="Title2">
    <w:name w:val="Title 2"/>
    <w:basedOn w:val="Title1"/>
    <w:link w:val="Title2Char"/>
    <w:autoRedefine/>
    <w:rsid w:val="00F205B9"/>
    <w:pPr>
      <w:spacing w:after="0"/>
    </w:pPr>
  </w:style>
  <w:style w:type="character" w:customStyle="1" w:styleId="Title2Char">
    <w:name w:val="Title 2 Char"/>
    <w:basedOn w:val="Title1Char"/>
    <w:link w:val="Title2"/>
    <w:rsid w:val="002574D1"/>
    <w:rPr>
      <w:rFonts w:asciiTheme="majorHAnsi" w:hAnsiTheme="majorHAnsi" w:cstheme="majorHAnsi"/>
      <w:b/>
      <w:color w:val="00379F" w:themeColor="text1"/>
      <w:sz w:val="28"/>
      <w:szCs w:val="22"/>
      <w:lang w:val="pt-PT"/>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hAnsiTheme="majorHAnsi" w:cstheme="majorHAnsi"/>
      <w:color w:val="181818" w:themeColor="background1" w:themeShade="1A"/>
      <w:sz w:val="22"/>
      <w:szCs w:val="22"/>
      <w:lang w:val="fr-BE"/>
    </w:rPr>
  </w:style>
  <w:style w:type="paragraph" w:customStyle="1" w:styleId="DocumentTitle">
    <w:name w:val="Document Title"/>
    <w:basedOn w:val="Normal"/>
    <w:link w:val="DocumentTitleChar"/>
    <w:qFormat/>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DefaultParagraphFont"/>
    <w:link w:val="DocumentTitle"/>
    <w:rsid w:val="00563C1F"/>
    <w:rPr>
      <w:rFonts w:asciiTheme="majorHAnsi" w:hAnsiTheme="majorHAnsi"/>
      <w:b/>
      <w:color w:val="2D4190"/>
      <w:sz w:val="48"/>
      <w:lang w:val="en-GB"/>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color w:val="181818" w:themeColor="background1" w:themeShade="1A"/>
      <w:sz w:val="22"/>
      <w:szCs w:val="22"/>
      <w:lang w:val="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spacing w:after="0"/>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007EFF" w:themeColor="text2"/>
      <w:sz w:val="21"/>
      <w:szCs w:val="21"/>
      <w:lang w:val="en-GB"/>
    </w:rPr>
  </w:style>
  <w:style w:type="paragraph" w:styleId="Title">
    <w:name w:val="Title"/>
    <w:basedOn w:val="Normal"/>
    <w:next w:val="Normal"/>
    <w:link w:val="TitleChar"/>
    <w:uiPriority w:val="10"/>
    <w:qFormat/>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TitleChar">
    <w:name w:val="Title Char"/>
    <w:basedOn w:val="DefaultParagraphFont"/>
    <w:link w:val="Title"/>
    <w:uiPriority w:val="10"/>
    <w:rsid w:val="00516CBA"/>
    <w:rPr>
      <w:rFonts w:asciiTheme="majorHAnsi" w:eastAsiaTheme="majorEastAsia" w:hAnsiTheme="majorHAnsi" w:cstheme="majorBidi"/>
      <w:b/>
      <w:color w:val="00379F" w:themeColor="text1"/>
      <w:spacing w:val="-10"/>
      <w:sz w:val="56"/>
      <w:szCs w:val="56"/>
      <w:lang w:val="en-GB"/>
    </w:rPr>
  </w:style>
  <w:style w:type="paragraph" w:styleId="Subtitle">
    <w:name w:val="Subtitle"/>
    <w:basedOn w:val="Normal"/>
    <w:next w:val="Normal"/>
    <w:link w:val="SubtitleChar"/>
    <w:uiPriority w:val="11"/>
    <w:qFormat/>
    <w:rsid w:val="0082744A"/>
    <w:pPr>
      <w:numPr>
        <w:ilvl w:val="1"/>
      </w:numPr>
      <w:spacing w:line="240" w:lineRule="auto"/>
    </w:pPr>
    <w:rPr>
      <w:rFonts w:asciiTheme="majorHAnsi" w:eastAsiaTheme="majorEastAsia" w:hAnsiTheme="majorHAnsi" w:cstheme="majorBidi"/>
      <w:sz w:val="28"/>
      <w:szCs w:val="24"/>
    </w:rPr>
  </w:style>
  <w:style w:type="character" w:customStyle="1" w:styleId="SubtitleChar">
    <w:name w:val="Subtitle Char"/>
    <w:basedOn w:val="DefaultParagraphFont"/>
    <w:link w:val="Subtitle"/>
    <w:uiPriority w:val="11"/>
    <w:rsid w:val="0082744A"/>
    <w:rPr>
      <w:rFonts w:asciiTheme="majorHAnsi" w:eastAsiaTheme="majorEastAsia" w:hAnsiTheme="majorHAnsi" w:cstheme="majorBidi"/>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9004F" w:themeColor="accent1" w:themeShade="80"/>
      <w:sz w:val="21"/>
      <w:szCs w:val="21"/>
      <w:lang w:val="en-GB"/>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007EFF" w:themeColor="text2"/>
      <w:sz w:val="22"/>
      <w:lang w:val="en-GB"/>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007EFF" w:themeColor="text2"/>
      <w:sz w:val="22"/>
      <w:lang w:val="en-GB"/>
    </w:rPr>
  </w:style>
  <w:style w:type="paragraph" w:styleId="Caption">
    <w:name w:val="caption"/>
    <w:basedOn w:val="Normal"/>
    <w:next w:val="Normal"/>
    <w:uiPriority w:val="35"/>
    <w:semiHidden/>
    <w:unhideWhenUsed/>
    <w:qFormat/>
    <w:rsid w:val="00AA054E"/>
    <w:pPr>
      <w:spacing w:line="240" w:lineRule="auto"/>
    </w:pPr>
    <w:rPr>
      <w:b/>
      <w:bCs/>
      <w:smallCaps/>
      <w:color w:val="1A69FF"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0055F7" w:themeColor="text1" w:themeTint="BF"/>
    </w:rPr>
  </w:style>
  <w:style w:type="character" w:customStyle="1" w:styleId="QuoteChar">
    <w:name w:val="Quote Char"/>
    <w:basedOn w:val="DefaultParagraphFont"/>
    <w:link w:val="Quote"/>
    <w:uiPriority w:val="29"/>
    <w:rsid w:val="00AA054E"/>
    <w:rPr>
      <w:i/>
      <w:iCs/>
      <w:color w:val="0055F7" w:themeColor="text1" w:themeTint="BF"/>
    </w:rPr>
  </w:style>
  <w:style w:type="paragraph" w:styleId="IntenseQuote">
    <w:name w:val="Intense Quote"/>
    <w:basedOn w:val="Normal"/>
    <w:next w:val="Normal"/>
    <w:link w:val="IntenseQuoteChar"/>
    <w:uiPriority w:val="30"/>
    <w:qFormat/>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34009F" w:themeColor="accent1"/>
      <w:sz w:val="28"/>
      <w:szCs w:val="28"/>
    </w:rPr>
  </w:style>
  <w:style w:type="character" w:styleId="SubtleEmphasis">
    <w:name w:val="Subtle Emphasis"/>
    <w:basedOn w:val="DefaultParagraphFont"/>
    <w:uiPriority w:val="19"/>
    <w:qFormat/>
    <w:rsid w:val="00AA054E"/>
    <w:rPr>
      <w:i/>
      <w:iCs/>
      <w:color w:val="0055F7" w:themeColor="text1" w:themeTint="BF"/>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0055F7" w:themeColor="text1" w:themeTint="BF"/>
      <w:u w:val="single" w:color="4E8BF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F205B9"/>
    <w:pPr>
      <w:numPr>
        <w:numId w:val="0"/>
      </w:num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AF6B1E"/>
    <w:pPr>
      <w:tabs>
        <w:tab w:val="center" w:pos="4513"/>
        <w:tab w:val="right" w:pos="9026"/>
      </w:tabs>
      <w:spacing w:after="0" w:line="240" w:lineRule="auto"/>
      <w:jc w:val="right"/>
    </w:pPr>
    <w:rPr>
      <w:color w:val="001B4F" w:themeColor="text1" w:themeShade="80"/>
      <w:sz w:val="16"/>
    </w:rPr>
  </w:style>
  <w:style w:type="character" w:customStyle="1" w:styleId="HeaderChar">
    <w:name w:val="Header Char"/>
    <w:basedOn w:val="DefaultParagraphFont"/>
    <w:link w:val="Header"/>
    <w:rsid w:val="00AF6B1E"/>
    <w:rPr>
      <w:color w:val="001B4F" w:themeColor="text1" w:themeShade="80"/>
      <w:sz w:val="16"/>
      <w:lang w:val="en-GB"/>
    </w:rPr>
  </w:style>
  <w:style w:type="paragraph" w:styleId="Footer">
    <w:name w:val="footer"/>
    <w:basedOn w:val="Normal"/>
    <w:link w:val="FooterChar"/>
    <w:uiPriority w:val="99"/>
    <w:unhideWhenUsed/>
    <w:qFormat/>
    <w:rsid w:val="004E5FF8"/>
    <w:pPr>
      <w:tabs>
        <w:tab w:val="center" w:pos="4536"/>
        <w:tab w:val="right" w:pos="9072"/>
      </w:tabs>
      <w:spacing w:line="240" w:lineRule="auto"/>
      <w:jc w:val="left"/>
    </w:pPr>
    <w:rPr>
      <w:color w:val="001B4F" w:themeColor="text1" w:themeShade="80"/>
      <w:sz w:val="16"/>
    </w:rPr>
  </w:style>
  <w:style w:type="character" w:customStyle="1" w:styleId="FooterChar">
    <w:name w:val="Footer Char"/>
    <w:basedOn w:val="DefaultParagraphFont"/>
    <w:link w:val="Footer"/>
    <w:uiPriority w:val="99"/>
    <w:rsid w:val="004E5FF8"/>
    <w:rPr>
      <w:color w:val="001B4F" w:themeColor="text1" w:themeShade="80"/>
      <w:sz w:val="16"/>
      <w:lang w:val="en-GB"/>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qFormat/>
    <w:rsid w:val="00D77369"/>
    <w:pPr>
      <w:spacing w:after="0" w:line="220" w:lineRule="exact"/>
      <w:jc w:val="right"/>
    </w:pPr>
    <w:rPr>
      <w:rFonts w:eastAsia="Times New Roman" w:cs="Times New Roman"/>
      <w:color w:val="001B4F" w:themeColor="text1" w:themeShade="80"/>
      <w:sz w:val="17"/>
      <w:szCs w:val="24"/>
      <w:lang w:eastAsia="de-DE"/>
    </w:rPr>
  </w:style>
  <w:style w:type="paragraph" w:styleId="TOC1">
    <w:name w:val="toc 1"/>
    <w:basedOn w:val="Normal"/>
    <w:next w:val="Normal"/>
    <w:uiPriority w:val="39"/>
    <w:unhideWhenUsed/>
    <w:qFormat/>
    <w:rsid w:val="00F205B9"/>
    <w:pPr>
      <w:framePr w:hSpace="180" w:wrap="around" w:vAnchor="text" w:hAnchor="margin" w:y="115"/>
      <w:tabs>
        <w:tab w:val="left" w:pos="440"/>
        <w:tab w:val="right" w:leader="dot" w:pos="9062"/>
      </w:tabs>
      <w:spacing w:after="100"/>
    </w:pPr>
  </w:style>
  <w:style w:type="paragraph" w:styleId="TOC2">
    <w:name w:val="toc 2"/>
    <w:basedOn w:val="TOC1"/>
    <w:next w:val="Normal"/>
    <w:uiPriority w:val="39"/>
    <w:unhideWhenUsed/>
    <w:qFormat/>
    <w:rsid w:val="00F205B9"/>
    <w:pPr>
      <w:framePr w:wrap="around"/>
      <w:tabs>
        <w:tab w:val="right" w:leader="dot" w:pos="440"/>
      </w:tabs>
      <w:ind w:left="220"/>
    </w:pPr>
  </w:style>
  <w:style w:type="paragraph" w:styleId="TOC3">
    <w:name w:val="toc 3"/>
    <w:basedOn w:val="TOC1"/>
    <w:next w:val="Normal"/>
    <w:uiPriority w:val="39"/>
    <w:unhideWhenUsed/>
    <w:qFormat/>
    <w:rsid w:val="00AD0B10"/>
    <w:pPr>
      <w:framePr w:wrap="around"/>
      <w:ind w:left="442"/>
    </w:pPr>
  </w:style>
  <w:style w:type="character" w:styleId="Hyperlink">
    <w:name w:val="Hyperlink"/>
    <w:basedOn w:val="DefaultParagraphFont"/>
    <w:uiPriority w:val="99"/>
    <w:unhideWhenUsed/>
    <w:qFormat/>
    <w:rsid w:val="000C1E78"/>
    <w:rPr>
      <w:color w:val="005EBF" w:themeColor="text2" w:themeShade="BF"/>
      <w:u w:val="single"/>
    </w:rPr>
  </w:style>
  <w:style w:type="paragraph" w:customStyle="1" w:styleId="Questionstyle">
    <w:name w:val="Question style"/>
    <w:basedOn w:val="Normal"/>
    <w:next w:val="Normal"/>
    <w:link w:val="QuestionstyleChar"/>
    <w:autoRedefine/>
    <w:qFormat/>
    <w:rsid w:val="00C5469A"/>
    <w:pPr>
      <w:tabs>
        <w:tab w:val="left" w:pos="567"/>
      </w:tabs>
      <w:ind w:hanging="360"/>
      <w:contextualSpacing/>
    </w:pPr>
    <w:rPr>
      <w:b/>
    </w:rPr>
  </w:style>
  <w:style w:type="character" w:customStyle="1" w:styleId="QuestionstyleChar">
    <w:name w:val="Question style Char"/>
    <w:basedOn w:val="DefaultParagraphFont"/>
    <w:link w:val="Questionstyle"/>
    <w:rsid w:val="00C5469A"/>
    <w:rPr>
      <w:b/>
      <w:color w:val="181818" w:themeColor="background1" w:themeShade="1A"/>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after="0"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unhideWhenUsed/>
    <w:qFormat/>
    <w:rsid w:val="007A1A9D"/>
    <w:pPr>
      <w:spacing w:after="0" w:line="240" w:lineRule="auto"/>
    </w:pPr>
    <w:rPr>
      <w:sz w:val="16"/>
    </w:rPr>
  </w:style>
  <w:style w:type="character" w:customStyle="1" w:styleId="FootnoteTextChar">
    <w:name w:val="Footnote Text Char"/>
    <w:basedOn w:val="DefaultParagraphFont"/>
    <w:link w:val="FootnoteText"/>
    <w:uiPriority w:val="99"/>
    <w:rsid w:val="007A1A9D"/>
    <w:rPr>
      <w:color w:val="181818" w:themeColor="background1" w:themeShade="1A"/>
      <w:sz w:val="16"/>
      <w:lang w:val="en-GB"/>
    </w:rPr>
  </w:style>
  <w:style w:type="character" w:styleId="FootnoteReference">
    <w:name w:val="footnote reference"/>
    <w:basedOn w:val="DefaultParagraphFont"/>
    <w:uiPriority w:val="99"/>
    <w:semiHidden/>
    <w:unhideWhenUsed/>
    <w:qFormat/>
    <w:rsid w:val="00A91D91"/>
    <w:rPr>
      <w:rFonts w:asciiTheme="majorHAnsi" w:hAnsiTheme="majorHAnsi"/>
      <w:sz w:val="16"/>
      <w:vertAlign w:val="superscript"/>
    </w:rPr>
  </w:style>
  <w:style w:type="paragraph" w:customStyle="1" w:styleId="Footnote">
    <w:name w:val="Footnote"/>
    <w:basedOn w:val="FootnoteText"/>
    <w:link w:val="FootnoteChar"/>
    <w:qFormat/>
    <w:rsid w:val="00672C04"/>
    <w:pPr>
      <w:ind w:left="454" w:hanging="454"/>
    </w:pPr>
    <w:rPr>
      <w:lang w:val="nl-BE"/>
    </w:rPr>
  </w:style>
  <w:style w:type="character" w:customStyle="1" w:styleId="FootnoteChar">
    <w:name w:val="Footnote Char"/>
    <w:basedOn w:val="FootnoteTextChar"/>
    <w:link w:val="Footnote"/>
    <w:rsid w:val="00672C04"/>
    <w:rPr>
      <w:color w:val="181818" w:themeColor="background1" w:themeShade="1A"/>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BalloonText">
    <w:name w:val="Balloon Text"/>
    <w:basedOn w:val="Normal"/>
    <w:link w:val="BalloonTextChar"/>
    <w:uiPriority w:val="99"/>
    <w:semiHidden/>
    <w:unhideWhenUsed/>
    <w:rsid w:val="00715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1BF"/>
    <w:rPr>
      <w:rFonts w:ascii="Tahoma" w:hAnsi="Tahoma" w:cs="Tahoma"/>
      <w:sz w:val="16"/>
      <w:szCs w:val="16"/>
      <w:lang w:val="en-GB"/>
    </w:rPr>
  </w:style>
  <w:style w:type="paragraph" w:styleId="TOC4">
    <w:name w:val="toc 4"/>
    <w:basedOn w:val="TOC1"/>
    <w:next w:val="Normal"/>
    <w:uiPriority w:val="39"/>
    <w:unhideWhenUsed/>
    <w:qFormat/>
    <w:rsid w:val="00F205B9"/>
    <w:pPr>
      <w:framePr w:wrap="around"/>
      <w:ind w:left="660"/>
    </w:pPr>
  </w:style>
  <w:style w:type="character" w:styleId="CommentReference">
    <w:name w:val="annotation reference"/>
    <w:basedOn w:val="DefaultParagraphFont"/>
    <w:uiPriority w:val="99"/>
    <w:semiHidden/>
    <w:unhideWhenUsed/>
    <w:rsid w:val="00D33C31"/>
    <w:rPr>
      <w:sz w:val="16"/>
      <w:szCs w:val="16"/>
    </w:rPr>
  </w:style>
  <w:style w:type="paragraph" w:styleId="CommentText">
    <w:name w:val="annotation text"/>
    <w:basedOn w:val="Normal"/>
    <w:link w:val="CommentTextChar"/>
    <w:uiPriority w:val="99"/>
    <w:unhideWhenUsed/>
    <w:rsid w:val="00D33C31"/>
    <w:pPr>
      <w:spacing w:line="240" w:lineRule="auto"/>
    </w:pPr>
    <w:rPr>
      <w:sz w:val="20"/>
    </w:rPr>
  </w:style>
  <w:style w:type="character" w:customStyle="1" w:styleId="CommentTextChar">
    <w:name w:val="Comment Text Char"/>
    <w:basedOn w:val="DefaultParagraphFont"/>
    <w:link w:val="CommentText"/>
    <w:uiPriority w:val="99"/>
    <w:rsid w:val="00D33C31"/>
    <w:rPr>
      <w:lang w:val="en-GB"/>
    </w:rPr>
  </w:style>
  <w:style w:type="paragraph" w:styleId="CommentSubject">
    <w:name w:val="annotation subject"/>
    <w:basedOn w:val="CommentText"/>
    <w:next w:val="CommentText"/>
    <w:link w:val="CommentSubjectChar"/>
    <w:uiPriority w:val="99"/>
    <w:semiHidden/>
    <w:unhideWhenUsed/>
    <w:rsid w:val="00D33C31"/>
    <w:rPr>
      <w:b/>
      <w:bCs/>
    </w:rPr>
  </w:style>
  <w:style w:type="character" w:customStyle="1" w:styleId="CommentSubjectChar">
    <w:name w:val="Comment Subject Char"/>
    <w:basedOn w:val="CommentTextChar"/>
    <w:link w:val="CommentSubject"/>
    <w:uiPriority w:val="99"/>
    <w:semiHidden/>
    <w:rsid w:val="00D33C31"/>
    <w:rPr>
      <w:b/>
      <w:bCs/>
      <w:lang w:val="en-GB"/>
    </w:rPr>
  </w:style>
  <w:style w:type="character" w:styleId="UnresolvedMention">
    <w:name w:val="Unresolved Mention"/>
    <w:basedOn w:val="DefaultParagraphFont"/>
    <w:uiPriority w:val="99"/>
    <w:semiHidden/>
    <w:unhideWhenUsed/>
    <w:rsid w:val="004E5FF8"/>
    <w:rPr>
      <w:color w:val="605E5C"/>
      <w:shd w:val="clear" w:color="auto" w:fill="E1DFDD"/>
    </w:rPr>
  </w:style>
  <w:style w:type="numbering" w:customStyle="1" w:styleId="CurrentList1">
    <w:name w:val="Current List1"/>
    <w:uiPriority w:val="99"/>
    <w:rsid w:val="00672010"/>
    <w:pPr>
      <w:numPr>
        <w:numId w:val="3"/>
      </w:numPr>
    </w:pPr>
  </w:style>
  <w:style w:type="character" w:customStyle="1" w:styleId="ESMAConfidentialRestricted">
    <w:name w:val="ESMA Confidential/Restricted"/>
    <w:basedOn w:val="Strong"/>
    <w:uiPriority w:val="1"/>
    <w:qFormat/>
    <w:rsid w:val="008858FE"/>
    <w:rPr>
      <w:b w:val="0"/>
      <w:bCs/>
      <w:caps/>
      <w:smallCaps w:val="0"/>
      <w:color w:val="FF0000" w:themeColor="accent6"/>
      <w:sz w:val="22"/>
    </w:rPr>
  </w:style>
  <w:style w:type="paragraph" w:customStyle="1" w:styleId="Disclaimer">
    <w:name w:val="Disclaimer"/>
    <w:basedOn w:val="Normal"/>
    <w:qFormat/>
    <w:rsid w:val="00906D18"/>
    <w:rPr>
      <w:i/>
      <w:iCs/>
      <w:sz w:val="18"/>
      <w:szCs w:val="18"/>
    </w:rPr>
  </w:style>
  <w:style w:type="paragraph" w:customStyle="1" w:styleId="ESMAHeader">
    <w:name w:val="ESMA Header"/>
    <w:basedOn w:val="Header"/>
    <w:qFormat/>
    <w:rsid w:val="00AF6B1E"/>
  </w:style>
  <w:style w:type="paragraph" w:customStyle="1" w:styleId="Pageheader">
    <w:name w:val="Page header"/>
    <w:basedOn w:val="Header"/>
    <w:next w:val="Header"/>
    <w:qFormat/>
    <w:rsid w:val="00AF6B1E"/>
  </w:style>
  <w:style w:type="character" w:customStyle="1" w:styleId="ESMARegularuse">
    <w:name w:val="ESMA Regular use"/>
    <w:basedOn w:val="ESMAConfidentialRestricted"/>
    <w:uiPriority w:val="1"/>
    <w:qFormat/>
    <w:rsid w:val="002A0C3C"/>
    <w:rPr>
      <w:b w:val="0"/>
      <w:bCs/>
      <w:caps/>
      <w:smallCaps w:val="0"/>
      <w:color w:val="007EFF" w:themeColor="text2"/>
      <w:sz w:val="22"/>
    </w:rPr>
  </w:style>
  <w:style w:type="paragraph" w:customStyle="1" w:styleId="References">
    <w:name w:val="References"/>
    <w:basedOn w:val="Normal"/>
    <w:qFormat/>
    <w:rsid w:val="00F205B9"/>
    <w:rPr>
      <w:rFonts w:ascii="Arial" w:eastAsia="Times New Roman" w:hAnsi="Arial" w:cs="Arial"/>
      <w:sz w:val="18"/>
      <w:szCs w:val="18"/>
      <w:lang w:eastAsia="de-DE"/>
    </w:rPr>
  </w:style>
  <w:style w:type="paragraph" w:styleId="TOC5">
    <w:name w:val="toc 5"/>
    <w:basedOn w:val="Normal"/>
    <w:next w:val="Normal"/>
    <w:uiPriority w:val="39"/>
    <w:semiHidden/>
    <w:unhideWhenUsed/>
    <w:qFormat/>
    <w:rsid w:val="00F205B9"/>
    <w:pPr>
      <w:spacing w:after="100"/>
      <w:ind w:left="880"/>
    </w:pPr>
  </w:style>
  <w:style w:type="paragraph" w:styleId="TOC6">
    <w:name w:val="toc 6"/>
    <w:basedOn w:val="Normal"/>
    <w:next w:val="Normal"/>
    <w:uiPriority w:val="39"/>
    <w:semiHidden/>
    <w:unhideWhenUsed/>
    <w:qFormat/>
    <w:rsid w:val="00F205B9"/>
    <w:pPr>
      <w:spacing w:after="100"/>
      <w:ind w:left="1100"/>
    </w:pPr>
  </w:style>
  <w:style w:type="paragraph" w:styleId="TOC7">
    <w:name w:val="toc 7"/>
    <w:basedOn w:val="Normal"/>
    <w:next w:val="Normal"/>
    <w:uiPriority w:val="39"/>
    <w:semiHidden/>
    <w:unhideWhenUsed/>
    <w:qFormat/>
    <w:rsid w:val="00F205B9"/>
    <w:pPr>
      <w:spacing w:after="100"/>
      <w:ind w:left="1320"/>
    </w:pPr>
  </w:style>
  <w:style w:type="paragraph" w:styleId="TOC8">
    <w:name w:val="toc 8"/>
    <w:basedOn w:val="Normal"/>
    <w:next w:val="Normal"/>
    <w:uiPriority w:val="39"/>
    <w:semiHidden/>
    <w:unhideWhenUsed/>
    <w:qFormat/>
    <w:rsid w:val="00F205B9"/>
    <w:pPr>
      <w:spacing w:after="100"/>
      <w:ind w:left="1540"/>
    </w:pPr>
  </w:style>
  <w:style w:type="paragraph" w:styleId="TOC9">
    <w:name w:val="toc 9"/>
    <w:basedOn w:val="Normal"/>
    <w:next w:val="Normal"/>
    <w:uiPriority w:val="39"/>
    <w:semiHidden/>
    <w:unhideWhenUsed/>
    <w:qFormat/>
    <w:rsid w:val="00F205B9"/>
    <w:pPr>
      <w:spacing w:after="100"/>
      <w:ind w:left="1760"/>
    </w:pPr>
  </w:style>
  <w:style w:type="character" w:styleId="FollowedHyperlink">
    <w:name w:val="FollowedHyperlink"/>
    <w:basedOn w:val="DefaultParagraphFont"/>
    <w:uiPriority w:val="99"/>
    <w:semiHidden/>
    <w:unhideWhenUsed/>
    <w:rsid w:val="0043139E"/>
    <w:rPr>
      <w:color w:val="0174AF" w:themeColor="followedHyperlink"/>
      <w:u w:val="single"/>
    </w:rPr>
  </w:style>
  <w:style w:type="character" w:customStyle="1" w:styleId="ListParagraphChar">
    <w:name w:val="List Paragraph Char"/>
    <w:aliases w:val="Paragraphe EI Char,Paragraphe de liste1 Char,EC Char"/>
    <w:link w:val="ListParagraph"/>
    <w:uiPriority w:val="34"/>
    <w:locked/>
    <w:rsid w:val="00EC6066"/>
    <w:rPr>
      <w:rFonts w:asciiTheme="majorHAnsi" w:hAnsiTheme="majorHAnsi" w:cstheme="majorHAnsi"/>
      <w:color w:val="181818" w:themeColor="background1" w:themeShade="1A"/>
      <w:sz w:val="22"/>
      <w:szCs w:val="22"/>
      <w:lang w:val="pt-PT"/>
    </w:rPr>
  </w:style>
  <w:style w:type="paragraph" w:styleId="Revision">
    <w:name w:val="Revision"/>
    <w:hidden/>
    <w:uiPriority w:val="99"/>
    <w:semiHidden/>
    <w:rsid w:val="004D5513"/>
    <w:pPr>
      <w:spacing w:after="0" w:line="240" w:lineRule="auto"/>
    </w:pPr>
    <w:rPr>
      <w:color w:val="181818" w:themeColor="background1" w:themeShade="1A"/>
      <w:sz w:val="22"/>
      <w:lang w:val="en-GB"/>
    </w:rPr>
  </w:style>
  <w:style w:type="paragraph" w:customStyle="1" w:styleId="pf0">
    <w:name w:val="pf0"/>
    <w:basedOn w:val="Normal"/>
    <w:rsid w:val="00061F32"/>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character" w:customStyle="1" w:styleId="cf01">
    <w:name w:val="cf01"/>
    <w:basedOn w:val="DefaultParagraphFont"/>
    <w:rsid w:val="00061F32"/>
    <w:rPr>
      <w:rFonts w:ascii="Segoe UI" w:hAnsi="Segoe UI" w:cs="Segoe UI" w:hint="default"/>
      <w:sz w:val="18"/>
      <w:szCs w:val="18"/>
    </w:rPr>
  </w:style>
  <w:style w:type="character" w:customStyle="1" w:styleId="cf11">
    <w:name w:val="cf11"/>
    <w:basedOn w:val="DefaultParagraphFont"/>
    <w:rsid w:val="00061F32"/>
    <w:rPr>
      <w:rFonts w:ascii="Segoe UI" w:hAnsi="Segoe UI" w:cs="Segoe UI" w:hint="default"/>
      <w:color w:val="333333"/>
      <w:sz w:val="18"/>
      <w:szCs w:val="18"/>
      <w:shd w:val="clear" w:color="auto" w:fill="FFFFFF"/>
    </w:rPr>
  </w:style>
  <w:style w:type="character" w:styleId="Mention">
    <w:name w:val="Mention"/>
    <w:basedOn w:val="DefaultParagraphFont"/>
    <w:uiPriority w:val="99"/>
    <w:unhideWhenUsed/>
    <w:rsid w:val="00251F26"/>
    <w:rPr>
      <w:color w:val="2B579A"/>
      <w:shd w:val="clear" w:color="auto" w:fill="E1DFDD"/>
    </w:rPr>
  </w:style>
  <w:style w:type="character" w:styleId="PlaceholderText">
    <w:name w:val="Placeholder Text"/>
    <w:basedOn w:val="DefaultParagraphFont"/>
    <w:uiPriority w:val="99"/>
    <w:semiHidden/>
    <w:rsid w:val="00635BCA"/>
    <w:rPr>
      <w:color w:val="808080"/>
    </w:rPr>
  </w:style>
  <w:style w:type="paragraph" w:customStyle="1" w:styleId="para">
    <w:name w:val="para"/>
    <w:basedOn w:val="ListParagraph"/>
    <w:link w:val="paraChar"/>
    <w:qFormat/>
    <w:rsid w:val="00641F03"/>
    <w:pPr>
      <w:numPr>
        <w:numId w:val="0"/>
      </w:numPr>
      <w:ind w:left="360" w:hanging="360"/>
    </w:pPr>
    <w:rPr>
      <w:rFonts w:asciiTheme="minorHAnsi" w:hAnsiTheme="minorHAnsi" w:cstheme="minorBidi"/>
      <w:bCs/>
      <w:iCs/>
      <w:szCs w:val="20"/>
      <w:lang w:val="en-GB"/>
    </w:rPr>
  </w:style>
  <w:style w:type="character" w:customStyle="1" w:styleId="paraChar">
    <w:name w:val="para Char"/>
    <w:basedOn w:val="DefaultParagraphFont"/>
    <w:link w:val="para"/>
    <w:rsid w:val="00641F03"/>
    <w:rPr>
      <w:bCs/>
      <w:iCs/>
      <w:color w:val="181818" w:themeColor="background1" w:themeShade="1A"/>
      <w:sz w:val="22"/>
      <w:lang w:val="en-GB"/>
    </w:rPr>
  </w:style>
  <w:style w:type="character" w:customStyle="1" w:styleId="normaltextrun">
    <w:name w:val="normaltextrun"/>
    <w:basedOn w:val="DefaultParagraphFont"/>
    <w:rsid w:val="00F60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850870">
      <w:bodyDiv w:val="1"/>
      <w:marLeft w:val="0"/>
      <w:marRight w:val="0"/>
      <w:marTop w:val="0"/>
      <w:marBottom w:val="0"/>
      <w:divBdr>
        <w:top w:val="none" w:sz="0" w:space="0" w:color="auto"/>
        <w:left w:val="none" w:sz="0" w:space="0" w:color="auto"/>
        <w:bottom w:val="none" w:sz="0" w:space="0" w:color="auto"/>
        <w:right w:val="none" w:sz="0" w:space="0" w:color="auto"/>
      </w:divBdr>
    </w:div>
    <w:div w:id="133721471">
      <w:bodyDiv w:val="1"/>
      <w:marLeft w:val="0"/>
      <w:marRight w:val="0"/>
      <w:marTop w:val="0"/>
      <w:marBottom w:val="0"/>
      <w:divBdr>
        <w:top w:val="none" w:sz="0" w:space="0" w:color="auto"/>
        <w:left w:val="none" w:sz="0" w:space="0" w:color="auto"/>
        <w:bottom w:val="none" w:sz="0" w:space="0" w:color="auto"/>
        <w:right w:val="none" w:sz="0" w:space="0" w:color="auto"/>
      </w:divBdr>
    </w:div>
    <w:div w:id="290206457">
      <w:bodyDiv w:val="1"/>
      <w:marLeft w:val="0"/>
      <w:marRight w:val="0"/>
      <w:marTop w:val="0"/>
      <w:marBottom w:val="0"/>
      <w:divBdr>
        <w:top w:val="none" w:sz="0" w:space="0" w:color="auto"/>
        <w:left w:val="none" w:sz="0" w:space="0" w:color="auto"/>
        <w:bottom w:val="none" w:sz="0" w:space="0" w:color="auto"/>
        <w:right w:val="none" w:sz="0" w:space="0" w:color="auto"/>
      </w:divBdr>
    </w:div>
    <w:div w:id="314531115">
      <w:bodyDiv w:val="1"/>
      <w:marLeft w:val="0"/>
      <w:marRight w:val="0"/>
      <w:marTop w:val="0"/>
      <w:marBottom w:val="0"/>
      <w:divBdr>
        <w:top w:val="none" w:sz="0" w:space="0" w:color="auto"/>
        <w:left w:val="none" w:sz="0" w:space="0" w:color="auto"/>
        <w:bottom w:val="none" w:sz="0" w:space="0" w:color="auto"/>
        <w:right w:val="none" w:sz="0" w:space="0" w:color="auto"/>
      </w:divBdr>
    </w:div>
    <w:div w:id="325936776">
      <w:bodyDiv w:val="1"/>
      <w:marLeft w:val="0"/>
      <w:marRight w:val="0"/>
      <w:marTop w:val="0"/>
      <w:marBottom w:val="0"/>
      <w:divBdr>
        <w:top w:val="none" w:sz="0" w:space="0" w:color="auto"/>
        <w:left w:val="none" w:sz="0" w:space="0" w:color="auto"/>
        <w:bottom w:val="none" w:sz="0" w:space="0" w:color="auto"/>
        <w:right w:val="none" w:sz="0" w:space="0" w:color="auto"/>
      </w:divBdr>
    </w:div>
    <w:div w:id="350421945">
      <w:bodyDiv w:val="1"/>
      <w:marLeft w:val="0"/>
      <w:marRight w:val="0"/>
      <w:marTop w:val="0"/>
      <w:marBottom w:val="0"/>
      <w:divBdr>
        <w:top w:val="none" w:sz="0" w:space="0" w:color="auto"/>
        <w:left w:val="none" w:sz="0" w:space="0" w:color="auto"/>
        <w:bottom w:val="none" w:sz="0" w:space="0" w:color="auto"/>
        <w:right w:val="none" w:sz="0" w:space="0" w:color="auto"/>
      </w:divBdr>
    </w:div>
    <w:div w:id="381683110">
      <w:bodyDiv w:val="1"/>
      <w:marLeft w:val="0"/>
      <w:marRight w:val="0"/>
      <w:marTop w:val="0"/>
      <w:marBottom w:val="0"/>
      <w:divBdr>
        <w:top w:val="none" w:sz="0" w:space="0" w:color="auto"/>
        <w:left w:val="none" w:sz="0" w:space="0" w:color="auto"/>
        <w:bottom w:val="none" w:sz="0" w:space="0" w:color="auto"/>
        <w:right w:val="none" w:sz="0" w:space="0" w:color="auto"/>
      </w:divBdr>
      <w:divsChild>
        <w:div w:id="331496546">
          <w:marLeft w:val="0"/>
          <w:marRight w:val="0"/>
          <w:marTop w:val="0"/>
          <w:marBottom w:val="0"/>
          <w:divBdr>
            <w:top w:val="none" w:sz="0" w:space="0" w:color="auto"/>
            <w:left w:val="none" w:sz="0" w:space="0" w:color="auto"/>
            <w:bottom w:val="none" w:sz="0" w:space="0" w:color="auto"/>
            <w:right w:val="none" w:sz="0" w:space="0" w:color="auto"/>
          </w:divBdr>
        </w:div>
        <w:div w:id="1396322328">
          <w:marLeft w:val="0"/>
          <w:marRight w:val="0"/>
          <w:marTop w:val="0"/>
          <w:marBottom w:val="0"/>
          <w:divBdr>
            <w:top w:val="none" w:sz="0" w:space="0" w:color="auto"/>
            <w:left w:val="none" w:sz="0" w:space="0" w:color="auto"/>
            <w:bottom w:val="none" w:sz="0" w:space="0" w:color="auto"/>
            <w:right w:val="none" w:sz="0" w:space="0" w:color="auto"/>
          </w:divBdr>
        </w:div>
      </w:divsChild>
    </w:div>
    <w:div w:id="429936613">
      <w:bodyDiv w:val="1"/>
      <w:marLeft w:val="0"/>
      <w:marRight w:val="0"/>
      <w:marTop w:val="0"/>
      <w:marBottom w:val="0"/>
      <w:divBdr>
        <w:top w:val="none" w:sz="0" w:space="0" w:color="auto"/>
        <w:left w:val="none" w:sz="0" w:space="0" w:color="auto"/>
        <w:bottom w:val="none" w:sz="0" w:space="0" w:color="auto"/>
        <w:right w:val="none" w:sz="0" w:space="0" w:color="auto"/>
      </w:divBdr>
    </w:div>
    <w:div w:id="438109127">
      <w:bodyDiv w:val="1"/>
      <w:marLeft w:val="0"/>
      <w:marRight w:val="0"/>
      <w:marTop w:val="0"/>
      <w:marBottom w:val="0"/>
      <w:divBdr>
        <w:top w:val="none" w:sz="0" w:space="0" w:color="auto"/>
        <w:left w:val="none" w:sz="0" w:space="0" w:color="auto"/>
        <w:bottom w:val="none" w:sz="0" w:space="0" w:color="auto"/>
        <w:right w:val="none" w:sz="0" w:space="0" w:color="auto"/>
      </w:divBdr>
    </w:div>
    <w:div w:id="512767110">
      <w:bodyDiv w:val="1"/>
      <w:marLeft w:val="0"/>
      <w:marRight w:val="0"/>
      <w:marTop w:val="0"/>
      <w:marBottom w:val="0"/>
      <w:divBdr>
        <w:top w:val="none" w:sz="0" w:space="0" w:color="auto"/>
        <w:left w:val="none" w:sz="0" w:space="0" w:color="auto"/>
        <w:bottom w:val="none" w:sz="0" w:space="0" w:color="auto"/>
        <w:right w:val="none" w:sz="0" w:space="0" w:color="auto"/>
      </w:divBdr>
    </w:div>
    <w:div w:id="534544113">
      <w:bodyDiv w:val="1"/>
      <w:marLeft w:val="0"/>
      <w:marRight w:val="0"/>
      <w:marTop w:val="0"/>
      <w:marBottom w:val="0"/>
      <w:divBdr>
        <w:top w:val="none" w:sz="0" w:space="0" w:color="auto"/>
        <w:left w:val="none" w:sz="0" w:space="0" w:color="auto"/>
        <w:bottom w:val="none" w:sz="0" w:space="0" w:color="auto"/>
        <w:right w:val="none" w:sz="0" w:space="0" w:color="auto"/>
      </w:divBdr>
    </w:div>
    <w:div w:id="587158233">
      <w:bodyDiv w:val="1"/>
      <w:marLeft w:val="0"/>
      <w:marRight w:val="0"/>
      <w:marTop w:val="0"/>
      <w:marBottom w:val="0"/>
      <w:divBdr>
        <w:top w:val="none" w:sz="0" w:space="0" w:color="auto"/>
        <w:left w:val="none" w:sz="0" w:space="0" w:color="auto"/>
        <w:bottom w:val="none" w:sz="0" w:space="0" w:color="auto"/>
        <w:right w:val="none" w:sz="0" w:space="0" w:color="auto"/>
      </w:divBdr>
    </w:div>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752361583">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865211900">
      <w:bodyDiv w:val="1"/>
      <w:marLeft w:val="0"/>
      <w:marRight w:val="0"/>
      <w:marTop w:val="0"/>
      <w:marBottom w:val="0"/>
      <w:divBdr>
        <w:top w:val="none" w:sz="0" w:space="0" w:color="auto"/>
        <w:left w:val="none" w:sz="0" w:space="0" w:color="auto"/>
        <w:bottom w:val="none" w:sz="0" w:space="0" w:color="auto"/>
        <w:right w:val="none" w:sz="0" w:space="0" w:color="auto"/>
      </w:divBdr>
    </w:div>
    <w:div w:id="985351573">
      <w:bodyDiv w:val="1"/>
      <w:marLeft w:val="0"/>
      <w:marRight w:val="0"/>
      <w:marTop w:val="0"/>
      <w:marBottom w:val="0"/>
      <w:divBdr>
        <w:top w:val="none" w:sz="0" w:space="0" w:color="auto"/>
        <w:left w:val="none" w:sz="0" w:space="0" w:color="auto"/>
        <w:bottom w:val="none" w:sz="0" w:space="0" w:color="auto"/>
        <w:right w:val="none" w:sz="0" w:space="0" w:color="auto"/>
      </w:divBdr>
    </w:div>
    <w:div w:id="119291652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66757400">
      <w:bodyDiv w:val="1"/>
      <w:marLeft w:val="0"/>
      <w:marRight w:val="0"/>
      <w:marTop w:val="0"/>
      <w:marBottom w:val="0"/>
      <w:divBdr>
        <w:top w:val="none" w:sz="0" w:space="0" w:color="auto"/>
        <w:left w:val="none" w:sz="0" w:space="0" w:color="auto"/>
        <w:bottom w:val="none" w:sz="0" w:space="0" w:color="auto"/>
        <w:right w:val="none" w:sz="0" w:space="0" w:color="auto"/>
      </w:divBdr>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541240457">
      <w:bodyDiv w:val="1"/>
      <w:marLeft w:val="0"/>
      <w:marRight w:val="0"/>
      <w:marTop w:val="0"/>
      <w:marBottom w:val="0"/>
      <w:divBdr>
        <w:top w:val="none" w:sz="0" w:space="0" w:color="auto"/>
        <w:left w:val="none" w:sz="0" w:space="0" w:color="auto"/>
        <w:bottom w:val="none" w:sz="0" w:space="0" w:color="auto"/>
        <w:right w:val="none" w:sz="0" w:space="0" w:color="auto"/>
      </w:divBdr>
    </w:div>
    <w:div w:id="1565680347">
      <w:bodyDiv w:val="1"/>
      <w:marLeft w:val="0"/>
      <w:marRight w:val="0"/>
      <w:marTop w:val="0"/>
      <w:marBottom w:val="0"/>
      <w:divBdr>
        <w:top w:val="none" w:sz="0" w:space="0" w:color="auto"/>
        <w:left w:val="none" w:sz="0" w:space="0" w:color="auto"/>
        <w:bottom w:val="none" w:sz="0" w:space="0" w:color="auto"/>
        <w:right w:val="none" w:sz="0" w:space="0" w:color="auto"/>
      </w:divBdr>
    </w:div>
    <w:div w:id="1635792617">
      <w:bodyDiv w:val="1"/>
      <w:marLeft w:val="0"/>
      <w:marRight w:val="0"/>
      <w:marTop w:val="0"/>
      <w:marBottom w:val="0"/>
      <w:divBdr>
        <w:top w:val="none" w:sz="0" w:space="0" w:color="auto"/>
        <w:left w:val="none" w:sz="0" w:space="0" w:color="auto"/>
        <w:bottom w:val="none" w:sz="0" w:space="0" w:color="auto"/>
        <w:right w:val="none" w:sz="0" w:space="0" w:color="auto"/>
      </w:divBdr>
    </w:div>
    <w:div w:id="1688021496">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islaemea.org/common-domain-model/" TargetMode="External"/><Relationship Id="rId2" Type="http://schemas.openxmlformats.org/officeDocument/2006/relationships/customXml" Target="../customXml/item2.xml"/><Relationship Id="rId16" Type="http://schemas.openxmlformats.org/officeDocument/2006/relationships/hyperlink" Target="https://www.esma.europa.eu/about-esma/data-protectio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esma.europa.eu"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sma.europa.eu"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B304192735D4F2E9B95179F2819F853"/>
        <w:category>
          <w:name w:val="General"/>
          <w:gallery w:val="placeholder"/>
        </w:category>
        <w:types>
          <w:type w:val="bbPlcHdr"/>
        </w:types>
        <w:behaviors>
          <w:behavior w:val="content"/>
        </w:behaviors>
        <w:guid w:val="{9DB6FAE4-1871-4E9F-B9AA-DA225D5E24BD}"/>
      </w:docPartPr>
      <w:docPartBody>
        <w:p w:rsidR="002536E7" w:rsidRDefault="006954E6" w:rsidP="006954E6">
          <w:pPr>
            <w:pStyle w:val="BB304192735D4F2E9B95179F2819F853"/>
          </w:pPr>
          <w:r w:rsidRPr="00DA1A90">
            <w:rPr>
              <w:rStyle w:val="PlaceholderText"/>
            </w:rPr>
            <w:t>Click or tap here to enter text.</w:t>
          </w:r>
        </w:p>
      </w:docPartBody>
    </w:docPart>
    <w:docPart>
      <w:docPartPr>
        <w:name w:val="01EE1C7859204274A669423EC64EE100"/>
        <w:category>
          <w:name w:val="General"/>
          <w:gallery w:val="placeholder"/>
        </w:category>
        <w:types>
          <w:type w:val="bbPlcHdr"/>
        </w:types>
        <w:behaviors>
          <w:behavior w:val="content"/>
        </w:behaviors>
        <w:guid w:val="{757FA870-D7B8-4D07-B038-E1E8D580F7D7}"/>
      </w:docPartPr>
      <w:docPartBody>
        <w:p w:rsidR="002536E7" w:rsidRDefault="006954E6" w:rsidP="006954E6">
          <w:pPr>
            <w:pStyle w:val="01EE1C7859204274A669423EC64EE100"/>
          </w:pPr>
          <w:r w:rsidRPr="00DA1A90">
            <w:rPr>
              <w:rStyle w:val="PlaceholderText"/>
            </w:rPr>
            <w:t>Choose an item.</w:t>
          </w:r>
        </w:p>
      </w:docPartBody>
    </w:docPart>
    <w:docPart>
      <w:docPartPr>
        <w:name w:val="D404D71EE61B44F68217F5015889DA12"/>
        <w:category>
          <w:name w:val="General"/>
          <w:gallery w:val="placeholder"/>
        </w:category>
        <w:types>
          <w:type w:val="bbPlcHdr"/>
        </w:types>
        <w:behaviors>
          <w:behavior w:val="content"/>
        </w:behaviors>
        <w:guid w:val="{A0BB575F-9042-4C4F-B22F-EEA879E69A3D}"/>
      </w:docPartPr>
      <w:docPartBody>
        <w:p w:rsidR="002536E7" w:rsidRDefault="006954E6" w:rsidP="006954E6">
          <w:pPr>
            <w:pStyle w:val="D404D71EE61B44F68217F5015889DA12"/>
          </w:pPr>
          <w:r w:rsidRPr="00DA1A9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06"/>
    <w:rsid w:val="000B5175"/>
    <w:rsid w:val="000C0B68"/>
    <w:rsid w:val="0015768C"/>
    <w:rsid w:val="002536E7"/>
    <w:rsid w:val="00254E75"/>
    <w:rsid w:val="0034145D"/>
    <w:rsid w:val="00372212"/>
    <w:rsid w:val="0040523B"/>
    <w:rsid w:val="004E4CF9"/>
    <w:rsid w:val="005D66AB"/>
    <w:rsid w:val="005E2E6E"/>
    <w:rsid w:val="006954E6"/>
    <w:rsid w:val="006D3543"/>
    <w:rsid w:val="00701E25"/>
    <w:rsid w:val="00813189"/>
    <w:rsid w:val="008222A0"/>
    <w:rsid w:val="00836D47"/>
    <w:rsid w:val="00902091"/>
    <w:rsid w:val="009430AA"/>
    <w:rsid w:val="009B6B9C"/>
    <w:rsid w:val="00B07345"/>
    <w:rsid w:val="00B22006"/>
    <w:rsid w:val="00B46CAE"/>
    <w:rsid w:val="00D52831"/>
    <w:rsid w:val="00DC3796"/>
    <w:rsid w:val="00DC4211"/>
    <w:rsid w:val="00EE3D34"/>
    <w:rsid w:val="00F81463"/>
    <w:rsid w:val="00FD76A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54E6"/>
    <w:rPr>
      <w:color w:val="808080"/>
    </w:rPr>
  </w:style>
  <w:style w:type="paragraph" w:customStyle="1" w:styleId="BB304192735D4F2E9B95179F2819F853">
    <w:name w:val="BB304192735D4F2E9B95179F2819F853"/>
    <w:rsid w:val="006954E6"/>
    <w:rPr>
      <w:kern w:val="2"/>
      <w14:ligatures w14:val="standardContextual"/>
    </w:rPr>
  </w:style>
  <w:style w:type="paragraph" w:customStyle="1" w:styleId="01EE1C7859204274A669423EC64EE100">
    <w:name w:val="01EE1C7859204274A669423EC64EE100"/>
    <w:rsid w:val="006954E6"/>
    <w:rPr>
      <w:kern w:val="2"/>
      <w14:ligatures w14:val="standardContextual"/>
    </w:rPr>
  </w:style>
  <w:style w:type="paragraph" w:customStyle="1" w:styleId="D404D71EE61B44F68217F5015889DA12">
    <w:name w:val="D404D71EE61B44F68217F5015889DA12"/>
    <w:rsid w:val="006954E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5448B2187A3C4E82B143AC0F07903F" ma:contentTypeVersion="18" ma:contentTypeDescription="Create a new document." ma:contentTypeScope="" ma:versionID="372021a506386316be5e062a9cdc648f">
  <xsd:schema xmlns:xsd="http://www.w3.org/2001/XMLSchema" xmlns:xs="http://www.w3.org/2001/XMLSchema" xmlns:p="http://schemas.microsoft.com/office/2006/metadata/properties" xmlns:ns2="d64c42e7-81ce-41a0-b6c1-57d6e2805238" xmlns:ns3="3ecf9566-b028-45c4-a091-e1d15b972bf0" targetNamespace="http://schemas.microsoft.com/office/2006/metadata/properties" ma:root="true" ma:fieldsID="0dcaf22dafa89d5d2b949a297292486c" ns2:_="" ns3:_="">
    <xsd:import namespace="d64c42e7-81ce-41a0-b6c1-57d6e2805238"/>
    <xsd:import namespace="3ecf9566-b028-45c4-a091-e1d15b972bf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4c42e7-81ce-41a0-b6c1-57d6e28052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342193b-1599-4434-b7af-91a0f1fddc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cf9566-b028-45c4-a091-e1d15b972bf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d444d58-9417-49a1-b67f-d44d02dda1bb}" ma:internalName="TaxCatchAll" ma:showField="CatchAllData" ma:web="3ecf9566-b028-45c4-a091-e1d15b972b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3ecf9566-b028-45c4-a091-e1d15b972bf0" xsi:nil="true"/>
    <SharedWithUsers xmlns="3ecf9566-b028-45c4-a091-e1d15b972bf0">
      <UserInfo>
        <DisplayName>Kian Navid</DisplayName>
        <AccountId>329</AccountId>
        <AccountType/>
      </UserInfo>
      <UserInfo>
        <DisplayName>Christian Winkler</DisplayName>
        <AccountId>215</AccountId>
        <AccountType/>
      </UserInfo>
      <UserInfo>
        <DisplayName>Iris Hude</DisplayName>
        <AccountId>186</AccountId>
        <AccountType/>
      </UserInfo>
    </SharedWithUsers>
    <lcf76f155ced4ddcb4097134ff3c332f xmlns="d64c42e7-81ce-41a0-b6c1-57d6e280523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A2A1BA-8A48-4B84-A35E-80E9BAB5AC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4c42e7-81ce-41a0-b6c1-57d6e2805238"/>
    <ds:schemaRef ds:uri="3ecf9566-b028-45c4-a091-e1d15b972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5E8DB7-9625-4A6C-BC69-4BD924304874}">
  <ds:schemaRefs>
    <ds:schemaRef ds:uri="http://schemas.openxmlformats.org/officeDocument/2006/bibliography"/>
  </ds:schemaRefs>
</ds:datastoreItem>
</file>

<file path=customXml/itemProps3.xml><?xml version="1.0" encoding="utf-8"?>
<ds:datastoreItem xmlns:ds="http://schemas.openxmlformats.org/officeDocument/2006/customXml" ds:itemID="{4AE7858C-3128-45EF-AE36-4A7D702B3BF5}">
  <ds:schemaRefs>
    <ds:schemaRef ds:uri="http://schemas.microsoft.com/office/2006/metadata/properties"/>
    <ds:schemaRef ds:uri="http://schemas.microsoft.com/office/infopath/2007/PartnerControls"/>
    <ds:schemaRef ds:uri="3ecf9566-b028-45c4-a091-e1d15b972bf0"/>
    <ds:schemaRef ds:uri="d64c42e7-81ce-41a0-b6c1-57d6e2805238"/>
  </ds:schemaRefs>
</ds:datastoreItem>
</file>

<file path=customXml/itemProps4.xml><?xml version="1.0" encoding="utf-8"?>
<ds:datastoreItem xmlns:ds="http://schemas.openxmlformats.org/officeDocument/2006/customXml" ds:itemID="{92F8F2DF-DA9D-4E3B-AF8A-ABDFC91351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6666</Words>
  <Characters>38001</Characters>
  <Application>Microsoft Office Word</Application>
  <DocSecurity>8</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Adrian Dale</cp:lastModifiedBy>
  <cp:revision>8</cp:revision>
  <cp:lastPrinted>2023-09-09T00:53:00Z</cp:lastPrinted>
  <dcterms:created xsi:type="dcterms:W3CDTF">2025-04-14T12:37:00Z</dcterms:created>
  <dcterms:modified xsi:type="dcterms:W3CDTF">2025-04-14T13:28:00Z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0x0101005D5448B2187A3C4E82B143AC0F07903F</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d63460df-cf6d-4797-8d07-76b1b5190631</vt:lpwstr>
  </property>
  <property fmtid="{D5CDD505-2E9C-101B-9397-08002B2CF9AE}" pid="8" name="Topic">
    <vt:lpwstr>296</vt:lpwstr>
  </property>
  <property fmtid="{D5CDD505-2E9C-101B-9397-08002B2CF9AE}" pid="9" name="ConfidentialityLevel">
    <vt:lpwstr>6;#Regular|07f1e362-856b-423d-bea6-a14079762141</vt:lpwstr>
  </property>
  <property fmtid="{D5CDD505-2E9C-101B-9397-08002B2CF9AE}" pid="10" name="DocumentType">
    <vt:lpwstr>282;#Call for Evidence|4dd13041-d074-4513-b0c9-9d450ea451f0</vt:lpwstr>
  </property>
  <property fmtid="{D5CDD505-2E9C-101B-9397-08002B2CF9AE}" pid="11" name="Order">
    <vt:r8>52000</vt:r8>
  </property>
  <property fmtid="{D5CDD505-2E9C-101B-9397-08002B2CF9AE}" pid="12" name="DocumentSetDescription">
    <vt:lpwstr/>
  </property>
  <property fmtid="{D5CDD505-2E9C-101B-9397-08002B2CF9AE}" pid="13" name="TeamName">
    <vt:lpwstr>9</vt:lpwstr>
  </property>
  <property fmtid="{D5CDD505-2E9C-101B-9397-08002B2CF9AE}" pid="14" name="MediaServiceImageTags">
    <vt:lpwstr/>
  </property>
  <property fmtid="{D5CDD505-2E9C-101B-9397-08002B2CF9AE}" pid="15" name="SubTopic">
    <vt:lpwstr>307</vt:lpwstr>
  </property>
</Properties>
</file>