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3B41FE3C" w14:textId="77777777" w:rsidR="00D465F8" w:rsidRDefault="00D465F8" w:rsidP="00F72D28">
          <w:pPr>
            <w:pStyle w:val="Titolo"/>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olo"/>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olo"/>
            <w:rPr>
              <w:rFonts w:asciiTheme="minorHAnsi" w:eastAsiaTheme="minorEastAsia" w:hAnsiTheme="minorHAnsi" w:cstheme="minorBidi"/>
              <w:b w:val="0"/>
              <w:color w:val="181818" w:themeColor="background1" w:themeShade="1A"/>
              <w:spacing w:val="0"/>
              <w:sz w:val="28"/>
              <w:szCs w:val="28"/>
            </w:rPr>
          </w:pPr>
        </w:p>
        <w:p w14:paraId="01438AE1" w14:textId="023C9089" w:rsidR="00563C1F" w:rsidRDefault="00EC6066" w:rsidP="00F72D28">
          <w:pPr>
            <w:pStyle w:val="Titolo"/>
          </w:pPr>
          <w:r>
            <w:t xml:space="preserve">Reply </w:t>
          </w:r>
          <w:r w:rsidR="00DD03DC">
            <w:t>F</w:t>
          </w:r>
          <w:r>
            <w:t>orm</w:t>
          </w:r>
        </w:p>
        <w:p w14:paraId="031F2108" w14:textId="42AAFBB0" w:rsidR="007E7997" w:rsidRPr="00C01571" w:rsidRDefault="00113E80" w:rsidP="00D77369">
          <w:pPr>
            <w:pStyle w:val="Sottotitolo"/>
            <w:rPr>
              <w:rFonts w:cs="Arial"/>
              <w:sz w:val="36"/>
              <w:szCs w:val="36"/>
            </w:rPr>
          </w:pPr>
          <w:r>
            <w:rPr>
              <w:rStyle w:val="normaltextrun"/>
              <w:rFonts w:ascii="Arial" w:hAnsi="Arial" w:cs="Arial"/>
              <w:color w:val="181818"/>
              <w:szCs w:val="28"/>
              <w:bdr w:val="none" w:sz="0" w:space="0" w:color="auto" w:frame="1"/>
            </w:rPr>
            <w:t xml:space="preserve">Consultation Paper on the Amendments to the RTS on Settlement Discipline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DD53FE6"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ttotito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foelenco"/>
            <w:rPr>
              <w:lang w:val="en-GB"/>
            </w:rPr>
          </w:pPr>
          <w:r w:rsidRPr="00DB2FD6">
            <w:rPr>
              <w:lang w:val="en-GB"/>
            </w:rPr>
            <w:t>respond to the question stated;</w:t>
          </w:r>
        </w:p>
        <w:p w14:paraId="72FD40F6" w14:textId="77777777" w:rsidR="002533FC" w:rsidRPr="00DB2FD6" w:rsidRDefault="002533FC" w:rsidP="00EC6066">
          <w:pPr>
            <w:pStyle w:val="Paragrafoelenco"/>
            <w:rPr>
              <w:lang w:val="en-GB"/>
            </w:rPr>
          </w:pPr>
          <w:r w:rsidRPr="00DB2FD6">
            <w:rPr>
              <w:lang w:val="en-GB"/>
            </w:rPr>
            <w:t>indicate the specific question to which the comment relates;</w:t>
          </w:r>
        </w:p>
        <w:p w14:paraId="78B206B7" w14:textId="77777777" w:rsidR="002533FC" w:rsidRPr="00E13D25" w:rsidRDefault="002533FC" w:rsidP="00EC6066">
          <w:pPr>
            <w:pStyle w:val="Paragrafoelenco"/>
          </w:pPr>
          <w:r w:rsidRPr="00E13D25">
            <w:t>contain a clear rationale; and</w:t>
          </w:r>
        </w:p>
        <w:p w14:paraId="60B8834E" w14:textId="77777777" w:rsidR="002533FC" w:rsidRPr="00DB2FD6" w:rsidRDefault="002533FC" w:rsidP="00EC6066">
          <w:pPr>
            <w:pStyle w:val="Paragrafoelenco"/>
            <w:rPr>
              <w:lang w:val="en-GB"/>
            </w:rPr>
          </w:pPr>
          <w:r w:rsidRPr="00DB2FD6">
            <w:rPr>
              <w:lang w:val="en-GB"/>
            </w:rPr>
            <w:t>describe any alternatives ESMA should consider.</w:t>
          </w:r>
        </w:p>
        <w:p w14:paraId="219225AC" w14:textId="38E74FD1" w:rsidR="002533FC" w:rsidRPr="005B6B12" w:rsidRDefault="002533FC" w:rsidP="002533FC">
          <w:r w:rsidRPr="005B6B12">
            <w:t xml:space="preserve">ESMA will consider all comments received by </w:t>
          </w:r>
          <w:r w:rsidR="00113E80">
            <w:rPr>
              <w:b/>
            </w:rPr>
            <w:t>14 April 2025</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Collegamentoipertestuale"/>
              </w:rPr>
              <w:t>www.esma.europa.eu</w:t>
            </w:r>
          </w:hyperlink>
          <w:r w:rsidRPr="005B6B12">
            <w:t xml:space="preserve"> under the heading ‘Your input - Consultations’. </w:t>
          </w:r>
        </w:p>
        <w:p w14:paraId="5E44C845" w14:textId="77777777" w:rsidR="00EC6066" w:rsidRPr="0026459D" w:rsidRDefault="00EC6066" w:rsidP="00EC6066">
          <w:pPr>
            <w:pStyle w:val="Sottotito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3046E949"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ED75A2">
            <w:rPr>
              <w:bCs/>
            </w:rPr>
            <w:t>C</w:t>
          </w:r>
          <w:r w:rsidR="005B2269">
            <w:rPr>
              <w:bCs/>
            </w:rPr>
            <w:t>SDC</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1341D4ED"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ED75A2">
            <w:rPr>
              <w:bCs/>
            </w:rPr>
            <w:t>C</w:t>
          </w:r>
          <w:r w:rsidR="005B2269">
            <w:rPr>
              <w:bCs/>
            </w:rPr>
            <w:t>SDC</w:t>
          </w:r>
          <w:r w:rsidRPr="00C5469A">
            <w:rPr>
              <w:bCs/>
            </w:rPr>
            <w:t xml:space="preserve">_nameofrespondent. </w:t>
          </w:r>
        </w:p>
        <w:p w14:paraId="210BE93A" w14:textId="077AA6C4"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ED75A2">
            <w:rPr>
              <w:bCs/>
            </w:rPr>
            <w:t>C</w:t>
          </w:r>
          <w:r w:rsidR="005B2269">
            <w:rPr>
              <w:bCs/>
            </w:rPr>
            <w:t>SDC</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Collegamentoipertestuale"/>
              </w:rPr>
              <w:t>www.esma.europa.eu</w:t>
            </w:r>
          </w:hyperlink>
          <w:r w:rsidRPr="005B6B12">
            <w:t xml:space="preserve"> under the heading </w:t>
          </w:r>
          <w:r w:rsidRPr="00025A7F">
            <w:rPr>
              <w:rStyle w:val="Collegamentoipertestuale"/>
            </w:rPr>
            <w:t>‘</w:t>
          </w:r>
          <w:hyperlink r:id="rId17" w:history="1">
            <w:r>
              <w:rPr>
                <w:rStyle w:val="Collegamentoipertestuale"/>
              </w:rPr>
              <w:t>Data protection</w:t>
            </w:r>
          </w:hyperlink>
          <w:r>
            <w:rPr>
              <w:rStyle w:val="Collegamentoipertestuale"/>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Titolo1"/>
        <w:rPr>
          <w:lang w:val="fr-BE"/>
        </w:rPr>
      </w:pPr>
      <w:r>
        <w:rPr>
          <w:lang w:val="fr-BE"/>
        </w:rPr>
        <w:lastRenderedPageBreak/>
        <w:t xml:space="preserve">General information about </w:t>
      </w:r>
      <w:r w:rsidRPr="00501EF4">
        <w:t>respondent</w:t>
      </w:r>
    </w:p>
    <w:tbl>
      <w:tblPr>
        <w:tblStyle w:val="Grigliatabella"/>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59EFD051" w:rsidR="00E40D2C" w:rsidRPr="00557BD2" w:rsidRDefault="00B76337">
                <w:r>
                  <w:t>Italian Banking Association</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Content>
            <w:tc>
              <w:tcPr>
                <w:tcW w:w="4531" w:type="dxa"/>
              </w:tcPr>
              <w:p w14:paraId="22ECE1B6" w14:textId="5508B32F" w:rsidR="00E40D2C" w:rsidRDefault="00B76337">
                <w:r>
                  <w:t>Other</w:t>
                </w:r>
              </w:p>
            </w:tc>
          </w:sdtContent>
        </w:sdt>
      </w:tr>
      <w:permEnd w:id="1501374178"/>
      <w:tr w:rsidR="00E40D2C" w:rsidRPr="00557BD2" w14:paraId="431B28C6" w14:textId="77777777">
        <w:tc>
          <w:tcPr>
            <w:tcW w:w="4531" w:type="dxa"/>
          </w:tcPr>
          <w:p w14:paraId="19D77BEC" w14:textId="77777777" w:rsidR="00E40D2C" w:rsidRPr="00557BD2" w:rsidRDefault="00E40D2C">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996560612" w:edGrp="everyone" w:displacedByCustomXml="prev"/>
            <w:tc>
              <w:tcPr>
                <w:tcW w:w="4531" w:type="dxa"/>
              </w:tcPr>
              <w:p w14:paraId="7AB9C082" w14:textId="233A364D" w:rsidR="00E40D2C" w:rsidRDefault="00B76337">
                <w:r>
                  <w:rPr>
                    <w:rFonts w:ascii="MS Gothic" w:eastAsia="MS Gothic" w:hAnsi="MS Gothic" w:hint="eastAsia"/>
                  </w:rPr>
                  <w:t>☒</w:t>
                </w:r>
              </w:p>
            </w:tc>
            <w:permEnd w:id="996560612"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2979C622" w:rsidR="00E40D2C" w:rsidRPr="00557BD2" w:rsidRDefault="00240FF8">
                <w:r>
                  <w:t>Italy</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Titolo1"/>
        <w:rPr>
          <w:lang w:val="fr-BE"/>
        </w:rPr>
      </w:pPr>
      <w:r w:rsidRPr="00557BD2">
        <w:rPr>
          <w:lang w:val="fr-BE"/>
        </w:rPr>
        <w:t>Questions</w:t>
      </w:r>
    </w:p>
    <w:p w14:paraId="5230794C" w14:textId="77777777" w:rsidR="00113E80" w:rsidRDefault="00113E80">
      <w:pPr>
        <w:spacing w:after="120" w:line="264" w:lineRule="auto"/>
        <w:jc w:val="left"/>
      </w:pPr>
      <w:r>
        <w:br w:type="page"/>
      </w:r>
    </w:p>
    <w:p w14:paraId="7D52DCC6" w14:textId="5E3F9284" w:rsidR="004F5A02" w:rsidRDefault="004F5A02" w:rsidP="004F5A02">
      <w:pPr>
        <w:rPr>
          <w:b/>
          <w:bCs/>
        </w:rPr>
      </w:pPr>
      <w:r w:rsidRPr="004F5A02">
        <w:rPr>
          <w:b/>
          <w:bCs/>
        </w:rPr>
        <w:lastRenderedPageBreak/>
        <w:t>3.1.1</w:t>
      </w:r>
      <w:r w:rsidRPr="004F5A02">
        <w:rPr>
          <w:b/>
          <w:bCs/>
        </w:rPr>
        <w:tab/>
        <w:t>Timing of allocations and confirmations</w:t>
      </w:r>
    </w:p>
    <w:p w14:paraId="2DC903F4" w14:textId="77777777" w:rsidR="005C5C54" w:rsidRPr="004F5A02" w:rsidRDefault="005C5C54" w:rsidP="004F5A02">
      <w:pPr>
        <w:rPr>
          <w:b/>
          <w:bCs/>
        </w:rPr>
      </w:pPr>
    </w:p>
    <w:p w14:paraId="78B91BA4" w14:textId="3B13F0DB" w:rsidR="00113E80" w:rsidRDefault="00113E80" w:rsidP="00113E80">
      <w:pPr>
        <w:pStyle w:val="Questionstyle"/>
        <w:numPr>
          <w:ilvl w:val="0"/>
          <w:numId w:val="14"/>
        </w:numPr>
        <w:tabs>
          <w:tab w:val="clear" w:pos="567"/>
        </w:tabs>
        <w:spacing w:after="240" w:line="256" w:lineRule="auto"/>
        <w:ind w:left="851" w:hanging="851"/>
        <w:rPr>
          <w:color w:val="auto"/>
        </w:rPr>
      </w:pPr>
      <w:r>
        <w:rPr>
          <w:bCs/>
        </w:rPr>
        <w:t>Do you agree with the proposed amendments to Articles 2(2) and 3 of CDR 2018/1229?</w:t>
      </w:r>
    </w:p>
    <w:p w14:paraId="70664FD2" w14:textId="77777777" w:rsidR="00113E80" w:rsidRDefault="00113E80" w:rsidP="00113E80">
      <w:r>
        <w:t>&lt;ESMA_QUESTION_CSDC_1&gt;</w:t>
      </w:r>
    </w:p>
    <w:p w14:paraId="36F80D36" w14:textId="77777777" w:rsidR="00351F26" w:rsidRPr="00D767EB" w:rsidRDefault="00351F26" w:rsidP="00351F26">
      <w:permStart w:id="495002546" w:edGrp="everyone"/>
      <w:r w:rsidRPr="00D767EB">
        <w:t>Regarding the proposed amendment to Art.2 of CDR 2018/1229 (from now on “CDR”), which is titled “Measures concerning professional clients”,</w:t>
      </w:r>
    </w:p>
    <w:p w14:paraId="651FA403" w14:textId="77777777" w:rsidR="00351F26" w:rsidRPr="00D767EB" w:rsidRDefault="00351F26" w:rsidP="00351F26">
      <w:r w:rsidRPr="00D767EB">
        <w:t xml:space="preserve">- </w:t>
      </w:r>
      <w:r>
        <w:t>o</w:t>
      </w:r>
      <w:r w:rsidRPr="00D767EB">
        <w:t xml:space="preserve">n the one hand, ABI understands the reasons presented by ESMA (under par. 18 to 29) and explaining its preference for the formulation of the amendment’s proposal where, in short, it is stated that </w:t>
      </w:r>
      <w:r w:rsidRPr="00D767EB">
        <w:rPr>
          <w:i/>
          <w:iCs/>
        </w:rPr>
        <w:t xml:space="preserve">written allocations and written confirmations </w:t>
      </w:r>
      <w:r w:rsidRPr="00D767EB">
        <w:t xml:space="preserve">have to be received </w:t>
      </w:r>
      <w:r w:rsidRPr="00D767EB">
        <w:rPr>
          <w:i/>
          <w:iCs/>
        </w:rPr>
        <w:t xml:space="preserve">(…) by </w:t>
      </w:r>
      <w:r w:rsidRPr="00D767EB">
        <w:rPr>
          <w:b/>
          <w:bCs/>
          <w:i/>
          <w:iCs/>
          <w:u w:val="single"/>
        </w:rPr>
        <w:t>close of business</w:t>
      </w:r>
      <w:r w:rsidRPr="00D767EB">
        <w:rPr>
          <w:i/>
          <w:iCs/>
        </w:rPr>
        <w:t xml:space="preserve"> on the business day on which the transaction has taken place (…)</w:t>
      </w:r>
    </w:p>
    <w:p w14:paraId="09E3E74D" w14:textId="77777777" w:rsidR="00351F26" w:rsidRPr="00D767EB" w:rsidRDefault="00351F26" w:rsidP="00351F26">
      <w:r w:rsidRPr="00D767EB">
        <w:t>- on the other hand, ABI considers it important to warn ESMA about the importance of setting a Union wide “definition” for “</w:t>
      </w:r>
      <w:r w:rsidRPr="00D767EB">
        <w:rPr>
          <w:i/>
          <w:iCs/>
        </w:rPr>
        <w:t>close of business</w:t>
      </w:r>
      <w:r w:rsidRPr="00D767EB">
        <w:t>” because at the current state the (several) trading venues active in the EU have a variety of “closing of business” timings. In the context of the forthcoming Union-wide migration to a T+1 securities settlement cycle, we regard it as almost a pre-condition to try harmonizing as much as possible the (opening and) closing time of the (several) trading venues, or at least to work on smoothing some evident and remarked differences in the understanding/interpretation and actual timing of the “closing of business”. Looking at the US and the UK – on this very specific side – we find out a much greater harmonization on the “close of business”, also in consideration of their smaller variety and number of TVs and Infrastructures compared to the fragmented EU business landscape.</w:t>
      </w:r>
    </w:p>
    <w:p w14:paraId="072D3125" w14:textId="77777777" w:rsidR="00351F26" w:rsidRPr="00D767EB" w:rsidRDefault="00351F26" w:rsidP="00351F26">
      <w:r w:rsidRPr="00D767EB">
        <w:t>Hence, in our view, the Proposed Amendment to Art.2 of CDR can be supported, as long as ESMA introduces in its wording a reference to the “</w:t>
      </w:r>
      <w:r w:rsidRPr="00D767EB">
        <w:rPr>
          <w:b/>
          <w:bCs/>
          <w:i/>
          <w:iCs/>
        </w:rPr>
        <w:t>closing of business of the trading venues</w:t>
      </w:r>
      <w:r w:rsidRPr="00D767EB">
        <w:t>”. Otherwise, the Proposed Amendment could be kept as it is presented on page 13 but the CDR should be integrated with a harmonised definition of “Close of business”. If no such definition is introduced, market participants would have to decline the legislative concept of “close of business” according to each single trading venue they operate with.</w:t>
      </w:r>
    </w:p>
    <w:p w14:paraId="6BC30672" w14:textId="77777777" w:rsidR="00351F26" w:rsidRPr="008713B4" w:rsidRDefault="00351F26" w:rsidP="00351F26">
      <w:pPr>
        <w:rPr>
          <w:color w:val="C00000"/>
          <w:lang w:val="en-US"/>
        </w:rPr>
      </w:pPr>
      <w:r w:rsidRPr="001B6897">
        <w:rPr>
          <w:color w:val="auto"/>
        </w:rPr>
        <w:t>As per the current practice</w:t>
      </w:r>
      <w:r>
        <w:rPr>
          <w:color w:val="auto"/>
        </w:rPr>
        <w:t>s</w:t>
      </w:r>
      <w:r w:rsidRPr="001B6897">
        <w:rPr>
          <w:color w:val="auto"/>
        </w:rPr>
        <w:t xml:space="preserve"> in several market</w:t>
      </w:r>
      <w:r>
        <w:rPr>
          <w:color w:val="auto"/>
        </w:rPr>
        <w:t>s</w:t>
      </w:r>
      <w:r w:rsidRPr="001B6897">
        <w:rPr>
          <w:color w:val="auto"/>
        </w:rPr>
        <w:t xml:space="preserve"> across EU</w:t>
      </w:r>
      <w:r>
        <w:rPr>
          <w:color w:val="auto"/>
        </w:rPr>
        <w:t>,</w:t>
      </w:r>
      <w:r w:rsidRPr="001B6897">
        <w:rPr>
          <w:color w:val="auto"/>
        </w:rPr>
        <w:t xml:space="preserve"> including Italy</w:t>
      </w:r>
      <w:r>
        <w:rPr>
          <w:color w:val="auto"/>
        </w:rPr>
        <w:t>,</w:t>
      </w:r>
      <w:r w:rsidRPr="001B6897">
        <w:rPr>
          <w:color w:val="auto"/>
        </w:rPr>
        <w:t xml:space="preserve"> we do not see the need for retail clients to provide SSI</w:t>
      </w:r>
      <w:r>
        <w:rPr>
          <w:color w:val="auto"/>
        </w:rPr>
        <w:t>s</w:t>
      </w:r>
      <w:r w:rsidRPr="001B6897">
        <w:rPr>
          <w:color w:val="auto"/>
        </w:rPr>
        <w:t xml:space="preserve"> to broker</w:t>
      </w:r>
      <w:r>
        <w:rPr>
          <w:color w:val="auto"/>
        </w:rPr>
        <w:t>s</w:t>
      </w:r>
      <w:r w:rsidRPr="001B6897">
        <w:rPr>
          <w:color w:val="auto"/>
        </w:rPr>
        <w:t xml:space="preserve">. </w:t>
      </w:r>
      <w:r>
        <w:rPr>
          <w:color w:val="auto"/>
        </w:rPr>
        <w:t>Indeed, t</w:t>
      </w:r>
      <w:r w:rsidRPr="001B6897">
        <w:rPr>
          <w:color w:val="auto"/>
        </w:rPr>
        <w:t xml:space="preserve">he current set up for </w:t>
      </w:r>
      <w:r>
        <w:rPr>
          <w:color w:val="auto"/>
        </w:rPr>
        <w:t xml:space="preserve">non-professional users </w:t>
      </w:r>
      <w:r w:rsidRPr="001B6897">
        <w:rPr>
          <w:color w:val="auto"/>
        </w:rPr>
        <w:t>is mainly an “order routing” though the custodian where securities are held</w:t>
      </w:r>
      <w:r>
        <w:rPr>
          <w:color w:val="auto"/>
        </w:rPr>
        <w:t>.</w:t>
      </w:r>
    </w:p>
    <w:p w14:paraId="20112533" w14:textId="33DB317C" w:rsidR="00113E80" w:rsidRDefault="00351F26" w:rsidP="00351F26">
      <w:r w:rsidRPr="006B615E">
        <w:rPr>
          <w:color w:val="auto"/>
          <w:lang w:val="en-US"/>
        </w:rPr>
        <w:t>Gi</w:t>
      </w:r>
      <w:r>
        <w:rPr>
          <w:color w:val="auto"/>
          <w:lang w:val="en-US"/>
        </w:rPr>
        <w:t xml:space="preserve">ven that on basis of our members’ feedback </w:t>
      </w:r>
      <w:r w:rsidRPr="006B615E">
        <w:rPr>
          <w:color w:val="auto"/>
          <w:lang w:val="en-US"/>
        </w:rPr>
        <w:t>we do not see the need for exchanging SSI</w:t>
      </w:r>
      <w:r>
        <w:rPr>
          <w:color w:val="auto"/>
          <w:lang w:val="en-US"/>
        </w:rPr>
        <w:t xml:space="preserve">s for </w:t>
      </w:r>
      <w:r w:rsidRPr="00AC632E">
        <w:rPr>
          <w:color w:val="auto"/>
          <w:lang w:val="en-US"/>
        </w:rPr>
        <w:t>retail client</w:t>
      </w:r>
      <w:r>
        <w:rPr>
          <w:color w:val="auto"/>
          <w:lang w:val="en-US"/>
        </w:rPr>
        <w:t>s, c</w:t>
      </w:r>
      <w:r w:rsidRPr="006B615E">
        <w:rPr>
          <w:color w:val="auto"/>
          <w:lang w:val="en-US"/>
        </w:rPr>
        <w:t>ustodian</w:t>
      </w:r>
      <w:r>
        <w:rPr>
          <w:color w:val="auto"/>
          <w:lang w:val="en-US"/>
        </w:rPr>
        <w:t>s</w:t>
      </w:r>
      <w:r w:rsidRPr="006B615E">
        <w:rPr>
          <w:color w:val="auto"/>
          <w:lang w:val="en-US"/>
        </w:rPr>
        <w:t xml:space="preserve"> are in general acting as Broker for their client</w:t>
      </w:r>
      <w:r>
        <w:rPr>
          <w:color w:val="auto"/>
          <w:lang w:val="en-US"/>
        </w:rPr>
        <w:t>s.</w:t>
      </w:r>
      <w:r w:rsidRPr="006B615E">
        <w:rPr>
          <w:color w:val="auto"/>
          <w:lang w:val="en-US"/>
        </w:rPr>
        <w:t xml:space="preserve"> SSI</w:t>
      </w:r>
      <w:r>
        <w:rPr>
          <w:color w:val="auto"/>
          <w:lang w:val="en-US"/>
        </w:rPr>
        <w:t>s</w:t>
      </w:r>
      <w:r w:rsidRPr="006B615E">
        <w:rPr>
          <w:color w:val="auto"/>
          <w:lang w:val="en-US"/>
        </w:rPr>
        <w:t xml:space="preserve"> are requested </w:t>
      </w:r>
      <w:r w:rsidRPr="006B615E">
        <w:rPr>
          <w:color w:val="auto"/>
          <w:lang w:val="en-US"/>
        </w:rPr>
        <w:lastRenderedPageBreak/>
        <w:t>only for por</w:t>
      </w:r>
      <w:r>
        <w:rPr>
          <w:color w:val="auto"/>
          <w:lang w:val="en-US"/>
        </w:rPr>
        <w:t>t</w:t>
      </w:r>
      <w:r w:rsidRPr="006B615E">
        <w:rPr>
          <w:color w:val="auto"/>
          <w:lang w:val="en-US"/>
        </w:rPr>
        <w:t>folio transfer</w:t>
      </w:r>
      <w:r>
        <w:rPr>
          <w:color w:val="auto"/>
          <w:lang w:val="en-US"/>
        </w:rPr>
        <w:t>s</w:t>
      </w:r>
      <w:r w:rsidRPr="006B615E">
        <w:rPr>
          <w:color w:val="auto"/>
          <w:lang w:val="en-US"/>
        </w:rPr>
        <w:t xml:space="preserve"> but</w:t>
      </w:r>
      <w:r>
        <w:rPr>
          <w:color w:val="auto"/>
          <w:lang w:val="en-US"/>
        </w:rPr>
        <w:t>,</w:t>
      </w:r>
      <w:r w:rsidRPr="006B615E">
        <w:rPr>
          <w:color w:val="auto"/>
          <w:lang w:val="en-US"/>
        </w:rPr>
        <w:t xml:space="preserve"> in th</w:t>
      </w:r>
      <w:r>
        <w:rPr>
          <w:color w:val="auto"/>
          <w:lang w:val="en-US"/>
        </w:rPr>
        <w:t>o</w:t>
      </w:r>
      <w:r w:rsidRPr="006B615E">
        <w:rPr>
          <w:color w:val="auto"/>
          <w:lang w:val="en-US"/>
        </w:rPr>
        <w:t>s</w:t>
      </w:r>
      <w:r>
        <w:rPr>
          <w:color w:val="auto"/>
          <w:lang w:val="en-US"/>
        </w:rPr>
        <w:t>e</w:t>
      </w:r>
      <w:r w:rsidRPr="006B615E">
        <w:rPr>
          <w:color w:val="auto"/>
          <w:lang w:val="en-US"/>
        </w:rPr>
        <w:t xml:space="preserve"> case</w:t>
      </w:r>
      <w:r>
        <w:rPr>
          <w:color w:val="auto"/>
          <w:lang w:val="en-US"/>
        </w:rPr>
        <w:t>s,</w:t>
      </w:r>
      <w:r w:rsidRPr="006B615E">
        <w:rPr>
          <w:color w:val="auto"/>
          <w:lang w:val="en-US"/>
        </w:rPr>
        <w:t xml:space="preserve"> there </w:t>
      </w:r>
      <w:r>
        <w:rPr>
          <w:color w:val="auto"/>
          <w:lang w:val="en-US"/>
        </w:rPr>
        <w:t xml:space="preserve">would be </w:t>
      </w:r>
      <w:r w:rsidRPr="006B615E">
        <w:rPr>
          <w:color w:val="auto"/>
          <w:lang w:val="en-US"/>
        </w:rPr>
        <w:t>specific process and market practice</w:t>
      </w:r>
      <w:r>
        <w:rPr>
          <w:color w:val="auto"/>
          <w:lang w:val="en-US"/>
        </w:rPr>
        <w:t>s</w:t>
      </w:r>
      <w:r w:rsidRPr="006B615E">
        <w:rPr>
          <w:color w:val="auto"/>
          <w:lang w:val="en-US"/>
        </w:rPr>
        <w:t xml:space="preserve"> alre</w:t>
      </w:r>
      <w:r>
        <w:rPr>
          <w:color w:val="auto"/>
          <w:lang w:val="en-US"/>
        </w:rPr>
        <w:t>a</w:t>
      </w:r>
      <w:r w:rsidRPr="006B615E">
        <w:rPr>
          <w:color w:val="auto"/>
          <w:lang w:val="en-US"/>
        </w:rPr>
        <w:t xml:space="preserve">dy in place in </w:t>
      </w:r>
      <w:r>
        <w:rPr>
          <w:color w:val="auto"/>
          <w:lang w:val="en-US"/>
        </w:rPr>
        <w:t>Italy</w:t>
      </w:r>
      <w:r w:rsidRPr="006B615E">
        <w:rPr>
          <w:color w:val="auto"/>
          <w:lang w:val="en-US"/>
        </w:rPr>
        <w:t>.</w:t>
      </w:r>
    </w:p>
    <w:permEnd w:id="495002546"/>
    <w:p w14:paraId="4CCCDD62" w14:textId="77777777" w:rsidR="00113E80" w:rsidRDefault="00113E80" w:rsidP="00113E80">
      <w:r>
        <w:t>&lt;ESMA_QUESTION_CSDC_1&gt;</w:t>
      </w:r>
    </w:p>
    <w:p w14:paraId="6A55D9DB" w14:textId="77777777" w:rsidR="00113E80" w:rsidRDefault="00113E80" w:rsidP="00113E80"/>
    <w:p w14:paraId="7A939DEB" w14:textId="77777777" w:rsidR="00113E80" w:rsidRDefault="00113E80" w:rsidP="00113E80">
      <w:pPr>
        <w:pStyle w:val="Questionstyle"/>
        <w:numPr>
          <w:ilvl w:val="0"/>
          <w:numId w:val="14"/>
        </w:numPr>
        <w:tabs>
          <w:tab w:val="clear" w:pos="567"/>
        </w:tabs>
        <w:spacing w:after="240" w:line="256" w:lineRule="auto"/>
        <w:ind w:left="851" w:hanging="851"/>
      </w:pPr>
      <w:r>
        <w:rPr>
          <w:bCs/>
        </w:rPr>
        <w:t>Would you see merit in introducing an obligation for investment firms to notify their professional clients the execution details of their orders as soon as these orders are fulfilled (in a way that allows STP)? If yes, should it be cumulative to the proposed amendments to Articles 2(2) and 3 of CDR 2018/1229?</w:t>
      </w:r>
    </w:p>
    <w:p w14:paraId="0C1E27C7" w14:textId="77777777" w:rsidR="00113E80" w:rsidRDefault="00113E80" w:rsidP="00113E80">
      <w:r>
        <w:t>&lt;ESMA_QUESTION_CSDC_2&gt;</w:t>
      </w:r>
    </w:p>
    <w:p w14:paraId="4F4945BF" w14:textId="77777777" w:rsidR="00780276" w:rsidRPr="00D767EB" w:rsidRDefault="00780276" w:rsidP="00780276">
      <w:permStart w:id="212869392" w:edGrp="everyone"/>
      <w:r w:rsidRPr="00D767EB">
        <w:t>Yes, we would s</w:t>
      </w:r>
      <w:r w:rsidRPr="00D767EB">
        <w:rPr>
          <w:bCs/>
        </w:rPr>
        <w:t>ee merit in introducing an obligation for investment firms to notify their professional clients the execution details of their orders as soon as these orders are fulfilled (in a way that allows STP).</w:t>
      </w:r>
    </w:p>
    <w:p w14:paraId="490586EE" w14:textId="71AEE6F5" w:rsidR="00780276" w:rsidRPr="00D767EB" w:rsidRDefault="00780276" w:rsidP="00780276">
      <w:r w:rsidRPr="00D767EB">
        <w:t>Differently, the second part of Q2 raises some genuine doubts: our member banks have recalled a</w:t>
      </w:r>
      <w:r>
        <w:t>n</w:t>
      </w:r>
      <w:r w:rsidRPr="00D767EB">
        <w:t xml:space="preserve"> </w:t>
      </w:r>
      <w:r>
        <w:t xml:space="preserve">existing </w:t>
      </w:r>
      <w:r w:rsidRPr="00D767EB">
        <w:t xml:space="preserve">practice about “Orders Transmission” that states that firms must provide “incremental </w:t>
      </w:r>
      <w:r>
        <w:t>quantity for the order</w:t>
      </w:r>
      <w:r w:rsidRPr="00D767EB">
        <w:t>” across the day (a set of data for instance at around 9:30, and then</w:t>
      </w:r>
      <w:r>
        <w:t xml:space="preserve"> an increase</w:t>
      </w:r>
      <w:r w:rsidRPr="00D767EB">
        <w:t xml:space="preserve"> later on at 12:00, and so forth). However, the same practice also requires firms to provide an Average Price to be taken into consideration for the orders sent during the whole day. This specific “provision” of such </w:t>
      </w:r>
      <w:r>
        <w:t xml:space="preserve">habits </w:t>
      </w:r>
      <w:r w:rsidRPr="00D767EB">
        <w:t>slow down the consequent transmission of Confirmations.</w:t>
      </w:r>
    </w:p>
    <w:p w14:paraId="7BE8A3E1" w14:textId="74162A6E" w:rsidR="00113E80" w:rsidRDefault="00780276" w:rsidP="00780276">
      <w:r w:rsidRPr="00D767EB">
        <w:t xml:space="preserve">Hence, in short, we believe that ESMA has to work with the industry to </w:t>
      </w:r>
      <w:r w:rsidRPr="0030641C">
        <w:t>define a target model that will avoid shift</w:t>
      </w:r>
      <w:r>
        <w:t>ing</w:t>
      </w:r>
      <w:r w:rsidRPr="0030641C">
        <w:t xml:space="preserve"> to </w:t>
      </w:r>
      <w:r>
        <w:t xml:space="preserve">the </w:t>
      </w:r>
      <w:r w:rsidRPr="0030641C">
        <w:t>end</w:t>
      </w:r>
      <w:r>
        <w:t>-</w:t>
      </w:r>
      <w:r w:rsidRPr="0030641C">
        <w:t>of</w:t>
      </w:r>
      <w:r>
        <w:t>-</w:t>
      </w:r>
      <w:r w:rsidRPr="0030641C">
        <w:t xml:space="preserve">day </w:t>
      </w:r>
      <w:r>
        <w:t xml:space="preserve">the </w:t>
      </w:r>
      <w:r w:rsidRPr="0030641C">
        <w:t>execution</w:t>
      </w:r>
      <w:r>
        <w:t>’s</w:t>
      </w:r>
      <w:r w:rsidRPr="0030641C">
        <w:t xml:space="preserve"> confirmation</w:t>
      </w:r>
      <w:r>
        <w:t>.</w:t>
      </w:r>
    </w:p>
    <w:permEnd w:id="212869392"/>
    <w:p w14:paraId="26E3DD7C" w14:textId="77777777" w:rsidR="00113E80" w:rsidRDefault="00113E80" w:rsidP="00113E80">
      <w:r>
        <w:t>&lt;ESMA_QUESTION_CSDC_2&gt;</w:t>
      </w:r>
    </w:p>
    <w:p w14:paraId="0EB4A382" w14:textId="77777777" w:rsidR="00113E80" w:rsidRDefault="00113E80" w:rsidP="00113E80"/>
    <w:p w14:paraId="42F17450" w14:textId="77777777" w:rsidR="00113E80" w:rsidRDefault="00113E80" w:rsidP="00113E80">
      <w:pPr>
        <w:pStyle w:val="Questionstyle"/>
        <w:numPr>
          <w:ilvl w:val="0"/>
          <w:numId w:val="14"/>
        </w:numPr>
        <w:tabs>
          <w:tab w:val="clear" w:pos="567"/>
        </w:tabs>
        <w:spacing w:after="240" w:line="256" w:lineRule="auto"/>
        <w:ind w:left="851" w:hanging="851"/>
      </w:pPr>
      <w:r>
        <w:rPr>
          <w:bCs/>
        </w:rPr>
        <w:t>If you support an obligation for investment firms to notify their professional clients the execution as soon as the orders are fulfilled, do you think that clients should be allowed a maximum number of business hours for the allocations and confirmations from the moment of notification by investment firms, instead of having fixed deadlines? If yes, how many hours would be necessary for that?</w:t>
      </w:r>
    </w:p>
    <w:p w14:paraId="440802D8" w14:textId="77777777" w:rsidR="00113E80" w:rsidRDefault="00113E80" w:rsidP="00113E80">
      <w:r>
        <w:t>&lt;ESMA_QUESTION_CSDC_3&gt;</w:t>
      </w:r>
    </w:p>
    <w:p w14:paraId="0261F3E3" w14:textId="39C17AA1" w:rsidR="00113E80" w:rsidRDefault="00727753" w:rsidP="00113E80">
      <w:permStart w:id="633560411" w:edGrp="everyone"/>
      <w:r w:rsidRPr="00D767EB">
        <w:t xml:space="preserve">On the basis of the feedback gathered, in ABI’s opinion its crucial to have fixed deadlines. In the forthcoming T+1 SSC operational context, it is e precondition to automation and efficiency </w:t>
      </w:r>
      <w:r w:rsidRPr="00D767EB">
        <w:lastRenderedPageBreak/>
        <w:t>that the “close of business” (</w:t>
      </w:r>
      <w:proofErr w:type="spellStart"/>
      <w:r w:rsidRPr="00D767EB">
        <w:t>CoB</w:t>
      </w:r>
      <w:proofErr w:type="spellEnd"/>
      <w:r w:rsidRPr="00D767EB">
        <w:t>) is univocally defined for the entire Union. It would not be rationale to continue having actual differences in the “</w:t>
      </w:r>
      <w:proofErr w:type="spellStart"/>
      <w:r w:rsidRPr="00D767EB">
        <w:t>CoBs</w:t>
      </w:r>
      <w:proofErr w:type="spellEnd"/>
      <w:r w:rsidRPr="00D767EB">
        <w:t xml:space="preserve">” among trading venues and Member States or that, as it happens currently (in at T+2 environment) after a certain time in the afternoon / early evening, any given transaction is to be considered settling on the business day </w:t>
      </w:r>
      <w:r w:rsidRPr="00D767EB">
        <w:rPr>
          <w:u w:val="single"/>
        </w:rPr>
        <w:t>following</w:t>
      </w:r>
      <w:r w:rsidRPr="00D767EB">
        <w:t xml:space="preserve"> the conventional SSC.</w:t>
      </w:r>
    </w:p>
    <w:permEnd w:id="633560411"/>
    <w:p w14:paraId="02D5EFA9" w14:textId="77777777" w:rsidR="00113E80" w:rsidRDefault="00113E80" w:rsidP="00113E80">
      <w:r>
        <w:t>&lt;ESMA_QUESTION_CSDC_3&gt;</w:t>
      </w:r>
    </w:p>
    <w:p w14:paraId="6457CF9B" w14:textId="77777777" w:rsidR="00113E80" w:rsidRDefault="00113E80" w:rsidP="00113E80"/>
    <w:p w14:paraId="17C45A67" w14:textId="77777777" w:rsidR="00113E80" w:rsidRDefault="00113E80" w:rsidP="00113E80">
      <w:pPr>
        <w:pStyle w:val="Questionstyle"/>
        <w:numPr>
          <w:ilvl w:val="0"/>
          <w:numId w:val="14"/>
        </w:numPr>
        <w:tabs>
          <w:tab w:val="clear" w:pos="567"/>
        </w:tabs>
        <w:spacing w:after="240" w:line="256" w:lineRule="auto"/>
        <w:ind w:left="851" w:hanging="851"/>
      </w:pPr>
      <w:r>
        <w:rPr>
          <w:bCs/>
        </w:rPr>
        <w:t>Should CDR 2018/1229 further specify the term ‘close of business’ for the purpose of Article 2(2)? If yes, how should this take into account the business day at CSD level?</w:t>
      </w:r>
    </w:p>
    <w:p w14:paraId="62CCDF3B" w14:textId="77777777" w:rsidR="00113E80" w:rsidRDefault="00113E80" w:rsidP="00113E80">
      <w:r>
        <w:t>&lt;ESMA_QUESTION_CSDC_4&gt;</w:t>
      </w:r>
    </w:p>
    <w:p w14:paraId="689CD504" w14:textId="5D2CC35B" w:rsidR="00113E80" w:rsidRDefault="00D246B0" w:rsidP="00113E80">
      <w:permStart w:id="953572439" w:edGrp="everyone"/>
      <w:r w:rsidRPr="00D767EB">
        <w:t>As we elaborated in our answer to Q1, yes, we believe that the term “close of business” should be further specified for the purposes of Art.2(2) of CDR.</w:t>
      </w:r>
      <w:r>
        <w:t xml:space="preserve"> We also consider crucial to achieve the same business timetable across all EEA CSDs as this would sensibly contribute and ease cross border activity, as well as reduce fail rate where a realignment is required.</w:t>
      </w:r>
    </w:p>
    <w:permEnd w:id="953572439"/>
    <w:p w14:paraId="63A4DA96" w14:textId="77777777" w:rsidR="00113E80" w:rsidRDefault="00113E80" w:rsidP="00113E80">
      <w:r>
        <w:t>&lt;ESMA_QUESTION_CSDC_4&gt;</w:t>
      </w:r>
    </w:p>
    <w:p w14:paraId="4662880E" w14:textId="77777777" w:rsidR="00113E80" w:rsidRDefault="00113E80" w:rsidP="00113E80"/>
    <w:p w14:paraId="4D0A5993" w14:textId="77777777" w:rsidR="00113E80" w:rsidRDefault="00113E80" w:rsidP="00113E80">
      <w:pPr>
        <w:pStyle w:val="Questionstyle"/>
        <w:numPr>
          <w:ilvl w:val="0"/>
          <w:numId w:val="14"/>
        </w:numPr>
        <w:tabs>
          <w:tab w:val="clear" w:pos="567"/>
        </w:tabs>
        <w:spacing w:after="240" w:line="256" w:lineRule="auto"/>
        <w:ind w:left="851" w:hanging="851"/>
      </w:pPr>
      <w:r>
        <w:rPr>
          <w:bCs/>
        </w:rPr>
        <w:t>Should the 10:00 CET deadline for professional clients in different time zones and retail clients be brought forward to 07:00 CET on T+1, to be aligned with the UK deadline?</w:t>
      </w:r>
    </w:p>
    <w:p w14:paraId="211B4A19" w14:textId="77777777" w:rsidR="00113E80" w:rsidRDefault="00113E80" w:rsidP="00113E80">
      <w:r>
        <w:t>&lt;ESMA_QUESTION_CSDC_5&gt;</w:t>
      </w:r>
    </w:p>
    <w:p w14:paraId="2EF677ED" w14:textId="51D373FF" w:rsidR="00113E80" w:rsidRDefault="00702EAF" w:rsidP="00113E80">
      <w:permStart w:id="2044342554" w:edGrp="everyone"/>
      <w:r w:rsidRPr="006B615E">
        <w:rPr>
          <w:color w:val="auto"/>
        </w:rPr>
        <w:t>ABI gathered pros and cons on this topic, as moving to the following day would not facilitate settlement efficiency and, potentially, will even generate some additional liquidity needs settling in RTGS. As we argue above in commenting retail users’ SSIs, we do not see the need for including this business line into the trade matching.</w:t>
      </w:r>
    </w:p>
    <w:permEnd w:id="2044342554"/>
    <w:p w14:paraId="40638694" w14:textId="77777777" w:rsidR="00113E80" w:rsidRDefault="00113E80" w:rsidP="00113E80">
      <w:r>
        <w:t>&lt;ESMA_QUESTION_CSDC_5&gt;</w:t>
      </w:r>
    </w:p>
    <w:p w14:paraId="452EC08B" w14:textId="77777777" w:rsidR="00113E80" w:rsidRDefault="00113E80" w:rsidP="00113E80"/>
    <w:p w14:paraId="2D9D7A1A" w14:textId="77777777" w:rsidR="00113E80" w:rsidRDefault="00113E80" w:rsidP="00113E80">
      <w:pPr>
        <w:pStyle w:val="Questionstyle"/>
        <w:numPr>
          <w:ilvl w:val="0"/>
          <w:numId w:val="14"/>
        </w:numPr>
        <w:tabs>
          <w:tab w:val="clear" w:pos="567"/>
        </w:tabs>
        <w:spacing w:after="240" w:line="256" w:lineRule="auto"/>
        <w:ind w:left="851" w:hanging="851"/>
      </w:pPr>
      <w:r>
        <w:t>Can you suggest any other means to achieve the same objective? If yes, please elaborate</w:t>
      </w:r>
    </w:p>
    <w:p w14:paraId="0D61F69D" w14:textId="77777777" w:rsidR="00113E80" w:rsidRDefault="00113E80" w:rsidP="00113E80">
      <w:r>
        <w:lastRenderedPageBreak/>
        <w:t>&lt;ESMA_QUESTION_CSDC_6&gt;</w:t>
      </w:r>
    </w:p>
    <w:p w14:paraId="023E9D3C" w14:textId="16187049" w:rsidR="00113E80" w:rsidRDefault="00593276" w:rsidP="00113E80">
      <w:permStart w:id="1632175159" w:edGrp="everyone"/>
      <w:r w:rsidRPr="00D767EB">
        <w:t xml:space="preserve">We believe the opening and closing times of trading venues shall be harmonised. This would provide a sensible contribution to avoid any accumulation of allocations and conformation at the </w:t>
      </w:r>
      <w:r w:rsidR="000D0055">
        <w:t>e</w:t>
      </w:r>
      <w:r w:rsidRPr="00D767EB">
        <w:t>nd of day and, hence, it would allow a more straightforward planning of the timing and consequent transmission.</w:t>
      </w:r>
    </w:p>
    <w:permEnd w:id="1632175159"/>
    <w:p w14:paraId="3722C31D" w14:textId="77777777" w:rsidR="00113E80" w:rsidRDefault="00113E80" w:rsidP="00113E80">
      <w:r>
        <w:t>&lt;ESMA_QUESTION_CSDC_6&gt;</w:t>
      </w:r>
    </w:p>
    <w:p w14:paraId="359036A3" w14:textId="77777777" w:rsidR="005C5C54" w:rsidRDefault="005C5C54" w:rsidP="00113E80"/>
    <w:p w14:paraId="4BA411D8" w14:textId="7C721964" w:rsidR="00113E80" w:rsidRDefault="005C5C54" w:rsidP="00113E80">
      <w:pPr>
        <w:rPr>
          <w:b/>
          <w:bCs/>
        </w:rPr>
      </w:pPr>
      <w:r w:rsidRPr="005C5C54">
        <w:rPr>
          <w:b/>
          <w:bCs/>
        </w:rPr>
        <w:t>3.1.2</w:t>
      </w:r>
      <w:r w:rsidRPr="005C5C54">
        <w:rPr>
          <w:b/>
          <w:bCs/>
        </w:rPr>
        <w:tab/>
        <w:t>Means for sending allocations and confirmations</w:t>
      </w:r>
    </w:p>
    <w:p w14:paraId="5113B20F" w14:textId="77777777" w:rsidR="005C5C54" w:rsidRPr="005C5C54" w:rsidRDefault="005C5C54" w:rsidP="00113E80">
      <w:pPr>
        <w:rPr>
          <w:b/>
          <w:bCs/>
        </w:rPr>
      </w:pPr>
    </w:p>
    <w:p w14:paraId="704D61EF" w14:textId="77777777" w:rsidR="00113E80" w:rsidRDefault="00113E80" w:rsidP="00113E80">
      <w:pPr>
        <w:pStyle w:val="Questionstyle"/>
        <w:numPr>
          <w:ilvl w:val="0"/>
          <w:numId w:val="14"/>
        </w:numPr>
        <w:tabs>
          <w:tab w:val="clear" w:pos="567"/>
        </w:tabs>
        <w:spacing w:after="240" w:line="256" w:lineRule="auto"/>
        <w:ind w:left="851" w:hanging="851"/>
      </w:pPr>
      <w:r>
        <w:t>Do you agree to make the use of electronic and machine-readable format that allow for STP mandatory for written allocations?</w:t>
      </w:r>
    </w:p>
    <w:p w14:paraId="63B2FF30" w14:textId="77777777" w:rsidR="00113E80" w:rsidRDefault="00113E80" w:rsidP="00113E80">
      <w:r>
        <w:t>&lt;ESMA_QUESTION_CSDC_7&gt;</w:t>
      </w:r>
    </w:p>
    <w:p w14:paraId="6A807E67" w14:textId="77777777" w:rsidR="00AE04B7" w:rsidRPr="00D767EB" w:rsidRDefault="00AE04B7" w:rsidP="00AE04B7">
      <w:permStart w:id="710046495" w:edGrp="everyone"/>
      <w:r w:rsidRPr="00D767EB">
        <w:t xml:space="preserve">In general terms, ABI agrees with ESMA’s intention and proposal. </w:t>
      </w:r>
    </w:p>
    <w:p w14:paraId="5E7E262F" w14:textId="77777777" w:rsidR="00AE04B7" w:rsidRPr="00D767EB" w:rsidRDefault="00AE04B7" w:rsidP="00AE04B7">
      <w:r w:rsidRPr="00D767EB">
        <w:t xml:space="preserve">However, it believes that it is </w:t>
      </w:r>
      <w:r w:rsidRPr="00D767EB">
        <w:rPr>
          <w:color w:val="0070C0"/>
        </w:rPr>
        <w:t xml:space="preserve">“(…) </w:t>
      </w:r>
      <w:r w:rsidRPr="00D767EB">
        <w:rPr>
          <w:i/>
          <w:iCs/>
          <w:color w:val="0070C0"/>
        </w:rPr>
        <w:t>the use of electronic and machine-readable format (…)</w:t>
      </w:r>
      <w:r w:rsidRPr="00D767EB">
        <w:t>” that should be made “</w:t>
      </w:r>
      <w:r w:rsidRPr="00D767EB">
        <w:rPr>
          <w:i/>
          <w:iCs/>
          <w:color w:val="0070C0"/>
        </w:rPr>
        <w:t>mandatory for written allocations</w:t>
      </w:r>
      <w:r w:rsidRPr="00D767EB">
        <w:t xml:space="preserve">” and this, consequently, would straight-forwardly allow for STP. In other words, it would an non-sense to make “STP per </w:t>
      </w:r>
      <w:proofErr w:type="spellStart"/>
      <w:r w:rsidRPr="00D767EB">
        <w:t>sè</w:t>
      </w:r>
      <w:proofErr w:type="spellEnd"/>
      <w:r w:rsidRPr="00D767EB">
        <w:t>” mandatory.</w:t>
      </w:r>
    </w:p>
    <w:p w14:paraId="288BC114" w14:textId="6B78F12C" w:rsidR="00AE04B7" w:rsidRPr="00D767EB" w:rsidRDefault="00AE04B7" w:rsidP="00AE04B7">
      <w:r w:rsidRPr="00D767EB">
        <w:t>Further to that, STP per s</w:t>
      </w:r>
      <w:r w:rsidR="000D0055">
        <w:t>e</w:t>
      </w:r>
      <w:r w:rsidRPr="00D767EB">
        <w:t xml:space="preserve"> is not a guarantee for automation and efficiency. There has to be priorly an agreement or a harmonization on the “</w:t>
      </w:r>
      <w:r w:rsidRPr="00D767EB">
        <w:rPr>
          <w:i/>
          <w:iCs/>
          <w:color w:val="0070C0"/>
        </w:rPr>
        <w:t>data element content and format</w:t>
      </w:r>
      <w:r w:rsidRPr="00D767EB">
        <w:t>” that would be processed STP. Otherwise, any party to the transaction might compile the relevant information with a slightly different data, or a slightly different format, and the STP processing would simply get stuck and require manual/human intervention.</w:t>
      </w:r>
    </w:p>
    <w:p w14:paraId="147AD43D" w14:textId="77777777" w:rsidR="00AE04B7" w:rsidRPr="00D767EB" w:rsidRDefault="00AE04B7" w:rsidP="00AE04B7">
      <w:r w:rsidRPr="00D767EB">
        <w:t>Hence, ABI’s feedback to ESMA on the use of “electronic and machine-readable format” is to find ways to slightly amend and complement the “Proposed amendment to Article 2 of CDR” along the following lines:</w:t>
      </w:r>
    </w:p>
    <w:p w14:paraId="472CF5F0" w14:textId="77777777" w:rsidR="00AE04B7" w:rsidRPr="00D767EB" w:rsidRDefault="00AE04B7" w:rsidP="00AE04B7">
      <w:pPr>
        <w:spacing w:after="0" w:line="240" w:lineRule="auto"/>
      </w:pPr>
      <w:r w:rsidRPr="00D767EB">
        <w:t>(…)</w:t>
      </w:r>
    </w:p>
    <w:p w14:paraId="22E3C07F" w14:textId="77777777" w:rsidR="00AE04B7" w:rsidRPr="00D767EB" w:rsidRDefault="00AE04B7" w:rsidP="00AE04B7">
      <w:pPr>
        <w:spacing w:after="0" w:line="240" w:lineRule="auto"/>
        <w:rPr>
          <w:i/>
          <w:iCs/>
          <w:color w:val="0070C0"/>
        </w:rPr>
      </w:pPr>
      <w:r w:rsidRPr="00D767EB">
        <w:rPr>
          <w:i/>
          <w:iCs/>
          <w:color w:val="0070C0"/>
        </w:rPr>
        <w:t>Written allocations shall be sent in an electronic, machine-readable format.</w:t>
      </w:r>
    </w:p>
    <w:p w14:paraId="165C867B" w14:textId="77777777" w:rsidR="00AE04B7" w:rsidRPr="00D767EB" w:rsidRDefault="00AE04B7" w:rsidP="00AE04B7">
      <w:pPr>
        <w:spacing w:after="0" w:line="240" w:lineRule="auto"/>
        <w:rPr>
          <w:i/>
          <w:iCs/>
          <w:color w:val="C00000"/>
        </w:rPr>
      </w:pPr>
      <w:r w:rsidRPr="00D767EB">
        <w:rPr>
          <w:i/>
          <w:iCs/>
          <w:color w:val="C00000"/>
        </w:rPr>
        <w:t>Both the data content and its relevant format shall be subject to a Union widely-agreed market practice in order to allow mandatory written allocation being straight-through-processed in electronic and machine-readable format, sensibly reducing inefficiencies and issue caused by misalignments in data content or data formats.</w:t>
      </w:r>
    </w:p>
    <w:p w14:paraId="769FD4F4" w14:textId="77777777" w:rsidR="00AE04B7" w:rsidRPr="00D767EB" w:rsidRDefault="00AE04B7" w:rsidP="00AE04B7">
      <w:pPr>
        <w:spacing w:after="0" w:line="240" w:lineRule="auto"/>
      </w:pPr>
      <w:r w:rsidRPr="00D767EB">
        <w:lastRenderedPageBreak/>
        <w:t>(…)</w:t>
      </w:r>
    </w:p>
    <w:p w14:paraId="6CB97E4A" w14:textId="77777777" w:rsidR="00AE04B7" w:rsidRPr="00D767EB" w:rsidRDefault="00AE04B7" w:rsidP="00AE04B7">
      <w:pPr>
        <w:spacing w:after="0" w:line="240" w:lineRule="auto"/>
      </w:pPr>
    </w:p>
    <w:p w14:paraId="232EBB38" w14:textId="77777777" w:rsidR="00AE04B7" w:rsidRPr="00D767EB" w:rsidRDefault="00AE04B7" w:rsidP="00AE04B7">
      <w:pPr>
        <w:spacing w:after="0" w:line="240" w:lineRule="auto"/>
      </w:pPr>
      <w:r w:rsidRPr="00D767EB">
        <w:t>Otherwise, a more straight-forward formulation could be:</w:t>
      </w:r>
    </w:p>
    <w:p w14:paraId="52D12132" w14:textId="77777777" w:rsidR="00AE04B7" w:rsidRPr="00D767EB" w:rsidRDefault="00AE04B7" w:rsidP="00AE04B7">
      <w:pPr>
        <w:spacing w:after="0" w:line="240" w:lineRule="auto"/>
      </w:pPr>
      <w:r w:rsidRPr="00D767EB">
        <w:t>(…)</w:t>
      </w:r>
    </w:p>
    <w:p w14:paraId="3BF34A70" w14:textId="77777777" w:rsidR="00AE04B7" w:rsidRPr="00D767EB" w:rsidRDefault="00AE04B7" w:rsidP="00AE04B7">
      <w:pPr>
        <w:spacing w:after="0" w:line="240" w:lineRule="auto"/>
        <w:rPr>
          <w:i/>
          <w:iCs/>
          <w:color w:val="0070C0"/>
        </w:rPr>
      </w:pPr>
      <w:r w:rsidRPr="00D767EB">
        <w:rPr>
          <w:i/>
          <w:iCs/>
          <w:color w:val="0070C0"/>
        </w:rPr>
        <w:t>Written allocations shall be sent in an electronic, machine-readable format.</w:t>
      </w:r>
      <w:r w:rsidRPr="00D767EB">
        <w:rPr>
          <w:i/>
          <w:iCs/>
          <w:color w:val="C00000"/>
        </w:rPr>
        <w:t xml:space="preserve"> Pre-condition to such transmission shall be that allocations’ </w:t>
      </w:r>
      <w:r w:rsidRPr="00D767EB">
        <w:rPr>
          <w:i/>
          <w:iCs/>
          <w:color w:val="C00000"/>
          <w:u w:val="single"/>
        </w:rPr>
        <w:t>content</w:t>
      </w:r>
      <w:r w:rsidRPr="00D767EB">
        <w:rPr>
          <w:i/>
          <w:iCs/>
          <w:color w:val="C00000"/>
        </w:rPr>
        <w:t xml:space="preserve"> and </w:t>
      </w:r>
      <w:r w:rsidRPr="00D767EB">
        <w:rPr>
          <w:i/>
          <w:iCs/>
          <w:color w:val="C00000"/>
          <w:u w:val="single"/>
        </w:rPr>
        <w:t>format</w:t>
      </w:r>
      <w:r w:rsidRPr="00D767EB">
        <w:rPr>
          <w:i/>
          <w:iCs/>
          <w:color w:val="C00000"/>
        </w:rPr>
        <w:t xml:space="preserve"> shall be commonly agreed among EU industry participants.</w:t>
      </w:r>
    </w:p>
    <w:p w14:paraId="7F7B8B44" w14:textId="77777777" w:rsidR="00AE04B7" w:rsidRPr="00D767EB" w:rsidRDefault="00AE04B7" w:rsidP="00AE04B7">
      <w:pPr>
        <w:spacing w:after="0" w:line="240" w:lineRule="auto"/>
      </w:pPr>
      <w:r w:rsidRPr="00D767EB">
        <w:t>(…)</w:t>
      </w:r>
    </w:p>
    <w:p w14:paraId="419AB513" w14:textId="77777777" w:rsidR="00AE04B7" w:rsidRPr="00D767EB" w:rsidRDefault="00AE04B7" w:rsidP="00AE04B7">
      <w:pPr>
        <w:spacing w:after="0" w:line="240" w:lineRule="auto"/>
      </w:pPr>
    </w:p>
    <w:p w14:paraId="67218007" w14:textId="510EB6CF" w:rsidR="00AE04B7" w:rsidRPr="00D767EB" w:rsidRDefault="00AE04B7" w:rsidP="00AE04B7">
      <w:pPr>
        <w:spacing w:after="0" w:line="240" w:lineRule="auto"/>
      </w:pPr>
      <w:r w:rsidRPr="00D767EB">
        <w:t>On top of that, as we mentioned in our response to ESMA’s Call for Evidence (</w:t>
      </w:r>
      <w:proofErr w:type="spellStart"/>
      <w:r w:rsidRPr="00D767EB">
        <w:t>CfE</w:t>
      </w:r>
      <w:proofErr w:type="spellEnd"/>
      <w:r w:rsidRPr="00D767EB">
        <w:t>) run in October/December 2023, about the “challenges for the STP by the shortening of the settlement cycle, and its rate increase”, we believe that the STP rate per s</w:t>
      </w:r>
      <w:r w:rsidR="000B4DCD">
        <w:t>e</w:t>
      </w:r>
      <w:r w:rsidRPr="00D767EB">
        <w:t xml:space="preserve"> will not face specific issues under a shortened T+1 SSC. More challenging, instead, it does continue to appear a) making STP a widely spread practice across market operators active post-trading, especially at smaller entities. The latter, though, reasonably ponder over the cost-benefit profile of investing resources in further developing their internal and external STP functionalities in consideration of their actual volumes and roles across the post-trade intermediation chain. Also in consideration of this, we reiterate the importance of “Union-wide agreed data content and format” as a basis for machine-readability and STPs. </w:t>
      </w:r>
    </w:p>
    <w:p w14:paraId="0B397C7D" w14:textId="77777777" w:rsidR="00AE04B7" w:rsidRPr="00D767EB" w:rsidRDefault="00AE04B7" w:rsidP="00AE04B7">
      <w:pPr>
        <w:spacing w:after="0" w:line="240" w:lineRule="auto"/>
      </w:pPr>
    </w:p>
    <w:p w14:paraId="64F4CDE5" w14:textId="37698920" w:rsidR="00113E80" w:rsidRDefault="00AE04B7" w:rsidP="00AE04B7">
      <w:r w:rsidRPr="00D767EB">
        <w:t xml:space="preserve">Finally, as it regards the scope of application of “written allocations”, paragraph 30 led us notice the importance to suggest ESMA to remove the requirement for “written allocations </w:t>
      </w:r>
      <w:r w:rsidRPr="00D767EB">
        <w:rPr>
          <w:u w:val="single"/>
        </w:rPr>
        <w:t>for cash</w:t>
      </w:r>
      <w:r w:rsidRPr="00D767EB">
        <w:t>”, as it is currently provided for under Art.2(1) of CDR, which states the following “1.</w:t>
      </w:r>
      <w:r w:rsidRPr="00D767EB">
        <w:rPr>
          <w:i/>
          <w:iCs/>
        </w:rPr>
        <w:t xml:space="preserve"> Investment firms shall require their professional clients to send them written allocations of securities or of cash (…)</w:t>
      </w:r>
      <w:r w:rsidRPr="00D767EB">
        <w:t xml:space="preserve">”. The feedback gathered supporting the request for excluding </w:t>
      </w:r>
      <w:r w:rsidRPr="00D767EB">
        <w:rPr>
          <w:u w:val="single"/>
        </w:rPr>
        <w:t>cash</w:t>
      </w:r>
      <w:r w:rsidRPr="00D767EB">
        <w:t xml:space="preserve"> from the scope of written allocations and SSIs (Standard Settlement Instructions) is based on the evidence that SSIs on cash </w:t>
      </w:r>
      <w:r w:rsidRPr="00D767EB">
        <w:rPr>
          <w:u w:val="single"/>
        </w:rPr>
        <w:t>do not</w:t>
      </w:r>
      <w:r w:rsidRPr="00D767EB">
        <w:t xml:space="preserve"> play a role in increasing STP.</w:t>
      </w:r>
    </w:p>
    <w:permEnd w:id="710046495"/>
    <w:p w14:paraId="1E8BB4E4" w14:textId="77777777" w:rsidR="00113E80" w:rsidRDefault="00113E80" w:rsidP="00113E80">
      <w:r>
        <w:t>&lt;ESMA_QUESTION_CSDC_7&gt;</w:t>
      </w:r>
    </w:p>
    <w:p w14:paraId="70A75B7A" w14:textId="77777777" w:rsidR="00113E80" w:rsidRDefault="00113E80" w:rsidP="00113E80"/>
    <w:p w14:paraId="5F6D508D" w14:textId="77777777" w:rsidR="00113E80" w:rsidRDefault="00113E80" w:rsidP="00113E80">
      <w:pPr>
        <w:pStyle w:val="Questionstyle"/>
        <w:numPr>
          <w:ilvl w:val="0"/>
          <w:numId w:val="14"/>
        </w:numPr>
        <w:tabs>
          <w:tab w:val="clear" w:pos="567"/>
        </w:tabs>
        <w:spacing w:after="240" w:line="256" w:lineRule="auto"/>
        <w:ind w:left="851" w:hanging="851"/>
      </w:pPr>
      <w:r>
        <w:rPr>
          <w:bCs/>
        </w:rPr>
        <w:t>Would you see merit in introducing optionality for investment firms to set deadlines based on whether an electronic, machine-readable format of the communication is used? In such case, do you agree that an earlier deadline could be set for non-machine readable formats, so clients are disincentivised to use them? Which should be such deadline?</w:t>
      </w:r>
    </w:p>
    <w:p w14:paraId="7FB82D86" w14:textId="77777777" w:rsidR="00113E80" w:rsidRDefault="00113E80" w:rsidP="00113E80">
      <w:r>
        <w:t>&lt;ESMA_QUESTION_CSDC_8&gt;</w:t>
      </w:r>
    </w:p>
    <w:p w14:paraId="57B77AFE" w14:textId="0D0F8E1D" w:rsidR="00113E80" w:rsidRDefault="001D738A" w:rsidP="00113E80">
      <w:permStart w:id="1760119091" w:edGrp="everyone"/>
      <w:r w:rsidRPr="00D767EB">
        <w:t>ABI’s view is that there would be more sensible issues than actual benefits in “</w:t>
      </w:r>
      <w:r w:rsidRPr="00D767EB">
        <w:rPr>
          <w:bCs/>
          <w:i/>
          <w:iCs/>
        </w:rPr>
        <w:t>introducing optionality for investment firms to set deadlines based on whether an electronic, machine-readable format of the communication is used</w:t>
      </w:r>
      <w:r w:rsidRPr="00D767EB">
        <w:rPr>
          <w:bCs/>
        </w:rPr>
        <w:t>”, especially in the forthcoming business scenario operating under T+1 SSC.</w:t>
      </w:r>
    </w:p>
    <w:permEnd w:id="1760119091"/>
    <w:p w14:paraId="34F6524B" w14:textId="77777777" w:rsidR="00113E80" w:rsidRDefault="00113E80" w:rsidP="00113E80">
      <w:r>
        <w:lastRenderedPageBreak/>
        <w:t>&lt;ESMA_QUESTION_CSDC_8&gt;</w:t>
      </w:r>
    </w:p>
    <w:p w14:paraId="68BFCFED" w14:textId="77777777" w:rsidR="00113E80" w:rsidRDefault="00113E80" w:rsidP="00113E80"/>
    <w:p w14:paraId="21989848" w14:textId="77777777" w:rsidR="00113E80" w:rsidRDefault="00113E80" w:rsidP="00113E80">
      <w:pPr>
        <w:pStyle w:val="Questionstyle"/>
        <w:numPr>
          <w:ilvl w:val="0"/>
          <w:numId w:val="14"/>
        </w:numPr>
        <w:tabs>
          <w:tab w:val="clear" w:pos="567"/>
        </w:tabs>
        <w:spacing w:after="240" w:line="256" w:lineRule="auto"/>
        <w:ind w:left="851" w:hanging="851"/>
      </w:pPr>
      <w:r>
        <w:t>Please provide quantitative evidence regarding the use of non-machine readable formats for written allocations and confirmations.</w:t>
      </w:r>
    </w:p>
    <w:p w14:paraId="7616CC2F" w14:textId="77777777" w:rsidR="00113E80" w:rsidRDefault="00113E80" w:rsidP="00113E80">
      <w:r>
        <w:t>&lt;ESMA_QUESTION_CSDC_9&gt;</w:t>
      </w:r>
    </w:p>
    <w:p w14:paraId="63A41298" w14:textId="603C8313" w:rsidR="00113E80" w:rsidRDefault="00DD0190" w:rsidP="00113E80">
      <w:permStart w:id="310472498" w:edGrp="everyone"/>
      <w:r w:rsidRPr="00D767EB">
        <w:t xml:space="preserve">As a banking association, unfortunately, we are not in a position to provide ESMA with quantitative evidence regarding the use of </w:t>
      </w:r>
      <w:r w:rsidRPr="00D767EB">
        <w:rPr>
          <w:u w:val="single"/>
        </w:rPr>
        <w:t>non-machine</w:t>
      </w:r>
      <w:r w:rsidRPr="00D767EB">
        <w:t>-readable formats for written allocations and confirmations, due to the variety of banks and of their respective roles across the settlement intermediation chain. Hence, we’ll have to leave this aspect to the answers provided by single banks and other market operators.</w:t>
      </w:r>
    </w:p>
    <w:permEnd w:id="310472498"/>
    <w:p w14:paraId="286A443C" w14:textId="77777777" w:rsidR="00113E80" w:rsidRDefault="00113E80" w:rsidP="00113E80">
      <w:r>
        <w:t>&lt;ESMA_QUESTION_CSDC_9&gt;</w:t>
      </w:r>
    </w:p>
    <w:p w14:paraId="0FC884AC" w14:textId="77777777" w:rsidR="00113E80" w:rsidRDefault="00113E80" w:rsidP="00113E80"/>
    <w:p w14:paraId="1A9669EB" w14:textId="77777777" w:rsidR="00113E80" w:rsidRDefault="00113E80" w:rsidP="00113E80">
      <w:pPr>
        <w:pStyle w:val="Questionstyle"/>
        <w:numPr>
          <w:ilvl w:val="0"/>
          <w:numId w:val="14"/>
        </w:numPr>
        <w:tabs>
          <w:tab w:val="clear" w:pos="567"/>
        </w:tabs>
        <w:spacing w:after="240" w:line="256" w:lineRule="auto"/>
        <w:ind w:left="851" w:hanging="851"/>
      </w:pPr>
      <w:r>
        <w:rPr>
          <w:bCs/>
        </w:rPr>
        <w:t xml:space="preserve">Would it be necessary to introduce a similar obligation in other steps of the settlement chain? If yes, please elaborate. </w:t>
      </w:r>
    </w:p>
    <w:p w14:paraId="176A0F07" w14:textId="77777777" w:rsidR="00113E80" w:rsidRDefault="00113E80" w:rsidP="00113E80">
      <w:r>
        <w:t>&lt;ESMA_QUESTION_CSDC_10&gt;</w:t>
      </w:r>
    </w:p>
    <w:p w14:paraId="5ACF2AED" w14:textId="6FC3E804" w:rsidR="00113E80" w:rsidRDefault="00CA76E3" w:rsidP="00113E80">
      <w:permStart w:id="2082210732" w:edGrp="everyone"/>
      <w:r w:rsidRPr="00D767EB">
        <w:t>We believe that, once the Union will have agreed on allocations’ content and format, and the machine-readability and STP will be widespread, with no bottlenecks, then there will be no need “</w:t>
      </w:r>
      <w:r w:rsidRPr="00D767EB">
        <w:rPr>
          <w:i/>
          <w:iCs/>
        </w:rPr>
        <w:t xml:space="preserve">to </w:t>
      </w:r>
      <w:r w:rsidRPr="00D767EB">
        <w:rPr>
          <w:bCs/>
          <w:i/>
          <w:iCs/>
        </w:rPr>
        <w:t>introduce a similar obligation(s) in other steps of the settlement chain</w:t>
      </w:r>
      <w:r w:rsidRPr="00D767EB">
        <w:rPr>
          <w:bCs/>
        </w:rPr>
        <w:t>”.</w:t>
      </w:r>
    </w:p>
    <w:permEnd w:id="2082210732"/>
    <w:p w14:paraId="58AEA674" w14:textId="77777777" w:rsidR="00113E80" w:rsidRDefault="00113E80" w:rsidP="00113E80">
      <w:r>
        <w:t>&lt;ESMA_QUESTION_CSDC_10&gt;</w:t>
      </w:r>
    </w:p>
    <w:p w14:paraId="3F34A09C" w14:textId="77777777" w:rsidR="00113E80" w:rsidRDefault="00113E80" w:rsidP="00113E80"/>
    <w:p w14:paraId="61024CCC" w14:textId="77777777" w:rsidR="00113E80" w:rsidRDefault="00113E80" w:rsidP="00113E80">
      <w:pPr>
        <w:pStyle w:val="Questionstyle"/>
        <w:numPr>
          <w:ilvl w:val="0"/>
          <w:numId w:val="14"/>
        </w:numPr>
        <w:tabs>
          <w:tab w:val="clear" w:pos="567"/>
        </w:tabs>
        <w:spacing w:after="240" w:line="256" w:lineRule="auto"/>
        <w:ind w:left="851" w:hanging="851"/>
      </w:pPr>
      <w:r>
        <w:rPr>
          <w:bCs/>
        </w:rPr>
        <w:t>Can you suggest any other means to achieve the same objective? If yes, please elaborate</w:t>
      </w:r>
      <w:r>
        <w:t xml:space="preserve"> </w:t>
      </w:r>
    </w:p>
    <w:p w14:paraId="30491CEE" w14:textId="77777777" w:rsidR="00113E80" w:rsidRDefault="00113E80" w:rsidP="00113E80">
      <w:r>
        <w:t>&lt;ESMA_QUESTION_CSDC_11&gt;</w:t>
      </w:r>
    </w:p>
    <w:p w14:paraId="7FE7A2BC" w14:textId="75F7CFDA" w:rsidR="00113E80" w:rsidRDefault="00CA3D2E" w:rsidP="00113E80">
      <w:permStart w:id="121250484" w:edGrp="everyone"/>
      <w:r w:rsidRPr="00D767EB">
        <w:rPr>
          <w:bCs/>
        </w:rPr>
        <w:t>No, we do not see other means to achieve the same objective.</w:t>
      </w:r>
    </w:p>
    <w:permEnd w:id="121250484"/>
    <w:p w14:paraId="745B030D" w14:textId="77777777" w:rsidR="00113E80" w:rsidRDefault="00113E80" w:rsidP="00113E80">
      <w:r>
        <w:t>&lt;ESMA_QUESTION_CSDC_11&gt;</w:t>
      </w:r>
    </w:p>
    <w:p w14:paraId="6290F432" w14:textId="77777777" w:rsidR="00113E80" w:rsidRPr="005C5C54" w:rsidRDefault="00113E80" w:rsidP="00113E80">
      <w:pPr>
        <w:rPr>
          <w:b/>
          <w:bCs/>
        </w:rPr>
      </w:pPr>
    </w:p>
    <w:p w14:paraId="49E16D18" w14:textId="11CB7E73" w:rsidR="005C5C54" w:rsidRPr="005C5C54" w:rsidRDefault="005C5C54" w:rsidP="00113E80">
      <w:pPr>
        <w:rPr>
          <w:b/>
          <w:bCs/>
        </w:rPr>
      </w:pPr>
      <w:r w:rsidRPr="005C5C54">
        <w:rPr>
          <w:b/>
          <w:bCs/>
        </w:rPr>
        <w:lastRenderedPageBreak/>
        <w:t>3.1.3</w:t>
      </w:r>
      <w:r w:rsidRPr="005C5C54">
        <w:rPr>
          <w:b/>
          <w:bCs/>
        </w:rPr>
        <w:tab/>
        <w:t>The use of international open communication procedures and standards for messaging and reference data to exchange allocations and confirmations</w:t>
      </w:r>
    </w:p>
    <w:p w14:paraId="6126B82C" w14:textId="77777777" w:rsidR="005C5C54" w:rsidRDefault="005C5C54" w:rsidP="00113E80"/>
    <w:p w14:paraId="6DF50059"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Do you agree with the proposed amendment to Article 2 of CDR 2018/1229?</w:t>
      </w:r>
    </w:p>
    <w:p w14:paraId="6B1B3C88" w14:textId="77777777" w:rsidR="00113E80" w:rsidRDefault="00113E80" w:rsidP="00113E80">
      <w:r>
        <w:t>&lt;ESMA_QUESTION_CSDC_12&gt;</w:t>
      </w:r>
    </w:p>
    <w:p w14:paraId="0EEE2452" w14:textId="0356812A" w:rsidR="00113E80" w:rsidRDefault="00117F26" w:rsidP="00113E80">
      <w:permStart w:id="1944546360" w:edGrp="everyone"/>
      <w:r w:rsidRPr="00D767EB">
        <w:t xml:space="preserve">Yes, we agree </w:t>
      </w:r>
      <w:r w:rsidRPr="00D767EB">
        <w:rPr>
          <w:bCs/>
        </w:rPr>
        <w:t xml:space="preserve">with the proposed amendment to Article 2 of CDR 2018/1229, as it allows moving </w:t>
      </w:r>
      <w:r w:rsidRPr="00D767EB">
        <w:rPr>
          <w:bCs/>
          <w:u w:val="single"/>
        </w:rPr>
        <w:t>from</w:t>
      </w:r>
      <w:r w:rsidRPr="00D767EB">
        <w:rPr>
          <w:bCs/>
        </w:rPr>
        <w:t xml:space="preserve"> the </w:t>
      </w:r>
      <w:r w:rsidRPr="00D767EB">
        <w:rPr>
          <w:bCs/>
          <w:u w:val="single"/>
        </w:rPr>
        <w:t>optionality</w:t>
      </w:r>
      <w:r w:rsidRPr="00D767EB">
        <w:rPr>
          <w:bCs/>
        </w:rPr>
        <w:t xml:space="preserve"> for investment firms to offer “</w:t>
      </w:r>
      <w:r w:rsidRPr="00D767EB">
        <w:rPr>
          <w:bCs/>
          <w:i/>
          <w:iCs/>
        </w:rPr>
        <w:t>international open communication procedures and standards for messaging and reference data</w:t>
      </w:r>
      <w:r w:rsidRPr="00D767EB">
        <w:rPr>
          <w:bCs/>
        </w:rPr>
        <w:t>” to a mandatory provision such messages and standards.</w:t>
      </w:r>
    </w:p>
    <w:permEnd w:id="1944546360"/>
    <w:p w14:paraId="60F41B74" w14:textId="77777777" w:rsidR="00113E80" w:rsidRDefault="00113E80" w:rsidP="00113E80">
      <w:r>
        <w:t>&lt;ESMA_QUESTION_CSDC_12&gt;</w:t>
      </w:r>
    </w:p>
    <w:p w14:paraId="0FCE1DCA" w14:textId="77777777" w:rsidR="00113E80" w:rsidRDefault="00113E80" w:rsidP="00113E80"/>
    <w:p w14:paraId="71599064" w14:textId="77777777" w:rsidR="00113E80" w:rsidRDefault="00113E80" w:rsidP="00113E80">
      <w:pPr>
        <w:pStyle w:val="Questionstyle"/>
        <w:numPr>
          <w:ilvl w:val="0"/>
          <w:numId w:val="14"/>
        </w:numPr>
        <w:tabs>
          <w:tab w:val="clear" w:pos="567"/>
        </w:tabs>
        <w:spacing w:after="240" w:line="256" w:lineRule="auto"/>
        <w:ind w:left="851" w:hanging="851"/>
      </w:pPr>
      <w:r>
        <w:t>Do you agree that settlement efficiency would improve if all parties in the transaction and settlement chain used the latest international standards, such as the ISO 20022 messaging standards, in particular whenever A2A messages and data are exchanged? If not, please elaborate. How long would it take for all parties to adapt to ISO20022?</w:t>
      </w:r>
    </w:p>
    <w:p w14:paraId="14054D82" w14:textId="77777777" w:rsidR="00113E80" w:rsidRDefault="00113E80" w:rsidP="00113E80">
      <w:r>
        <w:t>&lt;ESMA_QUESTION_CSDC_13&gt;</w:t>
      </w:r>
    </w:p>
    <w:p w14:paraId="5238EE9E" w14:textId="77777777" w:rsidR="00A9000C" w:rsidRDefault="00A9000C" w:rsidP="00A9000C">
      <w:permStart w:id="368068282" w:edGrp="everyone"/>
      <w:r w:rsidRPr="00D767EB">
        <w:t xml:space="preserve">Yes, we agree that Settlement Efficiency would improve if all parties would do so. However, we take this opportunity to highlight the importance of intervening </w:t>
      </w:r>
      <w:r>
        <w:t>on</w:t>
      </w:r>
      <w:r w:rsidRPr="00D767EB">
        <w:t xml:space="preserve"> </w:t>
      </w:r>
      <w:r>
        <w:t xml:space="preserve">the </w:t>
      </w:r>
      <w:r w:rsidRPr="00D767EB">
        <w:t>Q&amp;A on CSDR (recalled under par.49), especially where ESMA clarified (par.50, which quotes such Q&amp;As) that “</w:t>
      </w:r>
      <w:r w:rsidRPr="00D767EB">
        <w:rPr>
          <w:i/>
          <w:iCs/>
          <w:color w:val="0070C0"/>
        </w:rPr>
        <w:t>the use by CSDs</w:t>
      </w:r>
      <w:r w:rsidRPr="00D767EB">
        <w:t xml:space="preserve"> </w:t>
      </w:r>
      <w:r w:rsidRPr="00D767EB">
        <w:rPr>
          <w:i/>
          <w:iCs/>
          <w:color w:val="0070C0"/>
        </w:rPr>
        <w:t xml:space="preserve">messaging standards other than international open communication procedures and standards (such as internal or domestic standards) in their communication procedures with the participants of the securities settlement systems they operate, and the market infrastructures they interface with, </w:t>
      </w:r>
      <w:r w:rsidRPr="00D767EB">
        <w:rPr>
          <w:i/>
          <w:iCs/>
          <w:color w:val="0070C0"/>
          <w:u w:val="single"/>
        </w:rPr>
        <w:t>would not</w:t>
      </w:r>
      <w:r w:rsidRPr="00D767EB">
        <w:rPr>
          <w:i/>
          <w:iCs/>
          <w:color w:val="0070C0"/>
        </w:rPr>
        <w:t xml:space="preserve"> fulfil this requirement, even with a mapping from domestic standards to international open communication procedures and standards such as the SWIFT/ISO standards</w:t>
      </w:r>
      <w:r w:rsidRPr="00D767EB">
        <w:t xml:space="preserve">”. Under such paragraph, </w:t>
      </w:r>
      <w:r w:rsidRPr="00D767EB">
        <w:rPr>
          <w:b/>
          <w:bCs/>
        </w:rPr>
        <w:t>ESMA shall now make explicit reference to standard</w:t>
      </w:r>
      <w:r>
        <w:rPr>
          <w:b/>
          <w:bCs/>
        </w:rPr>
        <w:t xml:space="preserve">ise </w:t>
      </w:r>
      <w:r w:rsidRPr="006B615E">
        <w:rPr>
          <w:b/>
          <w:bCs/>
        </w:rPr>
        <w:t>the messages’ content</w:t>
      </w:r>
      <w:r>
        <w:t>, avoiding DSS, proprietary formats and codes</w:t>
      </w:r>
      <w:r w:rsidRPr="00D767EB">
        <w:t>.</w:t>
      </w:r>
    </w:p>
    <w:p w14:paraId="6D26FCB6" w14:textId="2CF34C32" w:rsidR="00A9000C" w:rsidRPr="00D767EB" w:rsidRDefault="00A9000C" w:rsidP="00A9000C">
      <w:r>
        <w:t>Indeed, t</w:t>
      </w:r>
      <w:r w:rsidRPr="00FB154B">
        <w:t>he adoption of the ISO 20022 should be addressed with great caution</w:t>
      </w:r>
      <w:r>
        <w:t xml:space="preserve"> as </w:t>
      </w:r>
      <w:r w:rsidRPr="00FB154B">
        <w:t>the key issue is the timing for the adoption of this standard</w:t>
      </w:r>
      <w:r>
        <w:t xml:space="preserve"> (not the standard per s</w:t>
      </w:r>
      <w:r w:rsidR="000B4DCD">
        <w:t>e</w:t>
      </w:r>
      <w:r>
        <w:t>)</w:t>
      </w:r>
      <w:r w:rsidRPr="00FB154B">
        <w:t xml:space="preserve">. Any requirement to adopt ISO 20022 in parallel with the huge set of complex and costly preparatory activities for the switch to T+1 would represent an extremely serious challenge. </w:t>
      </w:r>
      <w:r>
        <w:t>Hence</w:t>
      </w:r>
      <w:r w:rsidRPr="00FB154B">
        <w:t xml:space="preserve">, a pragmatic solution </w:t>
      </w:r>
      <w:r w:rsidRPr="00FB154B">
        <w:lastRenderedPageBreak/>
        <w:t xml:space="preserve">could be the </w:t>
      </w:r>
      <w:r>
        <w:t xml:space="preserve">amendment of the CSDR Q&amp;A paragraph mentioned above (making it refer to standardising messages’ content) and refer to the </w:t>
      </w:r>
      <w:r w:rsidRPr="00FB154B">
        <w:t>adoption of ISO 20022 in the medium term</w:t>
      </w:r>
      <w:r>
        <w:t>.</w:t>
      </w:r>
    </w:p>
    <w:p w14:paraId="2A7B2D66" w14:textId="0BB9BFBE" w:rsidR="00113E80" w:rsidRDefault="00A9000C" w:rsidP="00A9000C">
      <w:r w:rsidRPr="00D767EB">
        <w:t xml:space="preserve">Further to that, ESMA should note that, nowadays, there are messages to exchange allocations and confirmations (A&amp;C), but there aren’t for </w:t>
      </w:r>
      <w:r w:rsidRPr="00D767EB">
        <w:rPr>
          <w:i/>
          <w:iCs/>
        </w:rPr>
        <w:t>Trade Matching</w:t>
      </w:r>
      <w:r>
        <w:rPr>
          <w:i/>
          <w:iCs/>
        </w:rPr>
        <w:t xml:space="preserve"> </w:t>
      </w:r>
      <w:r>
        <w:t>stats</w:t>
      </w:r>
      <w:r w:rsidRPr="00D767EB">
        <w:rPr>
          <w:i/>
          <w:iCs/>
        </w:rPr>
        <w:t>.</w:t>
      </w:r>
    </w:p>
    <w:permEnd w:id="368068282"/>
    <w:p w14:paraId="52896C3C" w14:textId="77777777" w:rsidR="00113E80" w:rsidRDefault="00113E80" w:rsidP="00113E80">
      <w:r>
        <w:t>&lt;ESMA_QUESTION_CSDC_13&gt;</w:t>
      </w:r>
    </w:p>
    <w:p w14:paraId="7D0A0CE4" w14:textId="77777777" w:rsidR="00113E80" w:rsidRDefault="00113E80" w:rsidP="00113E80"/>
    <w:p w14:paraId="059D7188" w14:textId="77777777" w:rsidR="00113E80" w:rsidRDefault="00113E80" w:rsidP="00113E80">
      <w:pPr>
        <w:pStyle w:val="Questionstyle"/>
        <w:numPr>
          <w:ilvl w:val="0"/>
          <w:numId w:val="14"/>
        </w:numPr>
        <w:tabs>
          <w:tab w:val="clear" w:pos="567"/>
        </w:tabs>
        <w:spacing w:after="240" w:line="256" w:lineRule="auto"/>
        <w:ind w:left="851" w:hanging="851"/>
      </w:pPr>
      <w:r>
        <w:t>Can you provide figures (by number and type of financial entities, jurisdictions) regarding the current use of international open communication procedures and standards such as: a) ISO 20022, b) ISO 15022, c) others (please specify)?</w:t>
      </w:r>
    </w:p>
    <w:p w14:paraId="041914B3" w14:textId="77777777" w:rsidR="00113E80" w:rsidRDefault="00113E80" w:rsidP="00113E80">
      <w:r>
        <w:t>&lt;ESMA_QUESTION_CSDC_14&gt;</w:t>
      </w:r>
    </w:p>
    <w:p w14:paraId="513BC389" w14:textId="77777777" w:rsidR="00113E80" w:rsidRDefault="00113E80" w:rsidP="00113E80">
      <w:permStart w:id="1359430245" w:edGrp="everyone"/>
      <w:r>
        <w:t>TYPE YOUR TEXT HERE</w:t>
      </w:r>
    </w:p>
    <w:permEnd w:id="1359430245"/>
    <w:p w14:paraId="7CC9348F" w14:textId="77777777" w:rsidR="00113E80" w:rsidRDefault="00113E80" w:rsidP="00113E80">
      <w:r>
        <w:t>&lt;ESMA_QUESTION_CSDC_14&gt;</w:t>
      </w:r>
    </w:p>
    <w:p w14:paraId="4DF25154" w14:textId="77777777" w:rsidR="00113E80" w:rsidRDefault="00113E80" w:rsidP="00113E80"/>
    <w:p w14:paraId="6426D543" w14:textId="77777777" w:rsidR="00113E80" w:rsidRDefault="00113E80" w:rsidP="00113E80">
      <w:pPr>
        <w:pStyle w:val="Questionstyle"/>
        <w:numPr>
          <w:ilvl w:val="0"/>
          <w:numId w:val="14"/>
        </w:numPr>
        <w:tabs>
          <w:tab w:val="clear" w:pos="567"/>
        </w:tabs>
        <w:spacing w:after="240" w:line="256" w:lineRule="auto"/>
        <w:ind w:left="851" w:hanging="851"/>
      </w:pPr>
      <w:r>
        <w:rPr>
          <w:bCs/>
        </w:rPr>
        <w:t>Do you agree with the proposal of the EU Industry Task Force whereby allocation requirements should be aligned with CSD-level matching requirements? If not, please elaborate.</w:t>
      </w:r>
    </w:p>
    <w:p w14:paraId="40D04BB3" w14:textId="77777777" w:rsidR="00113E80" w:rsidRDefault="00113E80" w:rsidP="00113E80">
      <w:r>
        <w:t>&lt;ESMA_QUESTION_CSDC_15&gt;</w:t>
      </w:r>
    </w:p>
    <w:p w14:paraId="11F4DC22" w14:textId="4C6A1C34" w:rsidR="00113E80" w:rsidRDefault="001D69BB" w:rsidP="00113E80">
      <w:permStart w:id="145703960" w:edGrp="everyone"/>
      <w:r w:rsidRPr="00D767EB">
        <w:t xml:space="preserve">On the basis of its members’ feedback, ABI </w:t>
      </w:r>
      <w:r w:rsidRPr="00D767EB">
        <w:rPr>
          <w:u w:val="single"/>
        </w:rPr>
        <w:t>does not</w:t>
      </w:r>
      <w:r w:rsidRPr="00D767EB">
        <w:t xml:space="preserve"> </w:t>
      </w:r>
      <w:r w:rsidRPr="00D767EB">
        <w:rPr>
          <w:bCs/>
        </w:rPr>
        <w:t xml:space="preserve">agree with the proposal of the EU Industry Task Force, whereby allocation requirements should be aligned with CSD-level matching requirements. Indeed, the relevant report produced and transmitted by CSDs on this only provides for “matched/unmatched” statuses. Very rarely it is complemented by information on the </w:t>
      </w:r>
      <w:r>
        <w:rPr>
          <w:bCs/>
        </w:rPr>
        <w:t xml:space="preserve">underlying root </w:t>
      </w:r>
      <w:r w:rsidRPr="00D767EB">
        <w:rPr>
          <w:bCs/>
        </w:rPr>
        <w:t xml:space="preserve">causes. Hence, to answer the question, </w:t>
      </w:r>
      <w:r w:rsidRPr="00D767EB">
        <w:rPr>
          <w:bCs/>
          <w:i/>
          <w:iCs/>
        </w:rPr>
        <w:t>allocation requirements</w:t>
      </w:r>
      <w:r w:rsidRPr="00D767EB">
        <w:rPr>
          <w:bCs/>
        </w:rPr>
        <w:t xml:space="preserve"> should not be aligned with CSD-level matching requirements but mandatorily include more data and information than that provided by CSDs.</w:t>
      </w:r>
      <w:r>
        <w:rPr>
          <w:bCs/>
        </w:rPr>
        <w:t xml:space="preserve"> Finally, we consider it appropriate to highlight once more the need to have common templates across CSDs for instructing realignments and cross border settlements.</w:t>
      </w:r>
    </w:p>
    <w:permEnd w:id="145703960"/>
    <w:p w14:paraId="79ADD07A" w14:textId="77777777" w:rsidR="00113E80" w:rsidRDefault="00113E80" w:rsidP="00113E80">
      <w:r>
        <w:t>&lt;ESMA_QUESTION_CSDC_15&gt;</w:t>
      </w:r>
    </w:p>
    <w:p w14:paraId="1C23C724" w14:textId="77777777" w:rsidR="00113E80" w:rsidRDefault="00113E80" w:rsidP="00113E80"/>
    <w:p w14:paraId="239B7C6F" w14:textId="77777777" w:rsidR="00113E80" w:rsidRDefault="00113E80" w:rsidP="00113E80">
      <w:pPr>
        <w:pStyle w:val="Questionstyle"/>
        <w:numPr>
          <w:ilvl w:val="0"/>
          <w:numId w:val="14"/>
        </w:numPr>
        <w:tabs>
          <w:tab w:val="clear" w:pos="567"/>
        </w:tabs>
        <w:spacing w:after="240" w:line="256" w:lineRule="auto"/>
        <w:ind w:left="851" w:hanging="851"/>
      </w:pPr>
      <w:r>
        <w:rPr>
          <w:bCs/>
        </w:rPr>
        <w:lastRenderedPageBreak/>
        <w:t>Can you suggest any other means to achieve the same objective? If yes, please elaborate.</w:t>
      </w:r>
    </w:p>
    <w:p w14:paraId="1F016553" w14:textId="77777777" w:rsidR="00113E80" w:rsidRDefault="00113E80" w:rsidP="00113E80">
      <w:r>
        <w:t>&lt;ESMA_QUESTION_CSDC_16&gt;</w:t>
      </w:r>
    </w:p>
    <w:p w14:paraId="1398E112" w14:textId="77777777" w:rsidR="00113E80" w:rsidRDefault="00113E80" w:rsidP="00113E80">
      <w:permStart w:id="1663978526" w:edGrp="everyone"/>
      <w:r>
        <w:t>TYPE YOUR TEXT HERE</w:t>
      </w:r>
    </w:p>
    <w:permEnd w:id="1663978526"/>
    <w:p w14:paraId="6AFF20B1" w14:textId="77777777" w:rsidR="00113E80" w:rsidRDefault="00113E80" w:rsidP="00113E80">
      <w:r>
        <w:t>&lt;ESMA_QUESTION_CSDC_16&gt;</w:t>
      </w:r>
    </w:p>
    <w:p w14:paraId="50316FC7" w14:textId="77777777" w:rsidR="005C5C54" w:rsidRDefault="005C5C54" w:rsidP="00113E80">
      <w:pPr>
        <w:rPr>
          <w:b/>
          <w:bCs/>
        </w:rPr>
      </w:pPr>
    </w:p>
    <w:p w14:paraId="2706860F" w14:textId="63265255" w:rsidR="005C5C54" w:rsidRPr="005C5C54" w:rsidRDefault="005C5C54" w:rsidP="00113E80">
      <w:pPr>
        <w:rPr>
          <w:b/>
          <w:bCs/>
        </w:rPr>
      </w:pPr>
      <w:r w:rsidRPr="005C5C54">
        <w:rPr>
          <w:b/>
          <w:bCs/>
        </w:rPr>
        <w:t>3.1.4</w:t>
      </w:r>
      <w:r w:rsidRPr="005C5C54">
        <w:rPr>
          <w:b/>
          <w:bCs/>
        </w:rPr>
        <w:tab/>
        <w:t>Onboarding of new clients</w:t>
      </w:r>
    </w:p>
    <w:p w14:paraId="58960622" w14:textId="77777777" w:rsidR="00113E80" w:rsidRDefault="00113E80" w:rsidP="00113E80"/>
    <w:p w14:paraId="0E762C7B" w14:textId="77777777" w:rsidR="00113E80" w:rsidRDefault="00113E80" w:rsidP="00113E80">
      <w:pPr>
        <w:pStyle w:val="Questionstyle"/>
        <w:numPr>
          <w:ilvl w:val="0"/>
          <w:numId w:val="14"/>
        </w:numPr>
        <w:tabs>
          <w:tab w:val="clear" w:pos="567"/>
        </w:tabs>
        <w:spacing w:after="240" w:line="256" w:lineRule="auto"/>
        <w:ind w:left="851" w:hanging="851"/>
      </w:pPr>
      <w:r>
        <w:t>Do you agree with the proposed regulatory change to introduce an obligation for investment firms to collect the data necessary to settle a trade from professional clients during their onboarding and to keep it updated? If not, please explain.</w:t>
      </w:r>
    </w:p>
    <w:p w14:paraId="66953443" w14:textId="77777777" w:rsidR="00113E80" w:rsidRDefault="00113E80" w:rsidP="00113E80">
      <w:r>
        <w:t>&lt;ESMA_QUESTION_CSDC_17&gt;</w:t>
      </w:r>
    </w:p>
    <w:p w14:paraId="4248025C" w14:textId="77777777" w:rsidR="005B1E64" w:rsidRPr="00D767EB" w:rsidRDefault="005B1E64" w:rsidP="005B1E64">
      <w:pPr>
        <w:rPr>
          <w:color w:val="auto"/>
        </w:rPr>
      </w:pPr>
      <w:permStart w:id="1657810091" w:edGrp="everyone"/>
      <w:r w:rsidRPr="00D767EB">
        <w:t>We understand the considerations that led ESMA to the amendment proposal for Art.2 of CDR, i.e. placing on investment firms the duty to</w:t>
      </w:r>
      <w:r w:rsidRPr="00D767EB">
        <w:rPr>
          <w:i/>
          <w:iCs/>
          <w:color w:val="0070C0"/>
        </w:rPr>
        <w:t xml:space="preserve"> collect from professional clients, during their onboarding, all data necessary to settle a trade.</w:t>
      </w:r>
      <w:r w:rsidRPr="00D767EB">
        <w:t xml:space="preserve"> On the basis of our members’ feedback, though, we believe that </w:t>
      </w:r>
      <w:r w:rsidRPr="00D767EB">
        <w:rPr>
          <w:u w:val="single"/>
        </w:rPr>
        <w:t>professional clients shall be equally accountable</w:t>
      </w:r>
      <w:r w:rsidRPr="00D767EB">
        <w:t>, and equally recalled under such Art.2 to “</w:t>
      </w:r>
      <w:r w:rsidRPr="00D767EB">
        <w:rPr>
          <w:i/>
          <w:iCs/>
          <w:color w:val="0070C0"/>
        </w:rPr>
        <w:t xml:space="preserve">keep that information updated at all times, </w:t>
      </w:r>
      <w:r w:rsidRPr="00D767EB">
        <w:rPr>
          <w:i/>
          <w:iCs/>
          <w:color w:val="C00000"/>
        </w:rPr>
        <w:t>by communicating that to their relevant investment firm(s)</w:t>
      </w:r>
      <w:r w:rsidRPr="00D767EB">
        <w:rPr>
          <w:i/>
          <w:iCs/>
          <w:color w:val="0070C0"/>
        </w:rPr>
        <w:t>”.</w:t>
      </w:r>
    </w:p>
    <w:p w14:paraId="5F8F510C" w14:textId="77777777" w:rsidR="005B1E64" w:rsidRPr="00D767EB" w:rsidRDefault="005B1E64" w:rsidP="005B1E64">
      <w:pPr>
        <w:rPr>
          <w:color w:val="auto"/>
        </w:rPr>
      </w:pPr>
      <w:r w:rsidRPr="00D767EB">
        <w:rPr>
          <w:color w:val="auto"/>
        </w:rPr>
        <w:t>Hence, we’d suggest the following rewording the amendment proposal:</w:t>
      </w:r>
    </w:p>
    <w:p w14:paraId="18251A18" w14:textId="77777777" w:rsidR="005B1E64" w:rsidRPr="00D767EB" w:rsidRDefault="005B1E64" w:rsidP="005B1E64">
      <w:pPr>
        <w:rPr>
          <w:i/>
          <w:iCs/>
          <w:color w:val="0070C0"/>
        </w:rPr>
      </w:pPr>
      <w:r w:rsidRPr="00D767EB">
        <w:rPr>
          <w:i/>
          <w:iCs/>
          <w:color w:val="0070C0"/>
        </w:rPr>
        <w:t>“Investment firms shall collect all data necessary to settle a trade from professional clients during their onboarding</w:t>
      </w:r>
      <w:r w:rsidRPr="00D767EB">
        <w:rPr>
          <w:i/>
          <w:iCs/>
          <w:color w:val="C00000"/>
        </w:rPr>
        <w:t>.</w:t>
      </w:r>
      <w:r w:rsidRPr="00D767EB">
        <w:rPr>
          <w:i/>
          <w:iCs/>
          <w:color w:val="0070C0"/>
        </w:rPr>
        <w:t xml:space="preserve"> </w:t>
      </w:r>
      <w:r w:rsidRPr="00D767EB">
        <w:rPr>
          <w:i/>
          <w:iCs/>
          <w:color w:val="C00000"/>
        </w:rPr>
        <w:t xml:space="preserve">Professional clients shall promptly communicate to their relevant investment firm(s) any change in such data provided during the onboarding process and be accountable for </w:t>
      </w:r>
      <w:r w:rsidRPr="00D767EB">
        <w:rPr>
          <w:i/>
          <w:iCs/>
          <w:color w:val="0070C0"/>
        </w:rPr>
        <w:t xml:space="preserve">that information </w:t>
      </w:r>
      <w:r w:rsidRPr="00D767EB">
        <w:rPr>
          <w:i/>
          <w:iCs/>
          <w:color w:val="C00000"/>
        </w:rPr>
        <w:t xml:space="preserve">being </w:t>
      </w:r>
      <w:r w:rsidRPr="00D767EB">
        <w:rPr>
          <w:i/>
          <w:iCs/>
          <w:color w:val="0070C0"/>
        </w:rPr>
        <w:t xml:space="preserve">updated at all times. </w:t>
      </w:r>
      <w:r w:rsidRPr="00D767EB">
        <w:rPr>
          <w:i/>
          <w:iCs/>
          <w:color w:val="C00000"/>
        </w:rPr>
        <w:t>In terms of timing, professional client(s) shall proceed so in due time and no later than the date on which any of their order(s) be placed on the market</w:t>
      </w:r>
      <w:r w:rsidRPr="00D767EB">
        <w:rPr>
          <w:i/>
          <w:iCs/>
        </w:rPr>
        <w:t>”</w:t>
      </w:r>
    </w:p>
    <w:p w14:paraId="0502D66B" w14:textId="6266D14D" w:rsidR="00113E80" w:rsidRDefault="005B1E64" w:rsidP="005B1E64">
      <w:r w:rsidRPr="00D767EB">
        <w:t xml:space="preserve">This should be the case as operational experience showed that investment firms </w:t>
      </w:r>
      <w:r w:rsidRPr="00D767EB">
        <w:rPr>
          <w:u w:val="single"/>
        </w:rPr>
        <w:t>cannot</w:t>
      </w:r>
      <w:r w:rsidRPr="00D767EB">
        <w:t xml:space="preserve"> be aware of whether (for instance) a professional client has changed its relevant custodian bank.</w:t>
      </w:r>
    </w:p>
    <w:permEnd w:id="1657810091"/>
    <w:p w14:paraId="58E885CF" w14:textId="77777777" w:rsidR="00113E80" w:rsidRDefault="00113E80" w:rsidP="00113E80">
      <w:r>
        <w:t>&lt;ESMA_QUESTION_CSDC_17&gt;</w:t>
      </w:r>
    </w:p>
    <w:p w14:paraId="6B624637" w14:textId="77777777" w:rsidR="00113E80" w:rsidRDefault="00113E80" w:rsidP="00113E80"/>
    <w:p w14:paraId="342C9B06" w14:textId="77777777" w:rsidR="00113E80" w:rsidRDefault="00113E80" w:rsidP="00113E80">
      <w:pPr>
        <w:pStyle w:val="Questionstyle"/>
        <w:numPr>
          <w:ilvl w:val="0"/>
          <w:numId w:val="14"/>
        </w:numPr>
        <w:tabs>
          <w:tab w:val="clear" w:pos="567"/>
        </w:tabs>
        <w:spacing w:after="240" w:line="256" w:lineRule="auto"/>
        <w:ind w:left="851" w:hanging="851"/>
      </w:pPr>
      <w:r>
        <w:t>Can you suggest any other means to achieve the same objective? If yes, please elaborate.</w:t>
      </w:r>
    </w:p>
    <w:p w14:paraId="2E441683" w14:textId="77777777" w:rsidR="00113E80" w:rsidRDefault="00113E80" w:rsidP="00113E80">
      <w:r>
        <w:t>&lt;ESMA_QUESTION_CSDC_18&gt;</w:t>
      </w:r>
    </w:p>
    <w:p w14:paraId="0520778F" w14:textId="77777777" w:rsidR="00113E80" w:rsidRDefault="00113E80" w:rsidP="00113E80">
      <w:permStart w:id="693599968" w:edGrp="everyone"/>
      <w:r>
        <w:t>TYPE YOUR TEXT HERE</w:t>
      </w:r>
    </w:p>
    <w:permEnd w:id="693599968"/>
    <w:p w14:paraId="499765DE" w14:textId="77777777" w:rsidR="00113E80" w:rsidRDefault="00113E80" w:rsidP="00113E80">
      <w:r>
        <w:t>&lt;ESMA_QUESTION_CSDC_18&gt;</w:t>
      </w:r>
    </w:p>
    <w:p w14:paraId="060AEB64" w14:textId="77777777" w:rsidR="005A35CA" w:rsidRDefault="005A35CA" w:rsidP="00113E80"/>
    <w:p w14:paraId="361D05CA" w14:textId="4970F6D9" w:rsidR="005A35CA" w:rsidRPr="005A35CA" w:rsidRDefault="005A35CA" w:rsidP="00113E80">
      <w:pPr>
        <w:rPr>
          <w:b/>
          <w:bCs/>
        </w:rPr>
      </w:pPr>
      <w:r w:rsidRPr="005A35CA">
        <w:rPr>
          <w:b/>
          <w:bCs/>
        </w:rPr>
        <w:t>3.1.6</w:t>
      </w:r>
      <w:r w:rsidRPr="005A35CA">
        <w:rPr>
          <w:b/>
          <w:bCs/>
        </w:rPr>
        <w:tab/>
        <w:t>Partial settlement</w:t>
      </w:r>
    </w:p>
    <w:p w14:paraId="502BC2F9" w14:textId="77777777" w:rsidR="00113E80" w:rsidRDefault="00113E80" w:rsidP="00113E80"/>
    <w:p w14:paraId="39E3B5AE" w14:textId="77777777" w:rsidR="00113E80" w:rsidRDefault="00113E80" w:rsidP="00113E80">
      <w:pPr>
        <w:pStyle w:val="Questionstyle"/>
        <w:numPr>
          <w:ilvl w:val="0"/>
          <w:numId w:val="14"/>
        </w:numPr>
        <w:tabs>
          <w:tab w:val="clear" w:pos="567"/>
        </w:tabs>
        <w:spacing w:after="240" w:line="256" w:lineRule="auto"/>
        <w:ind w:left="851" w:hanging="851"/>
      </w:pPr>
      <w:r>
        <w:t>Do you agree with the proposed amendment to Article 10 of CDR 2018/1229? If not, please elaborate.</w:t>
      </w:r>
    </w:p>
    <w:p w14:paraId="6FBDAB46" w14:textId="77777777" w:rsidR="00113E80" w:rsidRDefault="00113E80" w:rsidP="00113E80">
      <w:r>
        <w:t>&lt;ESMA_QUESTION_CSDC_19&gt;</w:t>
      </w:r>
    </w:p>
    <w:p w14:paraId="5A609F2E" w14:textId="7949FDD4" w:rsidR="00113E80" w:rsidRDefault="00DF553E" w:rsidP="00113E80">
      <w:permStart w:id="628694048" w:edGrp="everyone"/>
      <w:r w:rsidRPr="00D767EB">
        <w:t>Yes, ABI agrees with the proposed amendment to Art. 10 of CDR, regarding Partial Settlement, as it presented on pag.29, as it makes the legislative provision more precise, punctual and close to operational needs.</w:t>
      </w:r>
    </w:p>
    <w:permEnd w:id="628694048"/>
    <w:p w14:paraId="47C78033" w14:textId="77777777" w:rsidR="00113E80" w:rsidRDefault="00113E80" w:rsidP="00113E80">
      <w:r>
        <w:t>&lt;ESMA_QUESTION_CSDC_19&gt;</w:t>
      </w:r>
    </w:p>
    <w:p w14:paraId="4B8E1239" w14:textId="77777777" w:rsidR="00113E80" w:rsidRDefault="00113E80" w:rsidP="00113E80"/>
    <w:p w14:paraId="245DEB8D" w14:textId="77777777" w:rsidR="00113E80" w:rsidRDefault="00113E80" w:rsidP="00113E80">
      <w:pPr>
        <w:pStyle w:val="Questionstyle"/>
        <w:numPr>
          <w:ilvl w:val="0"/>
          <w:numId w:val="14"/>
        </w:numPr>
        <w:tabs>
          <w:tab w:val="clear" w:pos="567"/>
        </w:tabs>
        <w:spacing w:after="240" w:line="256" w:lineRule="auto"/>
        <w:ind w:left="851" w:hanging="851"/>
      </w:pPr>
      <w:r>
        <w:t>Do you agree with the deletion of Article 12 of CDR 2018/1229? If not, please elaborate.</w:t>
      </w:r>
    </w:p>
    <w:p w14:paraId="422247B4" w14:textId="77777777" w:rsidR="00113E80" w:rsidRDefault="00113E80" w:rsidP="00113E80">
      <w:r>
        <w:t>&lt;ESMA_QUESTION_CSDC_20&gt;</w:t>
      </w:r>
    </w:p>
    <w:p w14:paraId="3825A92C" w14:textId="6EE4403F" w:rsidR="00113E80" w:rsidRDefault="000D57EB" w:rsidP="00113E80">
      <w:permStart w:id="272843166" w:edGrp="everyone"/>
      <w:r w:rsidRPr="00D767EB">
        <w:t xml:space="preserve">We agree with the deletion of Art.12 of CDR as it purports ABI’s position on Hold &amp; Release and Partial Settlement, as presented in our response to ESMA’s </w:t>
      </w:r>
      <w:proofErr w:type="spellStart"/>
      <w:r w:rsidRPr="00D767EB">
        <w:t>CfE</w:t>
      </w:r>
      <w:proofErr w:type="spellEnd"/>
      <w:r w:rsidRPr="00D767EB">
        <w:t xml:space="preserve"> run in October/December 2023.</w:t>
      </w:r>
    </w:p>
    <w:permEnd w:id="272843166"/>
    <w:p w14:paraId="17D7BC3A" w14:textId="77777777" w:rsidR="00113E80" w:rsidRDefault="00113E80" w:rsidP="00113E80">
      <w:r>
        <w:t>&lt;ESMA_QUESTION_CSDC_20&gt;</w:t>
      </w:r>
    </w:p>
    <w:p w14:paraId="4A5CBC3C" w14:textId="77777777" w:rsidR="00113E80" w:rsidRDefault="00113E80" w:rsidP="00113E80"/>
    <w:p w14:paraId="62AE285B" w14:textId="77777777" w:rsidR="00113E80" w:rsidRDefault="00113E80" w:rsidP="00113E80">
      <w:pPr>
        <w:pStyle w:val="Questionstyle"/>
        <w:numPr>
          <w:ilvl w:val="0"/>
          <w:numId w:val="14"/>
        </w:numPr>
        <w:tabs>
          <w:tab w:val="clear" w:pos="567"/>
        </w:tabs>
        <w:spacing w:after="240" w:line="256" w:lineRule="auto"/>
        <w:ind w:left="851" w:hanging="851"/>
      </w:pPr>
      <w:r>
        <w:lastRenderedPageBreak/>
        <w:t>Do you have other suggestions to incentivise partial settlement? If yes, please elaborate.</w:t>
      </w:r>
    </w:p>
    <w:p w14:paraId="4E4F0DBD" w14:textId="77777777" w:rsidR="00113E80" w:rsidRDefault="00113E80" w:rsidP="00113E80">
      <w:r>
        <w:t>&lt;ESMA_QUESTION_CSDC_21&gt;</w:t>
      </w:r>
    </w:p>
    <w:p w14:paraId="49CEEDF7" w14:textId="2899E6E6" w:rsidR="00113E80" w:rsidRDefault="00D86AF8" w:rsidP="00113E80">
      <w:permStart w:id="117865647" w:edGrp="everyone"/>
      <w:r w:rsidRPr="00D767EB">
        <w:t xml:space="preserve">On the basis of the members’ feedback, ABI believes that a </w:t>
      </w:r>
      <w:r w:rsidRPr="00D767EB">
        <w:rPr>
          <w:i/>
          <w:iCs/>
        </w:rPr>
        <w:t xml:space="preserve">de-minimis </w:t>
      </w:r>
      <w:r w:rsidRPr="00D767EB">
        <w:t xml:space="preserve">threshold should be defined by </w:t>
      </w:r>
      <w:r w:rsidR="00F93519">
        <w:t>l</w:t>
      </w:r>
      <w:r w:rsidRPr="00D767EB">
        <w:t>evel-2 legislation to incentive a proper use of partial settlement (PS). Such threshold would set the minimum notional amount of the tranches to be settled</w:t>
      </w:r>
      <w:r w:rsidR="00F93519">
        <w:t>,</w:t>
      </w:r>
      <w:r w:rsidRPr="00D767EB">
        <w:t xml:space="preserve"> and this would sensibly contribute to </w:t>
      </w:r>
      <w:proofErr w:type="spellStart"/>
      <w:r w:rsidRPr="00D767EB">
        <w:t>i</w:t>
      </w:r>
      <w:proofErr w:type="spellEnd"/>
      <w:r w:rsidRPr="00D767EB">
        <w:t xml:space="preserve">) “harmonise” the use of PS and, ii) partly, the associated cost(s) to it. Indeed, in the absence of such indication, any party could (legitimately and freely) choose the notional amount in which to split the original order. However, such freedom would have the drawback of cost implications where the number of tranches would be higher in number than usual / than expected: the more tranches an order is split into, the higher is the overall cost to settle such order, </w:t>
      </w:r>
      <w:r w:rsidRPr="00D767EB">
        <w:rPr>
          <w:u w:val="single"/>
        </w:rPr>
        <w:t>for both</w:t>
      </w:r>
      <w:r w:rsidRPr="00D767EB">
        <w:t xml:space="preserve"> the parties involved in the transaction. In order to avoid an involuntarily improper use and to help the overall Union system to bear reasonable costs, </w:t>
      </w:r>
      <w:r w:rsidR="00F93519">
        <w:t>w</w:t>
      </w:r>
      <w:r w:rsidRPr="00D767EB">
        <w:t xml:space="preserve">e believe a </w:t>
      </w:r>
      <w:r w:rsidRPr="00D767EB">
        <w:rPr>
          <w:i/>
          <w:iCs/>
        </w:rPr>
        <w:t>de-minimis threshold should be set forth in the L2 legislation</w:t>
      </w:r>
      <w:r w:rsidRPr="00D767EB">
        <w:t xml:space="preserve">. </w:t>
      </w:r>
      <w:r w:rsidRPr="006B615E">
        <w:rPr>
          <w:lang w:val="en-US"/>
        </w:rPr>
        <w:t xml:space="preserve">We also need to keep on track the minimum settlement amount per each ISIN, as per the static data </w:t>
      </w:r>
      <w:r w:rsidR="00F93519" w:rsidRPr="006B615E">
        <w:rPr>
          <w:lang w:val="en-US"/>
        </w:rPr>
        <w:t>maintenance</w:t>
      </w:r>
      <w:r w:rsidRPr="006B615E">
        <w:rPr>
          <w:lang w:val="en-US"/>
        </w:rPr>
        <w:t xml:space="preserve"> done by each Issuer CSD.</w:t>
      </w:r>
    </w:p>
    <w:permEnd w:id="117865647"/>
    <w:p w14:paraId="228C028F" w14:textId="77777777" w:rsidR="00113E80" w:rsidRDefault="00113E80" w:rsidP="00113E80">
      <w:r>
        <w:t>&lt;ESMA_QUESTION_CSDC_21&gt;</w:t>
      </w:r>
    </w:p>
    <w:p w14:paraId="704AFC04" w14:textId="77777777" w:rsidR="00113E80" w:rsidRDefault="00113E80" w:rsidP="00113E80"/>
    <w:p w14:paraId="07B31E04" w14:textId="77777777" w:rsidR="00113E80" w:rsidRDefault="00113E80" w:rsidP="00113E80">
      <w:pPr>
        <w:pStyle w:val="Questionstyle"/>
        <w:numPr>
          <w:ilvl w:val="0"/>
          <w:numId w:val="14"/>
        </w:numPr>
        <w:tabs>
          <w:tab w:val="clear" w:pos="567"/>
        </w:tabs>
        <w:spacing w:after="240" w:line="256" w:lineRule="auto"/>
        <w:ind w:left="851" w:hanging="851"/>
      </w:pPr>
      <w:r>
        <w:t>Do you think that some types of transactions should not be subject to partial settlement? If yes, could you provide a list and the supporting reasoning?</w:t>
      </w:r>
    </w:p>
    <w:p w14:paraId="7D933CF7" w14:textId="77777777" w:rsidR="00113E80" w:rsidRDefault="00113E80" w:rsidP="00113E80">
      <w:r>
        <w:t>&lt;ESMA_QUESTION_CSDC_22&gt;</w:t>
      </w:r>
    </w:p>
    <w:p w14:paraId="79402C96" w14:textId="3CEC0625" w:rsidR="00CB0198" w:rsidRDefault="00CB0198" w:rsidP="00CB0198">
      <w:permStart w:id="591729658" w:edGrp="everyone"/>
      <w:r>
        <w:t>On the one hand,</w:t>
      </w:r>
      <w:r w:rsidRPr="00D767EB">
        <w:t xml:space="preserve"> we believe that some types of transactions should be left out of the scope of mandatory automated </w:t>
      </w:r>
      <w:r w:rsidR="00115DE1">
        <w:t>P</w:t>
      </w:r>
      <w:r w:rsidRPr="00D767EB">
        <w:t xml:space="preserve">artial </w:t>
      </w:r>
      <w:r w:rsidR="00115DE1">
        <w:t>S</w:t>
      </w:r>
      <w:r w:rsidRPr="00D767EB">
        <w:t>ettlement (PS): this should be the case for transactions in assets posted as collateral</w:t>
      </w:r>
      <w:r>
        <w:t>, given that any asset provided as “collateral” shall be provided in a timely manner and in its entirety (not partially or in tranches).</w:t>
      </w:r>
      <w:r w:rsidRPr="00D767EB">
        <w:t xml:space="preserve">  </w:t>
      </w:r>
    </w:p>
    <w:p w14:paraId="2DFB67EF" w14:textId="1D35B460" w:rsidR="00CB0198" w:rsidRDefault="00CB0198" w:rsidP="00CB0198">
      <w:pPr>
        <w:rPr>
          <w:lang w:val="en-US"/>
        </w:rPr>
      </w:pPr>
      <w:r>
        <w:rPr>
          <w:lang w:val="en-US"/>
        </w:rPr>
        <w:t xml:space="preserve">On the other hand, based on our members’ feedback, </w:t>
      </w:r>
      <w:r w:rsidRPr="006B615E">
        <w:rPr>
          <w:lang w:val="en-US"/>
        </w:rPr>
        <w:t xml:space="preserve">we </w:t>
      </w:r>
      <w:r>
        <w:rPr>
          <w:lang w:val="en-US"/>
        </w:rPr>
        <w:t xml:space="preserve">recommend </w:t>
      </w:r>
      <w:r w:rsidRPr="006B615E">
        <w:rPr>
          <w:lang w:val="en-US"/>
        </w:rPr>
        <w:t xml:space="preserve">ESMA </w:t>
      </w:r>
      <w:r>
        <w:rPr>
          <w:lang w:val="en-US"/>
        </w:rPr>
        <w:t xml:space="preserve">to </w:t>
      </w:r>
      <w:r w:rsidRPr="006B615E">
        <w:rPr>
          <w:b/>
          <w:bCs/>
          <w:lang w:val="en-US"/>
        </w:rPr>
        <w:t>keep</w:t>
      </w:r>
      <w:r>
        <w:rPr>
          <w:lang w:val="en-US"/>
        </w:rPr>
        <w:t xml:space="preserve"> </w:t>
      </w:r>
      <w:r w:rsidRPr="006B615E">
        <w:rPr>
          <w:b/>
          <w:bCs/>
          <w:lang w:val="en-US"/>
        </w:rPr>
        <w:t>repurchase agreements</w:t>
      </w:r>
      <w:r>
        <w:rPr>
          <w:lang w:val="en-US"/>
        </w:rPr>
        <w:t xml:space="preserve"> (repos) </w:t>
      </w:r>
      <w:r>
        <w:rPr>
          <w:b/>
          <w:bCs/>
          <w:u w:val="single"/>
          <w:lang w:val="en-US"/>
        </w:rPr>
        <w:t>within</w:t>
      </w:r>
      <w:r w:rsidR="00F93519" w:rsidRPr="00115DE1">
        <w:rPr>
          <w:b/>
          <w:bCs/>
          <w:lang w:val="en-US"/>
        </w:rPr>
        <w:t xml:space="preserve"> </w:t>
      </w:r>
      <w:r w:rsidRPr="006B615E">
        <w:rPr>
          <w:b/>
          <w:bCs/>
          <w:lang w:val="en-US"/>
        </w:rPr>
        <w:t>the PS’ scope of application</w:t>
      </w:r>
      <w:r>
        <w:rPr>
          <w:lang w:val="en-US"/>
        </w:rPr>
        <w:t xml:space="preserve">. Indeed, whilst “mandatory shaping” is in place for CCPs, partial settlement is used a “viable substitute of shaping” within the OTC space. </w:t>
      </w:r>
    </w:p>
    <w:p w14:paraId="20CF15F7" w14:textId="6FE5130C" w:rsidR="00CB0198" w:rsidRPr="00D54C93" w:rsidRDefault="00CB0198" w:rsidP="00CB0198">
      <w:pPr>
        <w:rPr>
          <w:lang w:val="en-US"/>
        </w:rPr>
      </w:pPr>
      <w:r>
        <w:rPr>
          <w:lang w:val="en-US"/>
        </w:rPr>
        <w:t>More in detail, ESMA shall take into account, firstly, that the Repo Market players currently operate both on exchange</w:t>
      </w:r>
      <w:r w:rsidR="00115DE1">
        <w:rPr>
          <w:lang w:val="en-US"/>
        </w:rPr>
        <w:t>(s)</w:t>
      </w:r>
      <w:r>
        <w:rPr>
          <w:lang w:val="en-US"/>
        </w:rPr>
        <w:t xml:space="preserve"> and over-the-counter (OTC), and these are strictly related to each other, despite (trivially) different securities’ settlement procedures.</w:t>
      </w:r>
    </w:p>
    <w:p w14:paraId="438A6BEA" w14:textId="50666E09" w:rsidR="00CB0198" w:rsidRPr="006B615E" w:rsidRDefault="00CB5DCF" w:rsidP="00CB0198">
      <w:pPr>
        <w:rPr>
          <w:color w:val="auto"/>
          <w:lang w:val="en-US"/>
        </w:rPr>
      </w:pPr>
      <w:r w:rsidRPr="006B615E">
        <w:rPr>
          <w:color w:val="auto"/>
          <w:lang w:val="en-US"/>
        </w:rPr>
        <w:t>As</w:t>
      </w:r>
      <w:r w:rsidR="00CB0198" w:rsidRPr="006B615E">
        <w:rPr>
          <w:color w:val="auto"/>
          <w:lang w:val="en-US"/>
        </w:rPr>
        <w:t xml:space="preserve"> regards </w:t>
      </w:r>
      <w:r>
        <w:rPr>
          <w:color w:val="auto"/>
          <w:lang w:val="en-US"/>
        </w:rPr>
        <w:t xml:space="preserve">the </w:t>
      </w:r>
      <w:r w:rsidR="00CB0198" w:rsidRPr="006B615E">
        <w:rPr>
          <w:color w:val="auto"/>
          <w:lang w:val="en-US"/>
        </w:rPr>
        <w:t>on-</w:t>
      </w:r>
      <w:r>
        <w:rPr>
          <w:color w:val="auto"/>
          <w:lang w:val="en-US"/>
        </w:rPr>
        <w:t xml:space="preserve"> </w:t>
      </w:r>
      <w:proofErr w:type="spellStart"/>
      <w:r>
        <w:rPr>
          <w:color w:val="auto"/>
          <w:lang w:val="en-US"/>
        </w:rPr>
        <w:t>side</w:t>
      </w:r>
      <w:r w:rsidR="00CB0198" w:rsidRPr="006B615E">
        <w:rPr>
          <w:color w:val="auto"/>
          <w:lang w:val="en-US"/>
        </w:rPr>
        <w:t>exchange</w:t>
      </w:r>
      <w:proofErr w:type="spellEnd"/>
      <w:r w:rsidR="00CB0198" w:rsidRPr="006B615E">
        <w:rPr>
          <w:color w:val="auto"/>
          <w:lang w:val="en-US"/>
        </w:rPr>
        <w:t xml:space="preserve">, CCP </w:t>
      </w:r>
      <w:r w:rsidR="00CB0198" w:rsidRPr="006B615E">
        <w:rPr>
          <w:color w:val="auto"/>
          <w:u w:val="single"/>
          <w:lang w:val="en-US"/>
        </w:rPr>
        <w:t>require their participants to</w:t>
      </w:r>
      <w:r w:rsidR="00CB0198">
        <w:rPr>
          <w:color w:val="auto"/>
          <w:lang w:val="en-US"/>
        </w:rPr>
        <w:t>:</w:t>
      </w:r>
    </w:p>
    <w:p w14:paraId="305AB8EA" w14:textId="5C962708" w:rsidR="00CB0198" w:rsidRPr="006B615E" w:rsidRDefault="00CB0198" w:rsidP="00CB0198">
      <w:pPr>
        <w:pStyle w:val="Paragrafoelenco"/>
        <w:numPr>
          <w:ilvl w:val="0"/>
          <w:numId w:val="17"/>
        </w:numPr>
        <w:contextualSpacing/>
        <w:rPr>
          <w:color w:val="auto"/>
          <w:lang w:val="en-US"/>
        </w:rPr>
      </w:pPr>
      <w:r w:rsidRPr="006B615E">
        <w:rPr>
          <w:color w:val="auto"/>
          <w:lang w:val="en-US"/>
        </w:rPr>
        <w:lastRenderedPageBreak/>
        <w:t>net transactions related to the same financial instrument, disregarding the type of underlying</w:t>
      </w:r>
      <w:r>
        <w:rPr>
          <w:color w:val="auto"/>
          <w:lang w:val="en-US"/>
        </w:rPr>
        <w:t xml:space="preserve"> </w:t>
      </w:r>
      <w:r w:rsidRPr="006B615E">
        <w:rPr>
          <w:color w:val="auto"/>
          <w:lang w:val="en-US"/>
        </w:rPr>
        <w:t>transaction (be it a repo, a revers</w:t>
      </w:r>
      <w:r>
        <w:rPr>
          <w:color w:val="auto"/>
          <w:lang w:val="en-US"/>
        </w:rPr>
        <w:t>e</w:t>
      </w:r>
      <w:r w:rsidRPr="006B615E">
        <w:rPr>
          <w:color w:val="auto"/>
          <w:lang w:val="en-US"/>
        </w:rPr>
        <w:t xml:space="preserve"> repo, a cash trade, or else)</w:t>
      </w:r>
      <w:r w:rsidR="00CB5DCF">
        <w:rPr>
          <w:color w:val="auto"/>
          <w:lang w:val="en-US"/>
        </w:rPr>
        <w:t>,</w:t>
      </w:r>
    </w:p>
    <w:p w14:paraId="2374B8BC" w14:textId="2D844BFD" w:rsidR="00CB0198" w:rsidRPr="006B615E" w:rsidRDefault="00CB0198" w:rsidP="00CB0198">
      <w:pPr>
        <w:pStyle w:val="Paragrafoelenco"/>
        <w:numPr>
          <w:ilvl w:val="0"/>
          <w:numId w:val="17"/>
        </w:numPr>
        <w:contextualSpacing/>
        <w:rPr>
          <w:color w:val="auto"/>
          <w:lang w:val="en-US"/>
        </w:rPr>
      </w:pPr>
      <w:r w:rsidRPr="006B615E">
        <w:rPr>
          <w:color w:val="auto"/>
          <w:lang w:val="en-US"/>
        </w:rPr>
        <w:t xml:space="preserve">accept the </w:t>
      </w:r>
      <w:r w:rsidRPr="006B615E">
        <w:rPr>
          <w:color w:val="auto"/>
          <w:u w:val="single"/>
          <w:lang w:val="en-US"/>
        </w:rPr>
        <w:t>shaping</w:t>
      </w:r>
      <w:r w:rsidRPr="006B615E">
        <w:rPr>
          <w:color w:val="auto"/>
          <w:lang w:val="en-US"/>
        </w:rPr>
        <w:t xml:space="preserve"> for notional</w:t>
      </w:r>
      <w:r>
        <w:rPr>
          <w:color w:val="auto"/>
          <w:lang w:val="en-US"/>
        </w:rPr>
        <w:t>(s)</w:t>
      </w:r>
      <w:r w:rsidRPr="006B615E">
        <w:rPr>
          <w:color w:val="auto"/>
          <w:lang w:val="en-US"/>
        </w:rPr>
        <w:t xml:space="preserve"> up to 50.000.000 </w:t>
      </w:r>
      <w:r>
        <w:rPr>
          <w:color w:val="auto"/>
          <w:lang w:val="en-US"/>
        </w:rPr>
        <w:t xml:space="preserve">max for </w:t>
      </w:r>
      <w:r w:rsidRPr="006B615E">
        <w:rPr>
          <w:color w:val="auto"/>
          <w:lang w:val="en-US"/>
        </w:rPr>
        <w:t>a given currency</w:t>
      </w:r>
      <w:r w:rsidR="00CB5DCF">
        <w:rPr>
          <w:color w:val="auto"/>
          <w:lang w:val="en-US"/>
        </w:rPr>
        <w:t>,</w:t>
      </w:r>
    </w:p>
    <w:p w14:paraId="4FDFC1F6" w14:textId="77777777" w:rsidR="00CB0198" w:rsidRPr="00CB5DCF" w:rsidRDefault="00CB0198" w:rsidP="00CB0198">
      <w:pPr>
        <w:pStyle w:val="Paragrafoelenco"/>
        <w:numPr>
          <w:ilvl w:val="0"/>
          <w:numId w:val="17"/>
        </w:numPr>
        <w:contextualSpacing/>
        <w:rPr>
          <w:color w:val="auto"/>
          <w:lang w:val="en-GB"/>
        </w:rPr>
      </w:pPr>
      <w:r w:rsidRPr="00CB5DCF">
        <w:rPr>
          <w:color w:val="auto"/>
          <w:lang w:val="en-GB"/>
        </w:rPr>
        <w:t xml:space="preserve">accept </w:t>
      </w:r>
      <w:proofErr w:type="spellStart"/>
      <w:r w:rsidRPr="00CB5DCF">
        <w:rPr>
          <w:color w:val="auto"/>
          <w:lang w:val="en-GB"/>
        </w:rPr>
        <w:t>partialization</w:t>
      </w:r>
      <w:proofErr w:type="spellEnd"/>
      <w:r w:rsidRPr="00CB5DCF">
        <w:rPr>
          <w:color w:val="auto"/>
          <w:lang w:val="en-GB"/>
        </w:rPr>
        <w:t>.</w:t>
      </w:r>
    </w:p>
    <w:p w14:paraId="5620E703" w14:textId="5F0A3C9D" w:rsidR="00CB0198" w:rsidRPr="006B615E" w:rsidRDefault="00CB0198" w:rsidP="00CB0198">
      <w:pPr>
        <w:rPr>
          <w:color w:val="auto"/>
          <w:lang w:val="en-US"/>
        </w:rPr>
      </w:pPr>
      <w:r w:rsidRPr="006B615E">
        <w:rPr>
          <w:color w:val="auto"/>
          <w:lang w:val="en-US"/>
        </w:rPr>
        <w:t xml:space="preserve">On a different note, </w:t>
      </w:r>
      <w:r w:rsidR="00CB5DCF" w:rsidRPr="006B615E">
        <w:rPr>
          <w:color w:val="auto"/>
          <w:lang w:val="en-US"/>
        </w:rPr>
        <w:t>as</w:t>
      </w:r>
      <w:r w:rsidRPr="006B615E">
        <w:rPr>
          <w:color w:val="auto"/>
          <w:lang w:val="en-US"/>
        </w:rPr>
        <w:t xml:space="preserve"> regards OTC transactions: </w:t>
      </w:r>
    </w:p>
    <w:p w14:paraId="474B4677" w14:textId="63A6DFAC" w:rsidR="00CB0198" w:rsidRPr="006B615E" w:rsidRDefault="00CB0198" w:rsidP="00CB0198">
      <w:pPr>
        <w:pStyle w:val="Paragrafoelenco"/>
        <w:numPr>
          <w:ilvl w:val="0"/>
          <w:numId w:val="18"/>
        </w:numPr>
        <w:contextualSpacing/>
        <w:rPr>
          <w:color w:val="auto"/>
          <w:lang w:val="en-US"/>
        </w:rPr>
      </w:pPr>
      <w:r w:rsidRPr="006B615E">
        <w:rPr>
          <w:color w:val="auto"/>
          <w:lang w:val="en-US"/>
        </w:rPr>
        <w:t>it is not possible to net transactions on the same financial instrument, unless specific bilateral agreements are in place between the parties</w:t>
      </w:r>
      <w:r w:rsidR="00D755E4">
        <w:rPr>
          <w:color w:val="auto"/>
          <w:lang w:val="en-US"/>
        </w:rPr>
        <w:t>,</w:t>
      </w:r>
    </w:p>
    <w:p w14:paraId="2DDB1E0C" w14:textId="0A9F9E3E" w:rsidR="00CB0198" w:rsidRDefault="00CB0198" w:rsidP="00CB0198">
      <w:pPr>
        <w:pStyle w:val="Paragrafoelenco"/>
        <w:numPr>
          <w:ilvl w:val="0"/>
          <w:numId w:val="18"/>
        </w:numPr>
        <w:contextualSpacing/>
        <w:rPr>
          <w:color w:val="auto"/>
          <w:lang w:val="en-US"/>
        </w:rPr>
      </w:pPr>
      <w:r w:rsidRPr="006B615E">
        <w:rPr>
          <w:color w:val="auto"/>
          <w:lang w:val="en-US"/>
        </w:rPr>
        <w:t>shaping is recommended by the market practice</w:t>
      </w:r>
      <w:r>
        <w:rPr>
          <w:color w:val="auto"/>
          <w:lang w:val="en-US"/>
        </w:rPr>
        <w:t>,</w:t>
      </w:r>
      <w:r w:rsidRPr="006B615E">
        <w:rPr>
          <w:color w:val="auto"/>
          <w:lang w:val="en-US"/>
        </w:rPr>
        <w:t xml:space="preserve"> but it is not used</w:t>
      </w:r>
      <w:r w:rsidR="00D755E4">
        <w:rPr>
          <w:color w:val="auto"/>
          <w:lang w:val="en-US"/>
        </w:rPr>
        <w:t>,</w:t>
      </w:r>
    </w:p>
    <w:p w14:paraId="4A1C6B88" w14:textId="77777777" w:rsidR="00CB0198" w:rsidRPr="006B615E" w:rsidRDefault="00CB0198" w:rsidP="00CB0198">
      <w:pPr>
        <w:pStyle w:val="Paragrafoelenco"/>
        <w:numPr>
          <w:ilvl w:val="0"/>
          <w:numId w:val="18"/>
        </w:numPr>
        <w:contextualSpacing/>
        <w:rPr>
          <w:color w:val="auto"/>
          <w:lang w:val="en-US"/>
        </w:rPr>
      </w:pPr>
      <w:proofErr w:type="spellStart"/>
      <w:r w:rsidRPr="006B615E">
        <w:rPr>
          <w:color w:val="auto"/>
          <w:lang w:val="en-US"/>
        </w:rPr>
        <w:t>partialization</w:t>
      </w:r>
      <w:proofErr w:type="spellEnd"/>
      <w:r w:rsidRPr="006B615E">
        <w:rPr>
          <w:color w:val="auto"/>
          <w:lang w:val="en-US"/>
        </w:rPr>
        <w:t xml:space="preserve"> is used by the vast majority of market players</w:t>
      </w:r>
      <w:r>
        <w:rPr>
          <w:color w:val="auto"/>
          <w:lang w:val="en-US"/>
        </w:rPr>
        <w:t>.</w:t>
      </w:r>
    </w:p>
    <w:p w14:paraId="1496D4CE" w14:textId="3F560A96" w:rsidR="00113E80" w:rsidRDefault="00CB0198" w:rsidP="00CB0198">
      <w:r w:rsidRPr="006B615E">
        <w:rPr>
          <w:color w:val="auto"/>
          <w:lang w:val="en-US"/>
        </w:rPr>
        <w:t xml:space="preserve">Hence, </w:t>
      </w:r>
      <w:r w:rsidRPr="006B615E">
        <w:rPr>
          <w:color w:val="auto"/>
          <w:u w:val="single"/>
          <w:lang w:val="en-US"/>
        </w:rPr>
        <w:t>denying partial settlement on repo transactions</w:t>
      </w:r>
      <w:r w:rsidRPr="006B615E">
        <w:rPr>
          <w:color w:val="auto"/>
          <w:lang w:val="en-US"/>
        </w:rPr>
        <w:t xml:space="preserve"> </w:t>
      </w:r>
      <w:r>
        <w:rPr>
          <w:color w:val="auto"/>
          <w:lang w:val="en-US"/>
        </w:rPr>
        <w:t xml:space="preserve">– assuming it being possible to identify such type of transactions at the level of settlement instructions – </w:t>
      </w:r>
      <w:r w:rsidRPr="006B615E">
        <w:rPr>
          <w:color w:val="auto"/>
          <w:u w:val="single"/>
          <w:lang w:val="en-US"/>
        </w:rPr>
        <w:t>could bear a market distortion</w:t>
      </w:r>
      <w:r>
        <w:rPr>
          <w:color w:val="auto"/>
          <w:lang w:val="en-US"/>
        </w:rPr>
        <w:t xml:space="preserve"> on the settlement side, </w:t>
      </w:r>
      <w:r w:rsidRPr="006B615E">
        <w:rPr>
          <w:color w:val="auto"/>
          <w:u w:val="single"/>
          <w:lang w:val="en-US"/>
        </w:rPr>
        <w:t>unless</w:t>
      </w:r>
      <w:r>
        <w:rPr>
          <w:color w:val="auto"/>
          <w:lang w:val="en-US"/>
        </w:rPr>
        <w:t xml:space="preserve"> the two components mentioned above (on-ex, and OTC) be exactly aligned </w:t>
      </w:r>
      <w:r w:rsidRPr="006B615E">
        <w:rPr>
          <w:color w:val="auto"/>
          <w:u w:val="single"/>
          <w:lang w:val="en-US"/>
        </w:rPr>
        <w:t>either</w:t>
      </w:r>
      <w:r>
        <w:rPr>
          <w:color w:val="auto"/>
          <w:lang w:val="en-US"/>
        </w:rPr>
        <w:t xml:space="preserve"> to the provisions of the CCPs </w:t>
      </w:r>
      <w:r w:rsidRPr="006B615E">
        <w:rPr>
          <w:color w:val="auto"/>
          <w:u w:val="single"/>
          <w:lang w:val="en-US"/>
        </w:rPr>
        <w:t>or</w:t>
      </w:r>
      <w:r>
        <w:rPr>
          <w:color w:val="auto"/>
          <w:lang w:val="en-US"/>
        </w:rPr>
        <w:t xml:space="preserve"> to the market practice for the OTC.</w:t>
      </w:r>
    </w:p>
    <w:permEnd w:id="591729658"/>
    <w:p w14:paraId="796EAD16" w14:textId="77777777" w:rsidR="00113E80" w:rsidRDefault="00113E80" w:rsidP="00113E80">
      <w:r>
        <w:t>&lt;ESMA_QUESTION_CSDC_22&gt;</w:t>
      </w:r>
    </w:p>
    <w:p w14:paraId="199C4201" w14:textId="77777777" w:rsidR="005A35CA" w:rsidRDefault="005A35CA" w:rsidP="00113E80"/>
    <w:p w14:paraId="25F3256C" w14:textId="491C960F" w:rsidR="00113E80" w:rsidRDefault="005A35CA" w:rsidP="00113E80">
      <w:pPr>
        <w:rPr>
          <w:b/>
          <w:bCs/>
        </w:rPr>
      </w:pPr>
      <w:r w:rsidRPr="005A35CA">
        <w:rPr>
          <w:b/>
          <w:bCs/>
        </w:rPr>
        <w:t>3.1.7. Auto-collateralisation</w:t>
      </w:r>
    </w:p>
    <w:p w14:paraId="117CC27B" w14:textId="77777777" w:rsidR="005A35CA" w:rsidRPr="005A35CA" w:rsidRDefault="005A35CA" w:rsidP="00113E80">
      <w:pPr>
        <w:rPr>
          <w:b/>
          <w:bCs/>
        </w:rPr>
      </w:pPr>
    </w:p>
    <w:p w14:paraId="7BEF6098" w14:textId="77777777" w:rsidR="00113E80" w:rsidRDefault="00113E80" w:rsidP="00113E80">
      <w:pPr>
        <w:pStyle w:val="Questionstyle"/>
        <w:numPr>
          <w:ilvl w:val="0"/>
          <w:numId w:val="14"/>
        </w:numPr>
        <w:tabs>
          <w:tab w:val="clear" w:pos="567"/>
        </w:tabs>
        <w:spacing w:after="240" w:line="256" w:lineRule="auto"/>
        <w:ind w:left="851" w:hanging="851"/>
      </w:pPr>
      <w:r>
        <w:rPr>
          <w:bCs/>
        </w:rPr>
        <w:t xml:space="preserve">Do you agree with the introduction of an obligation for CSDs to facilitate the provision of intraday cash credit secured with collateral via an auto-collateralisation facility? If not, please elaborate. </w:t>
      </w:r>
    </w:p>
    <w:p w14:paraId="2959A88C" w14:textId="77777777" w:rsidR="00113E80" w:rsidRDefault="00113E80" w:rsidP="00113E80">
      <w:r>
        <w:t>&lt;ESMA_QUESTION_CSDC_23&gt;</w:t>
      </w:r>
    </w:p>
    <w:p w14:paraId="6FA3CA1D" w14:textId="47B19A67" w:rsidR="00113E80" w:rsidRDefault="00C913BE" w:rsidP="00113E80">
      <w:permStart w:id="367345271" w:edGrp="everyone"/>
      <w:r w:rsidRPr="000203AA">
        <w:rPr>
          <w:color w:val="auto"/>
        </w:rPr>
        <w:t>On the basis of our members’ feedback, the auto-collateralization works appropriately and, properly thanks to this, it is not deemed necessary to introduce a legal obligation/mandate on it. However, we could consider supporting the “</w:t>
      </w:r>
      <w:r w:rsidRPr="000203AA">
        <w:rPr>
          <w:i/>
          <w:iCs/>
          <w:color w:val="auto"/>
        </w:rPr>
        <w:t>introduction of an obligation for CSDs”</w:t>
      </w:r>
      <w:r w:rsidRPr="000203AA">
        <w:rPr>
          <w:color w:val="auto"/>
        </w:rPr>
        <w:t xml:space="preserve"> under the condition that it would be specifically aimed at </w:t>
      </w:r>
      <w:r w:rsidRPr="000203AA">
        <w:rPr>
          <w:b/>
          <w:bCs/>
          <w:color w:val="auto"/>
          <w:u w:val="single"/>
        </w:rPr>
        <w:t>facilitating</w:t>
      </w:r>
      <w:r w:rsidRPr="000203AA">
        <w:rPr>
          <w:color w:val="auto"/>
        </w:rPr>
        <w:t xml:space="preserve"> (as stated in Q23 above), not at </w:t>
      </w:r>
      <w:r w:rsidRPr="000203AA">
        <w:rPr>
          <w:b/>
          <w:bCs/>
          <w:color w:val="auto"/>
        </w:rPr>
        <w:t>mandating</w:t>
      </w:r>
      <w:r w:rsidRPr="000203AA">
        <w:rPr>
          <w:color w:val="auto"/>
        </w:rPr>
        <w:t>,</w:t>
      </w:r>
      <w:r w:rsidRPr="000203AA">
        <w:rPr>
          <w:i/>
          <w:iCs/>
          <w:color w:val="auto"/>
        </w:rPr>
        <w:t xml:space="preserve"> “</w:t>
      </w:r>
      <w:r w:rsidRPr="000203AA">
        <w:rPr>
          <w:bCs/>
          <w:i/>
          <w:iCs/>
          <w:color w:val="auto"/>
        </w:rPr>
        <w:t>the provision of intraday cash credit secured with collateral via an auto-collateralisation facility</w:t>
      </w:r>
      <w:r w:rsidRPr="000203AA">
        <w:rPr>
          <w:color w:val="auto"/>
        </w:rPr>
        <w:t>”. In other terms, users shall be free to opt for using such service.</w:t>
      </w:r>
    </w:p>
    <w:permEnd w:id="367345271"/>
    <w:p w14:paraId="798DB0C5" w14:textId="77777777" w:rsidR="00113E80" w:rsidRDefault="00113E80" w:rsidP="00113E80">
      <w:r>
        <w:t>&lt;ESMA_QUESTION_CSDC_23&gt;</w:t>
      </w:r>
    </w:p>
    <w:p w14:paraId="4BC367AF" w14:textId="77777777" w:rsidR="00113E80" w:rsidRDefault="00113E80" w:rsidP="00113E80"/>
    <w:p w14:paraId="226D70A1" w14:textId="77777777" w:rsidR="00113E80" w:rsidRDefault="00113E80" w:rsidP="00113E80">
      <w:pPr>
        <w:pStyle w:val="Questionstyle"/>
        <w:numPr>
          <w:ilvl w:val="0"/>
          <w:numId w:val="14"/>
        </w:numPr>
        <w:tabs>
          <w:tab w:val="clear" w:pos="567"/>
        </w:tabs>
        <w:spacing w:after="240" w:line="256" w:lineRule="auto"/>
        <w:ind w:left="851" w:hanging="851"/>
      </w:pPr>
      <w:r>
        <w:lastRenderedPageBreak/>
        <w:t>Can you suggest any other means to achieve the same objective? If yes, please elaborate.</w:t>
      </w:r>
    </w:p>
    <w:p w14:paraId="5B8691F9" w14:textId="77777777" w:rsidR="00113E80" w:rsidRDefault="00113E80" w:rsidP="00113E80">
      <w:r>
        <w:t>&lt;ESMA_QUESTION_CSDC_24&gt;</w:t>
      </w:r>
    </w:p>
    <w:p w14:paraId="549AF438" w14:textId="77777777" w:rsidR="00113E80" w:rsidRDefault="00113E80" w:rsidP="00113E80">
      <w:permStart w:id="1759915737" w:edGrp="everyone"/>
      <w:r>
        <w:t>TYPE YOUR TEXT HERE</w:t>
      </w:r>
    </w:p>
    <w:permEnd w:id="1759915737"/>
    <w:p w14:paraId="5797DE5C" w14:textId="77777777" w:rsidR="00113E80" w:rsidRDefault="00113E80" w:rsidP="00113E80">
      <w:r>
        <w:t>&lt;ESMA_QUESTION_CSDC_24&gt;</w:t>
      </w:r>
    </w:p>
    <w:p w14:paraId="3A23B0BA" w14:textId="77777777" w:rsidR="00FE2F18" w:rsidRDefault="00FE2F18" w:rsidP="00113E80"/>
    <w:p w14:paraId="51140CAE" w14:textId="2F73B2DA" w:rsidR="00FE2F18" w:rsidRPr="00FE2F18" w:rsidRDefault="00FE2F18" w:rsidP="00113E80">
      <w:pPr>
        <w:rPr>
          <w:b/>
          <w:bCs/>
        </w:rPr>
      </w:pPr>
      <w:r w:rsidRPr="00FE2F18">
        <w:rPr>
          <w:b/>
          <w:bCs/>
        </w:rPr>
        <w:t>3.1.8</w:t>
      </w:r>
      <w:r w:rsidRPr="00FE2F18">
        <w:rPr>
          <w:b/>
          <w:bCs/>
        </w:rPr>
        <w:tab/>
        <w:t>Real-time gross settlement versus batches</w:t>
      </w:r>
    </w:p>
    <w:p w14:paraId="783A5D57" w14:textId="77777777" w:rsidR="00113E80" w:rsidRDefault="00113E80" w:rsidP="00113E80"/>
    <w:p w14:paraId="721BBE5A" w14:textId="77777777" w:rsidR="00113E80" w:rsidRDefault="00113E80" w:rsidP="00113E80">
      <w:pPr>
        <w:pStyle w:val="Questionstyle"/>
        <w:numPr>
          <w:ilvl w:val="0"/>
          <w:numId w:val="14"/>
        </w:numPr>
        <w:tabs>
          <w:tab w:val="clear" w:pos="567"/>
        </w:tabs>
        <w:spacing w:after="240" w:line="256" w:lineRule="auto"/>
        <w:ind w:left="851" w:hanging="851"/>
      </w:pPr>
      <w:r>
        <w:t>Should CDR 2018/1229 be amended to require all CSDs to offer real-time gross settlement for a minimum window of time of each business day as well as a minimum number of settlement batches? Please provide arguments to justify your answer.</w:t>
      </w:r>
    </w:p>
    <w:p w14:paraId="2D626454" w14:textId="77777777" w:rsidR="00113E80" w:rsidRDefault="00113E80" w:rsidP="00113E80">
      <w:r>
        <w:t>&lt;ESMA_QUESTION_CSDC_25&gt;</w:t>
      </w:r>
    </w:p>
    <w:p w14:paraId="1F81DC91" w14:textId="77777777" w:rsidR="00746227" w:rsidRPr="00D767EB" w:rsidRDefault="00746227" w:rsidP="00746227">
      <w:permStart w:id="1900937655" w:edGrp="everyone"/>
      <w:r w:rsidRPr="00D767EB">
        <w:t>On the basis of situations like that cited under par.111, referring to 11 CSDs in the EU still not offering Real-Time Gross Settlement (RTGS), in general terms ABI would favour and support the approach to require all CSDs across the EU to offer real-time gross settlement “</w:t>
      </w:r>
      <w:r w:rsidRPr="00D767EB">
        <w:rPr>
          <w:i/>
          <w:iCs/>
        </w:rPr>
        <w:t>for a minimum window of time of each business day as well as a minimum number of settlement batches</w:t>
      </w:r>
      <w:r w:rsidRPr="00D767EB">
        <w:t>”.</w:t>
      </w:r>
    </w:p>
    <w:p w14:paraId="32AFB811" w14:textId="48973013" w:rsidR="00113E80" w:rsidRDefault="00746227" w:rsidP="00746227">
      <w:r w:rsidRPr="00D767EB">
        <w:t xml:space="preserve">Should such requirement not being mandated in the amended version of the </w:t>
      </w:r>
      <w:r w:rsidR="00D755E4">
        <w:t>l</w:t>
      </w:r>
      <w:r w:rsidRPr="00D767EB">
        <w:t>evel-2 CDR, then we would expect at least an increase in the number of partial-settlement “windows”, if RTGS might not be mandated across all EU CSDs.</w:t>
      </w:r>
    </w:p>
    <w:permEnd w:id="1900937655"/>
    <w:p w14:paraId="1A353DF1" w14:textId="77777777" w:rsidR="00113E80" w:rsidRDefault="00113E80" w:rsidP="00113E80">
      <w:r>
        <w:t>&lt;ESMA_QUESTION_CSDC_25&gt;</w:t>
      </w:r>
    </w:p>
    <w:p w14:paraId="07961142" w14:textId="77777777" w:rsidR="00113E80" w:rsidRDefault="00113E80" w:rsidP="00113E80"/>
    <w:p w14:paraId="2320C820" w14:textId="77777777" w:rsidR="00113E80" w:rsidRDefault="00113E80" w:rsidP="00113E80">
      <w:pPr>
        <w:pStyle w:val="Questionstyle"/>
        <w:numPr>
          <w:ilvl w:val="0"/>
          <w:numId w:val="14"/>
        </w:numPr>
        <w:tabs>
          <w:tab w:val="clear" w:pos="567"/>
        </w:tabs>
        <w:spacing w:after="240" w:line="256" w:lineRule="auto"/>
        <w:ind w:left="851" w:hanging="851"/>
      </w:pPr>
      <w:r>
        <w:t>What should be the length of the minimum window of time of each business day for real-time gross settlement and the minimum number of settlement batches that should be offered, per business day? Please provide arguments to justify your answer.</w:t>
      </w:r>
    </w:p>
    <w:p w14:paraId="3BAA417A" w14:textId="77777777" w:rsidR="00113E80" w:rsidRDefault="00113E80" w:rsidP="00113E80">
      <w:r>
        <w:t>&lt;ESMA_QUESTION_CSDC_26&gt;</w:t>
      </w:r>
    </w:p>
    <w:p w14:paraId="0D9EB499" w14:textId="77777777" w:rsidR="00113E80" w:rsidRDefault="00113E80" w:rsidP="00113E80">
      <w:permStart w:id="151126903" w:edGrp="everyone"/>
      <w:r>
        <w:t>TYPE YOUR TEXT HERE</w:t>
      </w:r>
    </w:p>
    <w:permEnd w:id="151126903"/>
    <w:p w14:paraId="1C830BCE" w14:textId="77777777" w:rsidR="00113E80" w:rsidRDefault="00113E80" w:rsidP="00113E80">
      <w:r>
        <w:lastRenderedPageBreak/>
        <w:t>&lt;ESMA_QUESTION_CSDC_26&gt;</w:t>
      </w:r>
    </w:p>
    <w:p w14:paraId="6A68967B" w14:textId="77777777" w:rsidR="00113E80" w:rsidRDefault="00113E80" w:rsidP="00113E80"/>
    <w:p w14:paraId="4961D2D0" w14:textId="77777777" w:rsidR="00113E80" w:rsidRDefault="00113E80" w:rsidP="00113E80">
      <w:pPr>
        <w:pStyle w:val="Questionstyle"/>
        <w:numPr>
          <w:ilvl w:val="0"/>
          <w:numId w:val="14"/>
        </w:numPr>
        <w:tabs>
          <w:tab w:val="clear" w:pos="567"/>
        </w:tabs>
        <w:spacing w:after="240" w:line="256" w:lineRule="auto"/>
        <w:ind w:left="851" w:hanging="851"/>
      </w:pPr>
      <w:r>
        <w:rPr>
          <w:bCs/>
        </w:rPr>
        <w:t>Can you suggest any other means to achieve the same objective? If yes, please elaborate.</w:t>
      </w:r>
    </w:p>
    <w:p w14:paraId="48E13F24" w14:textId="77777777" w:rsidR="00113E80" w:rsidRDefault="00113E80" w:rsidP="00113E80">
      <w:r>
        <w:t>&lt;ESMA_QUESTION_CSDC_27&gt;</w:t>
      </w:r>
    </w:p>
    <w:p w14:paraId="04403028" w14:textId="77777777" w:rsidR="00113E80" w:rsidRDefault="00113E80" w:rsidP="00113E80">
      <w:permStart w:id="1363037524" w:edGrp="everyone"/>
      <w:r>
        <w:t>TYPE YOUR TEXT HERE</w:t>
      </w:r>
    </w:p>
    <w:permEnd w:id="1363037524"/>
    <w:p w14:paraId="2D842D79" w14:textId="77777777" w:rsidR="00113E80" w:rsidRDefault="00113E80" w:rsidP="00113E80">
      <w:r>
        <w:t>&lt;ESMA_QUESTION_CSDC_27&gt;</w:t>
      </w:r>
    </w:p>
    <w:p w14:paraId="7C07E120" w14:textId="77777777" w:rsidR="00FE2F18" w:rsidRDefault="00FE2F18" w:rsidP="00113E80"/>
    <w:p w14:paraId="42D1449D" w14:textId="3E88CC69" w:rsidR="00113E80" w:rsidRPr="00FE2F18" w:rsidRDefault="00FE2F18" w:rsidP="00113E80">
      <w:pPr>
        <w:rPr>
          <w:b/>
          <w:bCs/>
        </w:rPr>
      </w:pPr>
      <w:r w:rsidRPr="00FE2F18">
        <w:rPr>
          <w:b/>
          <w:bCs/>
        </w:rPr>
        <w:t>3.1.9 Reporting top failing participants</w:t>
      </w:r>
    </w:p>
    <w:p w14:paraId="5E89A68E" w14:textId="77777777" w:rsidR="00FE2F18" w:rsidRDefault="00FE2F18" w:rsidP="00113E80"/>
    <w:p w14:paraId="714203B7" w14:textId="77777777" w:rsidR="00113E80" w:rsidRDefault="00113E80" w:rsidP="00113E80">
      <w:pPr>
        <w:pStyle w:val="Questionstyle"/>
        <w:numPr>
          <w:ilvl w:val="0"/>
          <w:numId w:val="14"/>
        </w:numPr>
        <w:tabs>
          <w:tab w:val="clear" w:pos="567"/>
        </w:tabs>
        <w:spacing w:after="240" w:line="256" w:lineRule="auto"/>
        <w:ind w:left="851" w:hanging="851"/>
      </w:pPr>
      <w:r>
        <w:t>Do you agree with the proposed amendments to Table 1 of Annex I of CDR 2018/1229? If not, please elaborate.</w:t>
      </w:r>
    </w:p>
    <w:p w14:paraId="0C9564AA" w14:textId="77777777" w:rsidR="00113E80" w:rsidRDefault="00113E80" w:rsidP="00113E80">
      <w:r>
        <w:t>&lt;ESMA_QUESTION_CSDC_28&gt;</w:t>
      </w:r>
    </w:p>
    <w:p w14:paraId="1A5BCB25" w14:textId="77777777" w:rsidR="007B66E4" w:rsidRDefault="007B66E4" w:rsidP="007B66E4">
      <w:permStart w:id="556666167" w:edGrp="everyone"/>
      <w:r w:rsidRPr="00D767EB">
        <w:t>We agree with ESMA when it states, under par. 117, that “</w:t>
      </w:r>
      <w:r w:rsidRPr="00D767EB">
        <w:rPr>
          <w:i/>
          <w:iCs/>
        </w:rPr>
        <w:t>further guidance may be needed to clarify the approach to be used by CSDs when reporting top failing participants (based on the settlement fail rates per participant) under Article 14(1) of CDR 2018/1229.</w:t>
      </w:r>
      <w:r w:rsidRPr="00D767EB">
        <w:t>”. Likewise, as mentioned under par. 118, we understand that “</w:t>
      </w:r>
      <w:r w:rsidRPr="00D767EB">
        <w:rPr>
          <w:i/>
          <w:iCs/>
        </w:rPr>
        <w:t>only fails caused by the participants are considered</w:t>
      </w:r>
      <w:r w:rsidRPr="00D767EB">
        <w:t>” and that “</w:t>
      </w:r>
      <w:r w:rsidRPr="00D767EB">
        <w:rPr>
          <w:i/>
          <w:iCs/>
        </w:rPr>
        <w:t>F</w:t>
      </w:r>
      <w:r w:rsidRPr="0033546B">
        <w:rPr>
          <w:i/>
          <w:iCs/>
        </w:rPr>
        <w:t>ails caused by the participant’s counterparty are not considered. ESMA believes that the same approach should be used when CSDs report the top 10 failing participants</w:t>
      </w:r>
      <w:r w:rsidRPr="00D767EB">
        <w:t xml:space="preserve">”. We also share ESMA’s view under par. 120, recognising the need for providing at least some criteria to determine 2 parameters allowing the identification of the top fail participants (i.e. </w:t>
      </w:r>
      <w:proofErr w:type="spellStart"/>
      <w:r w:rsidRPr="00D767EB">
        <w:t>the</w:t>
      </w:r>
      <w:proofErr w:type="spellEnd"/>
      <w:r w:rsidRPr="00D767EB">
        <w:t xml:space="preserve"> fail rate, and the share of the participant’s fails in the total volume and/or value processed by the CSD)</w:t>
      </w:r>
      <w:r>
        <w:t>.</w:t>
      </w:r>
    </w:p>
    <w:p w14:paraId="4E8D0629" w14:textId="77777777" w:rsidR="007B66E4" w:rsidRDefault="007B66E4" w:rsidP="007B66E4">
      <w:r>
        <w:t xml:space="preserve">Hence, in general terms, we agree with the proposed amendments to Table 1 of Annex 1 aimed at making the identification of the top 10 failing participants more rationale and realistic. However, if ESMA and the Union want to achieve a real enhancement in this scope, and turn this part of the legislation more effective, then, on the basis of our members’ feedback (and in line with previous feedback by ABI) </w:t>
      </w:r>
      <w:r w:rsidRPr="006B615E">
        <w:rPr>
          <w:b/>
          <w:bCs/>
        </w:rPr>
        <w:t>we believe that there should be introduced some references to the use of the informational content which every transaction should carry in the field “Party 2”.</w:t>
      </w:r>
      <w:r>
        <w:t xml:space="preserve"> By using the Counterparty quoted/populated in the “Party 2” field, it is </w:t>
      </w:r>
      <w:r>
        <w:lastRenderedPageBreak/>
        <w:t>and it will be possible to identify the actual counterparty / investment firm causing the settlement fail. This would sensibly contribute to:</w:t>
      </w:r>
    </w:p>
    <w:p w14:paraId="133223D2" w14:textId="77777777" w:rsidR="007B66E4" w:rsidRDefault="007B66E4" w:rsidP="007B66E4">
      <w:proofErr w:type="spellStart"/>
      <w:r>
        <w:t>i</w:t>
      </w:r>
      <w:proofErr w:type="spellEnd"/>
      <w:r>
        <w:t>) placing responsibility for settlement fails on the parties actually causing them,</w:t>
      </w:r>
    </w:p>
    <w:p w14:paraId="0594E95D" w14:textId="77777777" w:rsidR="007B66E4" w:rsidRDefault="007B66E4" w:rsidP="007B66E4">
      <w:r>
        <w:t>ii) making the overall settlement discipline regime more effective, by addressing those “party 2” the relevant settlement discipline provisions and</w:t>
      </w:r>
    </w:p>
    <w:p w14:paraId="3CC93F7F" w14:textId="77777777" w:rsidR="007B66E4" w:rsidRPr="0033546B" w:rsidRDefault="007B66E4" w:rsidP="007B66E4">
      <w:r>
        <w:t>iii) “alleviating” settlement agents and custodian banks from appearing as eventual top failing participants in lieu of someone else’s.</w:t>
      </w:r>
    </w:p>
    <w:p w14:paraId="5A4397DC" w14:textId="5AC0243C" w:rsidR="00113E80" w:rsidRDefault="007B66E4" w:rsidP="007B66E4">
      <w:r w:rsidRPr="006B615E">
        <w:rPr>
          <w:color w:val="auto"/>
          <w:lang w:val="en-US"/>
        </w:rPr>
        <w:t xml:space="preserve">Whilst we suggest the above, </w:t>
      </w:r>
      <w:r>
        <w:rPr>
          <w:color w:val="auto"/>
          <w:lang w:val="en-US"/>
        </w:rPr>
        <w:t xml:space="preserve">our members are anyway aware of the fact that such proposal on Party 2 would imply software enhancements and procedural changes and, eventually, investments. Further, for Party 2 to make a real difference in allowing for the identification of the failing parties, such field/information should also be </w:t>
      </w:r>
      <w:r w:rsidR="00260E27">
        <w:rPr>
          <w:color w:val="auto"/>
          <w:lang w:val="en-US"/>
        </w:rPr>
        <w:t>“</w:t>
      </w:r>
      <w:r>
        <w:rPr>
          <w:color w:val="auto"/>
          <w:lang w:val="en-US"/>
        </w:rPr>
        <w:t>carried</w:t>
      </w:r>
      <w:r w:rsidR="00260E27">
        <w:rPr>
          <w:color w:val="auto"/>
          <w:lang w:val="en-US"/>
        </w:rPr>
        <w:t>”</w:t>
      </w:r>
      <w:r>
        <w:rPr>
          <w:color w:val="auto"/>
          <w:lang w:val="en-US"/>
        </w:rPr>
        <w:t xml:space="preserve"> within settlement instructions and, to do so, Party 2 should be made mandatory. By doing so, it should be finally available the information to compile a ranking of the 10 most failing participants. We presume that such raking, in turn, might reveal useful, for market participants, to assess their (current and potential) counterparties, even in the scope of Best Execution requirements (given that “settlement efficiency” is one of the parameters for “best execution”).</w:t>
      </w:r>
    </w:p>
    <w:permEnd w:id="556666167"/>
    <w:p w14:paraId="6E25C569" w14:textId="77777777" w:rsidR="00113E80" w:rsidRDefault="00113E80" w:rsidP="00113E80">
      <w:r>
        <w:t>&lt;ESMA_QUESTION_CSDC_28&gt;</w:t>
      </w:r>
    </w:p>
    <w:p w14:paraId="3A133BF7" w14:textId="77777777" w:rsidR="00113E80" w:rsidRDefault="00113E80" w:rsidP="00113E80"/>
    <w:p w14:paraId="0EF03F16" w14:textId="77777777" w:rsidR="00113E80" w:rsidRDefault="00113E80" w:rsidP="00113E80">
      <w:pPr>
        <w:pStyle w:val="Questionstyle"/>
        <w:numPr>
          <w:ilvl w:val="0"/>
          <w:numId w:val="14"/>
        </w:numPr>
        <w:tabs>
          <w:tab w:val="clear" w:pos="567"/>
        </w:tabs>
        <w:spacing w:after="240" w:line="256" w:lineRule="auto"/>
        <w:ind w:left="851" w:hanging="851"/>
      </w:pPr>
      <w:r>
        <w:t>Should top 10 failing participants be reported both in absolute terms (current approach) and in relative terms (according to the proposed amendments to Table 1 of Annex I of CDR 2018/1229)?</w:t>
      </w:r>
    </w:p>
    <w:p w14:paraId="31B0E5FE" w14:textId="77777777" w:rsidR="00113E80" w:rsidRDefault="00113E80" w:rsidP="00113E80">
      <w:r>
        <w:t>&lt;ESMA_QUESTION_CSDC_29&gt;</w:t>
      </w:r>
    </w:p>
    <w:p w14:paraId="6A74012F" w14:textId="7CA29EA4" w:rsidR="00113E80" w:rsidRDefault="001B4305" w:rsidP="00113E80">
      <w:permStart w:id="219745450" w:edGrp="everyone"/>
      <w:r>
        <w:t xml:space="preserve">We support the approach presented in the </w:t>
      </w:r>
      <w:r w:rsidRPr="0022497E">
        <w:rPr>
          <w:u w:val="single"/>
        </w:rPr>
        <w:t>amendments’ proposal</w:t>
      </w:r>
      <w:r>
        <w:t xml:space="preserve"> on page 35, where the Top 10 participants are ranked both in absolute and relative terms. However, as suggested in our answer to Q28, ESMA should amend its proposal in order to include references to Party 2, so that the actual failing participants are </w:t>
      </w:r>
      <w:r w:rsidR="00260E27">
        <w:t>identified,</w:t>
      </w:r>
      <w:r>
        <w:t xml:space="preserve"> and the settlement discipline CDR provision gain further effectiveness in making participants (and investment firms using their services) more responsible and accountable for those fails they actually cause.</w:t>
      </w:r>
    </w:p>
    <w:permEnd w:id="219745450"/>
    <w:p w14:paraId="7F5E65F3" w14:textId="77777777" w:rsidR="00113E80" w:rsidRDefault="00113E80" w:rsidP="00113E80">
      <w:r>
        <w:t>&lt;ESMA_QUESTION_CSDC_29&gt;</w:t>
      </w:r>
    </w:p>
    <w:p w14:paraId="637A2179" w14:textId="77777777" w:rsidR="00113E80" w:rsidRDefault="00113E80" w:rsidP="00113E80"/>
    <w:p w14:paraId="5F630515" w14:textId="77777777" w:rsidR="00113E80" w:rsidRDefault="00113E80" w:rsidP="00113E80">
      <w:pPr>
        <w:pStyle w:val="Questionstyle"/>
        <w:numPr>
          <w:ilvl w:val="0"/>
          <w:numId w:val="14"/>
        </w:numPr>
        <w:tabs>
          <w:tab w:val="clear" w:pos="567"/>
        </w:tabs>
        <w:spacing w:after="240" w:line="256" w:lineRule="auto"/>
        <w:ind w:left="851" w:hanging="851"/>
      </w:pPr>
      <w:r>
        <w:lastRenderedPageBreak/>
        <w:t>Do you have additional suggestions regarding the requirements for CSDs to report settlement fails data specified in Annex I and Annex II of CDR 2018/1229? If yes, please elaborate.</w:t>
      </w:r>
    </w:p>
    <w:p w14:paraId="74C6E692" w14:textId="77777777" w:rsidR="00113E80" w:rsidRDefault="00113E80" w:rsidP="00113E80">
      <w:r>
        <w:t>&lt;ESMA_QUESTION_CSDC_30&gt;</w:t>
      </w:r>
    </w:p>
    <w:p w14:paraId="0D88571E" w14:textId="5D27F028" w:rsidR="00113E80" w:rsidRDefault="00210FCD" w:rsidP="00113E80">
      <w:permStart w:id="1283796359" w:edGrp="everyone"/>
      <w:r>
        <w:t>Please, see our answer to Q28 where we suggest introducing a role for the information compiled under the field “Party 2” in order to identify the actual counterparty causing the settlement fail.</w:t>
      </w:r>
    </w:p>
    <w:permEnd w:id="1283796359"/>
    <w:p w14:paraId="4282D8EA" w14:textId="77777777" w:rsidR="00113E80" w:rsidRDefault="00113E80" w:rsidP="00113E80">
      <w:r>
        <w:t>&lt;ESMA_QUESTION_CSDC_30&gt;</w:t>
      </w:r>
    </w:p>
    <w:p w14:paraId="2520B536" w14:textId="77777777" w:rsidR="00FE2F18" w:rsidRPr="00FE2F18" w:rsidRDefault="00FE2F18" w:rsidP="00113E80">
      <w:pPr>
        <w:rPr>
          <w:b/>
          <w:bCs/>
        </w:rPr>
      </w:pPr>
    </w:p>
    <w:p w14:paraId="64702871" w14:textId="4757E5B4" w:rsidR="00FE2F18" w:rsidRPr="00FE2F18" w:rsidRDefault="00FE2F18" w:rsidP="00113E80">
      <w:pPr>
        <w:rPr>
          <w:b/>
          <w:bCs/>
        </w:rPr>
      </w:pPr>
      <w:r w:rsidRPr="00FE2F18">
        <w:rPr>
          <w:b/>
          <w:bCs/>
        </w:rPr>
        <w:t>3.1.10</w:t>
      </w:r>
      <w:r w:rsidRPr="00FE2F18">
        <w:rPr>
          <w:b/>
          <w:bCs/>
        </w:rPr>
        <w:tab/>
        <w:t>Reporting the reasons for settlement fails</w:t>
      </w:r>
    </w:p>
    <w:p w14:paraId="30C859A2" w14:textId="77777777" w:rsidR="00113E80" w:rsidRDefault="00113E80" w:rsidP="00113E80"/>
    <w:p w14:paraId="1123606A" w14:textId="77777777" w:rsidR="00113E80" w:rsidRDefault="00113E80" w:rsidP="00113E80">
      <w:pPr>
        <w:pStyle w:val="Questionstyle"/>
        <w:numPr>
          <w:ilvl w:val="0"/>
          <w:numId w:val="14"/>
        </w:numPr>
        <w:tabs>
          <w:tab w:val="clear" w:pos="567"/>
        </w:tabs>
        <w:spacing w:after="240" w:line="256" w:lineRule="auto"/>
        <w:ind w:left="851" w:hanging="851"/>
      </w:pPr>
      <w:r>
        <w:rPr>
          <w:bCs/>
        </w:rPr>
        <w:t>Do you agree with the proposed amendments to Article 13(1)(a) of CDR 2018/1229? Or can you suggest alternative options so that CSDs have visibility of the root causes of settlement fails at participants level?</w:t>
      </w:r>
    </w:p>
    <w:p w14:paraId="15367DB4" w14:textId="77777777" w:rsidR="00113E80" w:rsidRDefault="00113E80" w:rsidP="00113E80">
      <w:r>
        <w:t>&lt;ESMA_QUESTION_CSDC_31&gt;</w:t>
      </w:r>
    </w:p>
    <w:p w14:paraId="668128E5" w14:textId="0B079840" w:rsidR="00113E80" w:rsidRPr="00382B35" w:rsidRDefault="00E1610E" w:rsidP="00E1610E">
      <w:pPr>
        <w:rPr>
          <w:lang w:val="en-US"/>
        </w:rPr>
      </w:pPr>
      <w:permStart w:id="970873259" w:edGrp="everyone"/>
      <w:r w:rsidRPr="00F35D6A">
        <w:rPr>
          <w:lang w:val="en-US"/>
        </w:rPr>
        <w:t>ABI agrees with the p</w:t>
      </w:r>
      <w:r>
        <w:rPr>
          <w:lang w:val="en-US"/>
        </w:rPr>
        <w:t>roposed amendment to Art.13(1) of CDR as it aims to share accountability on the reasons for settlement fails also with Participants, where this information is not available to the CSD.</w:t>
      </w:r>
    </w:p>
    <w:permEnd w:id="970873259"/>
    <w:p w14:paraId="040AD67A" w14:textId="77777777" w:rsidR="00113E80" w:rsidRDefault="00113E80" w:rsidP="00113E80">
      <w:r>
        <w:t>&lt;ESMA_QUESTION_CSDC_31&gt;</w:t>
      </w:r>
    </w:p>
    <w:p w14:paraId="2ED2AE69" w14:textId="77777777" w:rsidR="00113E80" w:rsidRDefault="00113E80" w:rsidP="00113E80"/>
    <w:p w14:paraId="6379AC70" w14:textId="77777777" w:rsidR="00113E80" w:rsidRDefault="00113E80" w:rsidP="00113E80">
      <w:pPr>
        <w:pStyle w:val="Questionstyle"/>
        <w:numPr>
          <w:ilvl w:val="0"/>
          <w:numId w:val="14"/>
        </w:numPr>
        <w:tabs>
          <w:tab w:val="clear" w:pos="567"/>
        </w:tabs>
        <w:spacing w:after="240" w:line="256" w:lineRule="auto"/>
        <w:ind w:left="851" w:hanging="851"/>
      </w:pPr>
      <w:r>
        <w:t xml:space="preserve">Based on the experience since the implementation of the settlement discipline regime under CSDR, please describe the main root causes of settlement fails identified so far. Please specify the relevant categories in more granular terms, going beyond “lack of securities”, “lack of cash” and “instructions put on hold”. </w:t>
      </w:r>
    </w:p>
    <w:p w14:paraId="4DD92AAA" w14:textId="77777777" w:rsidR="00113E80" w:rsidRDefault="00113E80" w:rsidP="00113E80">
      <w:r>
        <w:t>&lt;ESMA_QUESTION_CSDC_32&gt;</w:t>
      </w:r>
    </w:p>
    <w:p w14:paraId="1F469DC4" w14:textId="340BCE74" w:rsidR="00113E80" w:rsidRPr="00382B35" w:rsidRDefault="00382B35" w:rsidP="00113E80">
      <w:pPr>
        <w:rPr>
          <w:lang w:val="en-US"/>
        </w:rPr>
      </w:pPr>
      <w:permStart w:id="228340192" w:edGrp="everyone"/>
      <w:r>
        <w:t>TYPE YOUR TEXT HERE</w:t>
      </w:r>
    </w:p>
    <w:permEnd w:id="228340192"/>
    <w:p w14:paraId="731F3228" w14:textId="77777777" w:rsidR="00113E80" w:rsidRDefault="00113E80" w:rsidP="00113E80">
      <w:r>
        <w:t>&lt;ESMA_QUESTION_CSDC_32&gt;</w:t>
      </w:r>
    </w:p>
    <w:p w14:paraId="0ED40D17" w14:textId="77777777" w:rsidR="00113E80" w:rsidRDefault="00113E80" w:rsidP="00113E80"/>
    <w:p w14:paraId="7806D5D6" w14:textId="77777777" w:rsidR="00113E80" w:rsidRDefault="00113E80" w:rsidP="00113E80">
      <w:pPr>
        <w:pStyle w:val="Questionstyle"/>
        <w:numPr>
          <w:ilvl w:val="0"/>
          <w:numId w:val="14"/>
        </w:numPr>
        <w:tabs>
          <w:tab w:val="clear" w:pos="567"/>
        </w:tabs>
        <w:spacing w:after="240" w:line="256" w:lineRule="auto"/>
        <w:ind w:left="851" w:hanging="851"/>
      </w:pPr>
      <w:r>
        <w:t>According to Article 13(2) of the CDR, CSDs shall establish working arrangements with their top failing participants to analyse the main reasons for settlement fails. Do you believe that this provision has proven useful in analysing the root causes of fails and in preventing them? Do you have suggestions on other actions which CSDs could take with respect to top failing participants?</w:t>
      </w:r>
    </w:p>
    <w:p w14:paraId="39467292" w14:textId="77777777" w:rsidR="00113E80" w:rsidRDefault="00113E80" w:rsidP="00113E80">
      <w:r>
        <w:t>&lt;ESMA_QUESTION_CSDC_33&gt;</w:t>
      </w:r>
    </w:p>
    <w:p w14:paraId="17646EE2" w14:textId="68A9B421" w:rsidR="00F34736" w:rsidRDefault="00EB41B4" w:rsidP="00113E80">
      <w:pPr>
        <w:rPr>
          <w:lang w:val="en-US"/>
        </w:rPr>
      </w:pPr>
      <w:permStart w:id="1495876337" w:edGrp="everyone"/>
      <w:r>
        <w:rPr>
          <w:lang w:val="en-US"/>
        </w:rPr>
        <w:t>Based on</w:t>
      </w:r>
      <w:r w:rsidR="00284BE9">
        <w:rPr>
          <w:lang w:val="en-US"/>
        </w:rPr>
        <w:t xml:space="preserve"> our members’ feedback, actions by CSDs with respect to their top-failing participants shall be taken “at source”, i.e. so at the level of the securities’ holder, and/or its custodian bank(s).</w:t>
      </w:r>
    </w:p>
    <w:permEnd w:id="1495876337"/>
    <w:p w14:paraId="2635252C" w14:textId="2448C96F" w:rsidR="00113E80" w:rsidRDefault="00113E80" w:rsidP="00113E80">
      <w:r>
        <w:t>&lt;ESMA_QUESTION_CSDC_33&gt;</w:t>
      </w:r>
    </w:p>
    <w:p w14:paraId="5FDFCD18" w14:textId="77777777" w:rsidR="00113E80" w:rsidRDefault="00113E80" w:rsidP="00113E80"/>
    <w:p w14:paraId="034E5DAE" w14:textId="7AEDA29A" w:rsidR="005E6387" w:rsidRDefault="005E6387" w:rsidP="00113E80">
      <w:pPr>
        <w:rPr>
          <w:b/>
          <w:bCs/>
        </w:rPr>
      </w:pPr>
      <w:r w:rsidRPr="005E6387">
        <w:rPr>
          <w:b/>
          <w:bCs/>
        </w:rPr>
        <w:t xml:space="preserve">3.1.11 </w:t>
      </w:r>
      <w:r w:rsidRPr="005E6387">
        <w:rPr>
          <w:b/>
          <w:bCs/>
        </w:rPr>
        <w:tab/>
        <w:t>CSDs’ public disclosure on settlement fails</w:t>
      </w:r>
    </w:p>
    <w:p w14:paraId="231DB31B" w14:textId="77777777" w:rsidR="005E6387" w:rsidRPr="005E6387" w:rsidRDefault="005E6387" w:rsidP="00113E80">
      <w:pPr>
        <w:rPr>
          <w:b/>
          <w:bCs/>
        </w:rPr>
      </w:pPr>
    </w:p>
    <w:p w14:paraId="27CBEFD5" w14:textId="77777777" w:rsidR="00113E80" w:rsidRDefault="00113E80" w:rsidP="00113E80">
      <w:pPr>
        <w:pStyle w:val="Questionstyle"/>
        <w:numPr>
          <w:ilvl w:val="0"/>
          <w:numId w:val="14"/>
        </w:numPr>
        <w:tabs>
          <w:tab w:val="clear" w:pos="567"/>
        </w:tabs>
        <w:spacing w:after="240" w:line="256" w:lineRule="auto"/>
        <w:ind w:left="851" w:hanging="851"/>
      </w:pPr>
      <w:r>
        <w:t>Do you agree with the proposed amendments to Table 1 of Annex III of CDR 2018/1229 to include information on the breakdown of the settlement fails per asset class? If not, please elaborate.</w:t>
      </w:r>
    </w:p>
    <w:p w14:paraId="55BC7740" w14:textId="77777777" w:rsidR="00113E80" w:rsidRDefault="00113E80" w:rsidP="00113E80">
      <w:r>
        <w:t>&lt;ESMA_QUESTION_CSDC_34&gt;</w:t>
      </w:r>
    </w:p>
    <w:p w14:paraId="3A37A6EB" w14:textId="4D220060" w:rsidR="00113E80" w:rsidRDefault="004D54E5" w:rsidP="00113E80">
      <w:permStart w:id="641089610" w:edGrp="everyone"/>
      <w:r w:rsidRPr="00EF01D3">
        <w:rPr>
          <w:lang w:val="en-US"/>
        </w:rPr>
        <w:t xml:space="preserve">ABI agrees </w:t>
      </w:r>
      <w:r w:rsidRPr="00D767EB">
        <w:t xml:space="preserve">agree with </w:t>
      </w:r>
      <w:r>
        <w:t>“</w:t>
      </w:r>
      <w:r w:rsidRPr="00D767EB">
        <w:t>the proposed amendments to Table 1 of Annex III of CDR 2018/1229 to include information on the breakdown of the settlement fails per asset class</w:t>
      </w:r>
      <w:r>
        <w:t>”.</w:t>
      </w:r>
    </w:p>
    <w:permEnd w:id="641089610"/>
    <w:p w14:paraId="040B68F4" w14:textId="77777777" w:rsidR="00113E80" w:rsidRDefault="00113E80" w:rsidP="00113E80">
      <w:r>
        <w:t>&lt;ESMA_QUESTION_CSDC_34&gt;</w:t>
      </w:r>
    </w:p>
    <w:p w14:paraId="44C61B7A" w14:textId="77777777" w:rsidR="00113E80" w:rsidRDefault="00113E80" w:rsidP="00113E80"/>
    <w:p w14:paraId="7F18F20E" w14:textId="77777777" w:rsidR="00113E80" w:rsidRDefault="00113E80" w:rsidP="00113E80">
      <w:pPr>
        <w:pStyle w:val="Questionstyle"/>
        <w:numPr>
          <w:ilvl w:val="0"/>
          <w:numId w:val="14"/>
        </w:numPr>
        <w:tabs>
          <w:tab w:val="clear" w:pos="567"/>
        </w:tabs>
        <w:spacing w:after="240" w:line="256" w:lineRule="auto"/>
        <w:ind w:left="851" w:hanging="851"/>
      </w:pPr>
      <w:r>
        <w:t>Do you think that CSDs should publish additional information on settlement fails? If yes, please specify.</w:t>
      </w:r>
    </w:p>
    <w:p w14:paraId="7B0B0203" w14:textId="77777777" w:rsidR="00113E80" w:rsidRDefault="00113E80" w:rsidP="00113E80">
      <w:r>
        <w:t>&lt;ESMA_QUESTION_CSDC_35&gt;</w:t>
      </w:r>
    </w:p>
    <w:p w14:paraId="4ECE239F" w14:textId="77777777" w:rsidR="00A2248D" w:rsidRDefault="00A2248D" w:rsidP="00A2248D">
      <w:permStart w:id="497168460" w:edGrp="everyone"/>
      <w:r>
        <w:t xml:space="preserve">We take the occasion offered by this question (about CSDs’ additional information publication on settlement fails) to reiterate a solicitation we made to ESMA, in a response to a previous public consultation, to exploit the current “momentum” in the </w:t>
      </w:r>
      <w:r w:rsidRPr="008E08E0">
        <w:rPr>
          <w:i/>
          <w:iCs/>
        </w:rPr>
        <w:t>settlement scope</w:t>
      </w:r>
      <w:r>
        <w:t xml:space="preserve"> to work with </w:t>
      </w:r>
      <w:r>
        <w:lastRenderedPageBreak/>
        <w:t xml:space="preserve">market operators, infrastructures and venues to identify, prior to migrating to T+1, the room for </w:t>
      </w:r>
      <w:r w:rsidRPr="00382D01">
        <w:t xml:space="preserve">enhanced regulatory framework mandating the </w:t>
      </w:r>
      <w:r w:rsidRPr="00F63A23">
        <w:rPr>
          <w:b/>
          <w:bCs/>
        </w:rPr>
        <w:t xml:space="preserve">very same criteria for </w:t>
      </w:r>
      <w:r>
        <w:rPr>
          <w:b/>
          <w:bCs/>
        </w:rPr>
        <w:t>measuring “</w:t>
      </w:r>
      <w:r w:rsidRPr="00F63A23">
        <w:rPr>
          <w:b/>
          <w:bCs/>
        </w:rPr>
        <w:t>settlement efficiency</w:t>
      </w:r>
      <w:r>
        <w:rPr>
          <w:b/>
          <w:bCs/>
        </w:rPr>
        <w:t>”</w:t>
      </w:r>
      <w:r w:rsidRPr="00F63A23">
        <w:rPr>
          <w:b/>
          <w:bCs/>
        </w:rPr>
        <w:t xml:space="preserve"> </w:t>
      </w:r>
      <w:r>
        <w:rPr>
          <w:b/>
          <w:bCs/>
        </w:rPr>
        <w:t xml:space="preserve">so that any data stats (on efficiency) published by EU </w:t>
      </w:r>
      <w:r w:rsidRPr="00382D01">
        <w:t>CSD</w:t>
      </w:r>
      <w:r>
        <w:t>s</w:t>
      </w:r>
      <w:r w:rsidRPr="00382D01">
        <w:t xml:space="preserve"> and </w:t>
      </w:r>
      <w:r>
        <w:t xml:space="preserve">other </w:t>
      </w:r>
      <w:r w:rsidRPr="00382D01">
        <w:t xml:space="preserve">market infrastructures </w:t>
      </w:r>
      <w:r>
        <w:t xml:space="preserve">will be finally comparable </w:t>
      </w:r>
      <w:r w:rsidRPr="00382D01">
        <w:t>(vis-a- vis the great dis-homogeneity witnessed nowadays</w:t>
      </w:r>
      <w:r>
        <w:t>). ABI believes that it is still crucial to ide</w:t>
      </w:r>
      <w:r w:rsidRPr="009A42C2">
        <w:t>ntify an appropriate, stable and unique (set of) measures (or quantitative-mathematical variables) to quantify settlement efficiency in the Union</w:t>
      </w:r>
      <w:r>
        <w:t>, univocally</w:t>
      </w:r>
      <w:r w:rsidRPr="009A42C2">
        <w:t>.</w:t>
      </w:r>
    </w:p>
    <w:p w14:paraId="705921E7" w14:textId="5170470E" w:rsidR="00113E80" w:rsidRDefault="00A2248D" w:rsidP="00A2248D">
      <w:r>
        <w:rPr>
          <w:lang w:val="en-US"/>
        </w:rPr>
        <w:t>W</w:t>
      </w:r>
      <w:r w:rsidRPr="00EC44C6">
        <w:rPr>
          <w:lang w:val="en-US"/>
        </w:rPr>
        <w:t xml:space="preserve">e believe </w:t>
      </w:r>
      <w:r>
        <w:rPr>
          <w:lang w:val="en-US"/>
        </w:rPr>
        <w:t xml:space="preserve">that, by pursuing and achieving this goal, </w:t>
      </w:r>
      <w:r w:rsidRPr="00EC44C6">
        <w:rPr>
          <w:lang w:val="en-US"/>
        </w:rPr>
        <w:t xml:space="preserve">it will </w:t>
      </w:r>
      <w:r>
        <w:rPr>
          <w:lang w:val="en-US"/>
        </w:rPr>
        <w:t xml:space="preserve">then be </w:t>
      </w:r>
      <w:r w:rsidRPr="00EC44C6">
        <w:rPr>
          <w:lang w:val="en-US"/>
        </w:rPr>
        <w:t xml:space="preserve">possible to </w:t>
      </w:r>
      <w:r>
        <w:rPr>
          <w:lang w:val="en-US"/>
        </w:rPr>
        <w:t xml:space="preserve">enhance the capability to further </w:t>
      </w:r>
      <w:r w:rsidRPr="00EC44C6">
        <w:rPr>
          <w:lang w:val="en-US"/>
        </w:rPr>
        <w:t xml:space="preserve">identify the current </w:t>
      </w:r>
      <w:r>
        <w:rPr>
          <w:lang w:val="en-US"/>
        </w:rPr>
        <w:t xml:space="preserve">and future </w:t>
      </w:r>
      <w:r w:rsidRPr="00EC44C6">
        <w:rPr>
          <w:lang w:val="en-US"/>
        </w:rPr>
        <w:t xml:space="preserve">sources of settlement </w:t>
      </w:r>
      <w:r w:rsidRPr="00EB41B4">
        <w:rPr>
          <w:u w:val="single"/>
          <w:lang w:val="en-US"/>
        </w:rPr>
        <w:t>in</w:t>
      </w:r>
      <w:r w:rsidRPr="00EC44C6">
        <w:rPr>
          <w:lang w:val="en-US"/>
        </w:rPr>
        <w:t xml:space="preserve">efficiencies in the Union on a </w:t>
      </w:r>
      <w:r w:rsidRPr="00EC44C6">
        <w:rPr>
          <w:b/>
          <w:bCs/>
          <w:lang w:val="en-US"/>
        </w:rPr>
        <w:t>by-entity, by</w:t>
      </w:r>
      <w:r>
        <w:rPr>
          <w:b/>
          <w:bCs/>
          <w:lang w:val="en-US"/>
        </w:rPr>
        <w:t>-</w:t>
      </w:r>
      <w:r w:rsidRPr="00EC44C6">
        <w:rPr>
          <w:b/>
          <w:bCs/>
          <w:lang w:val="en-US"/>
        </w:rPr>
        <w:t>process, by-product basis</w:t>
      </w:r>
      <w:r w:rsidRPr="00EC44C6">
        <w:rPr>
          <w:lang w:val="en-US"/>
        </w:rPr>
        <w:t xml:space="preserve">. </w:t>
      </w:r>
      <w:r w:rsidRPr="004F0DE6">
        <w:rPr>
          <w:lang w:val="en-US"/>
        </w:rPr>
        <w:t>Moving from that achievement, it will then be feasible to</w:t>
      </w:r>
      <w:r>
        <w:rPr>
          <w:lang w:val="en-US"/>
        </w:rPr>
        <w:t xml:space="preserve"> (</w:t>
      </w:r>
      <w:proofErr w:type="spellStart"/>
      <w:r w:rsidRPr="004F0DE6">
        <w:rPr>
          <w:lang w:val="en-US"/>
        </w:rPr>
        <w:t>i</w:t>
      </w:r>
      <w:proofErr w:type="spellEnd"/>
      <w:r>
        <w:rPr>
          <w:lang w:val="en-US"/>
        </w:rPr>
        <w:t>)</w:t>
      </w:r>
      <w:r w:rsidRPr="004F0DE6">
        <w:rPr>
          <w:lang w:val="en-US"/>
        </w:rPr>
        <w:t xml:space="preserve"> identify the measures to resolve the identified issues</w:t>
      </w:r>
      <w:r>
        <w:rPr>
          <w:lang w:val="en-US"/>
        </w:rPr>
        <w:t>, (</w:t>
      </w:r>
      <w:r w:rsidRPr="004F0DE6">
        <w:rPr>
          <w:lang w:val="en-US"/>
        </w:rPr>
        <w:t>ii</w:t>
      </w:r>
      <w:r>
        <w:rPr>
          <w:lang w:val="en-US"/>
        </w:rPr>
        <w:t>)</w:t>
      </w:r>
      <w:r w:rsidRPr="004F0DE6">
        <w:rPr>
          <w:lang w:val="en-US"/>
        </w:rPr>
        <w:t xml:space="preserve"> quantify and allow for the necessary time to change or make processes more automated and leaner (at the entities where this is considered necessary)</w:t>
      </w:r>
      <w:r>
        <w:rPr>
          <w:lang w:val="en-US"/>
        </w:rPr>
        <w:t>.</w:t>
      </w:r>
    </w:p>
    <w:permEnd w:id="497168460"/>
    <w:p w14:paraId="26767BA7" w14:textId="77777777" w:rsidR="00113E80" w:rsidRDefault="00113E80" w:rsidP="00113E80">
      <w:r>
        <w:t>&lt;ESMA_QUESTION_CSDC_35&gt;</w:t>
      </w:r>
    </w:p>
    <w:p w14:paraId="2A727C54" w14:textId="77777777" w:rsidR="00113E80" w:rsidRDefault="00113E80" w:rsidP="00113E80"/>
    <w:p w14:paraId="05186102" w14:textId="77777777" w:rsidR="00113E80" w:rsidRDefault="00113E80" w:rsidP="00113E80">
      <w:pPr>
        <w:pStyle w:val="Questionstyle"/>
        <w:numPr>
          <w:ilvl w:val="0"/>
          <w:numId w:val="14"/>
        </w:numPr>
        <w:tabs>
          <w:tab w:val="clear" w:pos="567"/>
        </w:tabs>
        <w:spacing w:after="240" w:line="256" w:lineRule="auto"/>
        <w:ind w:left="851" w:hanging="851"/>
      </w:pPr>
      <w:r>
        <w:t>Should the frequency of publication of settlement fails data by CSDs increase? Which should be the right frequency?</w:t>
      </w:r>
    </w:p>
    <w:p w14:paraId="134E4FF0" w14:textId="77777777" w:rsidR="00113E80" w:rsidRDefault="00113E80" w:rsidP="00113E80">
      <w:r>
        <w:t>&lt;ESMA_QUESTION_CSDC_36&gt;</w:t>
      </w:r>
    </w:p>
    <w:p w14:paraId="3E5D653B" w14:textId="77777777" w:rsidR="00113E80" w:rsidRDefault="00113E80" w:rsidP="00113E80">
      <w:permStart w:id="114362908" w:edGrp="everyone"/>
      <w:r>
        <w:t>TYPE YOUR TEXT HERE</w:t>
      </w:r>
    </w:p>
    <w:permEnd w:id="114362908"/>
    <w:p w14:paraId="70E7604E" w14:textId="5F32BB1F" w:rsidR="00113E80" w:rsidRDefault="00113E80" w:rsidP="00113E80">
      <w:r>
        <w:t>&lt;ESMA_QUESTION_CSDC_36&gt;</w:t>
      </w:r>
    </w:p>
    <w:p w14:paraId="41F00432" w14:textId="77777777" w:rsidR="005E6387" w:rsidRDefault="005E6387" w:rsidP="00113E80"/>
    <w:p w14:paraId="7BF3AE2D" w14:textId="372D4812" w:rsidR="005E6387" w:rsidRPr="005E6387" w:rsidRDefault="005E6387" w:rsidP="00113E80">
      <w:pPr>
        <w:rPr>
          <w:b/>
          <w:bCs/>
        </w:rPr>
      </w:pPr>
      <w:r w:rsidRPr="005E6387">
        <w:rPr>
          <w:b/>
          <w:bCs/>
        </w:rPr>
        <w:t>3.2.1</w:t>
      </w:r>
      <w:r w:rsidRPr="005E6387">
        <w:rPr>
          <w:b/>
          <w:bCs/>
        </w:rPr>
        <w:tab/>
        <w:t>Unique transaction identifier (UTI)</w:t>
      </w:r>
    </w:p>
    <w:p w14:paraId="68785019" w14:textId="77777777" w:rsidR="005E6387" w:rsidRDefault="005E6387" w:rsidP="00113E80"/>
    <w:p w14:paraId="77668466" w14:textId="77777777" w:rsidR="00113E80" w:rsidRDefault="00113E80" w:rsidP="00113E80">
      <w:pPr>
        <w:pStyle w:val="Questionstyle"/>
        <w:numPr>
          <w:ilvl w:val="0"/>
          <w:numId w:val="14"/>
        </w:numPr>
        <w:tabs>
          <w:tab w:val="clear" w:pos="567"/>
        </w:tabs>
        <w:spacing w:after="240" w:line="256" w:lineRule="auto"/>
        <w:ind w:left="851" w:hanging="851"/>
      </w:pPr>
      <w:r>
        <w:rPr>
          <w:bCs/>
        </w:rPr>
        <w:t>Do you agree that the use of UTI should not be made mandatory through a regulatory change?</w:t>
      </w:r>
    </w:p>
    <w:p w14:paraId="32F224D5" w14:textId="77777777" w:rsidR="00113E80" w:rsidRDefault="00113E80" w:rsidP="00113E80">
      <w:r>
        <w:t>&lt;ESMA_QUESTION_CSDC_37&gt;</w:t>
      </w:r>
    </w:p>
    <w:p w14:paraId="223F69A6" w14:textId="77777777" w:rsidR="001C3508" w:rsidRDefault="001C3508" w:rsidP="001C3508">
      <w:pPr>
        <w:rPr>
          <w:bCs/>
        </w:rPr>
      </w:pPr>
      <w:permStart w:id="1185494481" w:edGrp="everyone"/>
      <w:r>
        <w:rPr>
          <w:lang w:val="en-US"/>
        </w:rPr>
        <w:t xml:space="preserve">On the basis of our members’ feedback, </w:t>
      </w:r>
      <w:r w:rsidRPr="00E629D0">
        <w:rPr>
          <w:lang w:val="en-US"/>
        </w:rPr>
        <w:t xml:space="preserve">ABI </w:t>
      </w:r>
      <w:r w:rsidRPr="00D767EB">
        <w:rPr>
          <w:bCs/>
        </w:rPr>
        <w:t>agree</w:t>
      </w:r>
      <w:r>
        <w:rPr>
          <w:bCs/>
        </w:rPr>
        <w:t>s</w:t>
      </w:r>
      <w:r w:rsidRPr="00D767EB">
        <w:rPr>
          <w:bCs/>
        </w:rPr>
        <w:t xml:space="preserve"> that the </w:t>
      </w:r>
      <w:r w:rsidRPr="00612E27">
        <w:rPr>
          <w:b/>
        </w:rPr>
        <w:t xml:space="preserve">use of the UTI should </w:t>
      </w:r>
      <w:r w:rsidRPr="00612E27">
        <w:rPr>
          <w:b/>
          <w:color w:val="auto"/>
        </w:rPr>
        <w:t xml:space="preserve">not </w:t>
      </w:r>
      <w:r w:rsidRPr="00612E27">
        <w:rPr>
          <w:b/>
        </w:rPr>
        <w:t>be made mandatory</w:t>
      </w:r>
      <w:r w:rsidRPr="00D767EB">
        <w:rPr>
          <w:bCs/>
        </w:rPr>
        <w:t xml:space="preserve"> through a regulatory change</w:t>
      </w:r>
      <w:r>
        <w:rPr>
          <w:bCs/>
        </w:rPr>
        <w:t xml:space="preserve"> and suggests it to be left to bilateral agreements between parties (on this, please, read also the 3</w:t>
      </w:r>
      <w:r w:rsidRPr="00612E27">
        <w:rPr>
          <w:bCs/>
          <w:vertAlign w:val="superscript"/>
        </w:rPr>
        <w:t>rd</w:t>
      </w:r>
      <w:r>
        <w:rPr>
          <w:bCs/>
          <w:vertAlign w:val="superscript"/>
        </w:rPr>
        <w:t xml:space="preserve"> </w:t>
      </w:r>
      <w:r>
        <w:rPr>
          <w:bCs/>
        </w:rPr>
        <w:t xml:space="preserve">paragraph below), as an </w:t>
      </w:r>
      <w:r>
        <w:rPr>
          <w:bCs/>
        </w:rPr>
        <w:lastRenderedPageBreak/>
        <w:t xml:space="preserve">additional field for “informational purposes” only: whoever would like to use it, will be free to do so, but not mandatorily. </w:t>
      </w:r>
    </w:p>
    <w:p w14:paraId="75C4D2ED" w14:textId="77777777" w:rsidR="001C3508" w:rsidRPr="007E11AC" w:rsidRDefault="001C3508" w:rsidP="001C3508">
      <w:pPr>
        <w:rPr>
          <w:bCs/>
          <w:color w:val="auto"/>
        </w:rPr>
      </w:pPr>
      <w:r w:rsidRPr="007E11AC">
        <w:rPr>
          <w:bCs/>
          <w:color w:val="auto"/>
        </w:rPr>
        <w:t xml:space="preserve">Indeed, the introduction and mandatory use of UTI would introduce </w:t>
      </w:r>
      <w:r w:rsidRPr="007E11AC">
        <w:rPr>
          <w:b/>
          <w:color w:val="auto"/>
        </w:rPr>
        <w:t>excessive complexities</w:t>
      </w:r>
      <w:r w:rsidRPr="007E11AC">
        <w:rPr>
          <w:bCs/>
          <w:color w:val="auto"/>
        </w:rPr>
        <w:t xml:space="preserve"> at least in those scenarios where a </w:t>
      </w:r>
      <w:r w:rsidRPr="007E11AC">
        <w:rPr>
          <w:b/>
          <w:color w:val="auto"/>
        </w:rPr>
        <w:t>huge quantity of orders are passed</w:t>
      </w:r>
      <w:r w:rsidRPr="007E11AC">
        <w:rPr>
          <w:bCs/>
          <w:color w:val="auto"/>
        </w:rPr>
        <w:t xml:space="preserve"> </w:t>
      </w:r>
      <w:r w:rsidRPr="007E11AC">
        <w:rPr>
          <w:b/>
          <w:color w:val="auto"/>
        </w:rPr>
        <w:t>and grouped by an intermediary</w:t>
      </w:r>
      <w:r w:rsidRPr="007E11AC">
        <w:rPr>
          <w:bCs/>
          <w:color w:val="auto"/>
        </w:rPr>
        <w:t xml:space="preserve">. In other words, the impact of the UTI is likely to be asymmetric, depending on the characteristics and the scope and volume of activity of the relevant intermediary. In fact, there is a remarkable difference between intermediaries submitting a single order and intermediaries who systematically pass on a sheer quantity of orders. Also, </w:t>
      </w:r>
    </w:p>
    <w:p w14:paraId="1ADCD532" w14:textId="7D854938" w:rsidR="001C3508" w:rsidRPr="007E11AC" w:rsidRDefault="001C3508" w:rsidP="001C3508">
      <w:pPr>
        <w:rPr>
          <w:bCs/>
          <w:color w:val="auto"/>
        </w:rPr>
      </w:pPr>
      <w:r w:rsidRPr="007E11AC">
        <w:rPr>
          <w:bCs/>
          <w:color w:val="auto"/>
        </w:rPr>
        <w:t xml:space="preserve">The introduction and mandatory use of UTI would also generate </w:t>
      </w:r>
      <w:r w:rsidRPr="007E11AC">
        <w:rPr>
          <w:b/>
          <w:color w:val="auto"/>
        </w:rPr>
        <w:t>complexities for netted transactions</w:t>
      </w:r>
      <w:r w:rsidRPr="00EB41B4">
        <w:rPr>
          <w:bCs/>
          <w:color w:val="auto"/>
        </w:rPr>
        <w:t>, where t</w:t>
      </w:r>
      <w:r w:rsidRPr="007E11AC">
        <w:rPr>
          <w:bCs/>
          <w:color w:val="auto"/>
        </w:rPr>
        <w:t>he key issue would be identify</w:t>
      </w:r>
      <w:r w:rsidR="00347E39">
        <w:rPr>
          <w:bCs/>
          <w:color w:val="auto"/>
        </w:rPr>
        <w:t>ing</w:t>
      </w:r>
      <w:r w:rsidRPr="007E11AC">
        <w:rPr>
          <w:bCs/>
          <w:color w:val="auto"/>
        </w:rPr>
        <w:t xml:space="preserve"> which party would have to generate the UTI. This is a very sensitive topic, based on the assumption that the UTI cannot be generated by both parties and, indeed, some of our most active members express worries about completely leaving to the industry the very sensitive point of the allocation of the responsibility to generate the UTI.</w:t>
      </w:r>
    </w:p>
    <w:p w14:paraId="24EBA5D3" w14:textId="77777777" w:rsidR="001C3508" w:rsidRPr="007E11AC" w:rsidRDefault="001C3508" w:rsidP="001C3508">
      <w:pPr>
        <w:rPr>
          <w:bCs/>
          <w:color w:val="auto"/>
        </w:rPr>
      </w:pPr>
      <w:r w:rsidRPr="007E11AC">
        <w:rPr>
          <w:bCs/>
          <w:color w:val="auto"/>
        </w:rPr>
        <w:t xml:space="preserve">ESMA shall be aware that, at the moment, there are </w:t>
      </w:r>
      <w:r w:rsidRPr="007E11AC">
        <w:rPr>
          <w:b/>
          <w:color w:val="auto"/>
        </w:rPr>
        <w:t>no universal industry standards on how UTIs should be managed in a netting scenario</w:t>
      </w:r>
      <w:r w:rsidRPr="007E11AC">
        <w:rPr>
          <w:bCs/>
          <w:color w:val="auto"/>
        </w:rPr>
        <w:t>. And the key questions to be addressed include whether each netted transaction should retain its own UTI, whether a new ‘parent’ UTI should be assigned to the netted position, or how best to maintain traceability between the two.</w:t>
      </w:r>
    </w:p>
    <w:p w14:paraId="7F454E24" w14:textId="77777777" w:rsidR="001C3508" w:rsidRDefault="001C3508" w:rsidP="001C3508">
      <w:pPr>
        <w:rPr>
          <w:bCs/>
        </w:rPr>
      </w:pPr>
      <w:r w:rsidRPr="006A7658">
        <w:rPr>
          <w:bCs/>
        </w:rPr>
        <w:t xml:space="preserve">Besides, </w:t>
      </w:r>
      <w:r>
        <w:rPr>
          <w:bCs/>
        </w:rPr>
        <w:t xml:space="preserve">ABI was made </w:t>
      </w:r>
      <w:r w:rsidRPr="006A7658">
        <w:rPr>
          <w:bCs/>
        </w:rPr>
        <w:t>aware that T2S is in</w:t>
      </w:r>
      <w:r>
        <w:rPr>
          <w:bCs/>
        </w:rPr>
        <w:t xml:space="preserve"> a position to “carry” the UTI informational content but not in a position to match it. So, making the UTI mandatory would imply changes to T2S.</w:t>
      </w:r>
    </w:p>
    <w:p w14:paraId="0E7BC8E3" w14:textId="20D3A7A7" w:rsidR="00113E80" w:rsidRDefault="001C3508" w:rsidP="001C3508">
      <w:r w:rsidRPr="00160CAC">
        <w:rPr>
          <w:bCs/>
        </w:rPr>
        <w:t>Finally, we remind ESM</w:t>
      </w:r>
      <w:r>
        <w:rPr>
          <w:bCs/>
        </w:rPr>
        <w:t>A</w:t>
      </w:r>
      <w:r w:rsidRPr="00160CAC">
        <w:rPr>
          <w:bCs/>
        </w:rPr>
        <w:t xml:space="preserve"> that the </w:t>
      </w:r>
      <w:r>
        <w:rPr>
          <w:bCs/>
        </w:rPr>
        <w:t xml:space="preserve">52-characthers length of the </w:t>
      </w:r>
      <w:r w:rsidRPr="00160CAC">
        <w:rPr>
          <w:bCs/>
        </w:rPr>
        <w:t>U</w:t>
      </w:r>
      <w:r>
        <w:rPr>
          <w:bCs/>
        </w:rPr>
        <w:t>TI is accounted for under ISO 20022 but it cannot be provided for or embedded in ISO 15022 as the latter does accept only narrative fields.</w:t>
      </w:r>
    </w:p>
    <w:permEnd w:id="1185494481"/>
    <w:p w14:paraId="3DD66736" w14:textId="77777777" w:rsidR="00113E80" w:rsidRDefault="00113E80" w:rsidP="00113E80">
      <w:r>
        <w:t>&lt;ESMA_QUESTION_CSDC_37&gt;</w:t>
      </w:r>
    </w:p>
    <w:p w14:paraId="654245AD" w14:textId="77777777" w:rsidR="00113E80" w:rsidRDefault="00113E80" w:rsidP="00113E80"/>
    <w:p w14:paraId="3A77ED7E" w14:textId="77777777" w:rsidR="00113E80" w:rsidRDefault="00113E80" w:rsidP="00113E80">
      <w:pPr>
        <w:pStyle w:val="Questionstyle"/>
        <w:numPr>
          <w:ilvl w:val="0"/>
          <w:numId w:val="14"/>
        </w:numPr>
        <w:tabs>
          <w:tab w:val="clear" w:pos="567"/>
        </w:tabs>
        <w:spacing w:after="240" w:line="256" w:lineRule="auto"/>
        <w:ind w:left="851" w:hanging="851"/>
      </w:pPr>
      <w:r>
        <w:t>What are your views on the use of UTI in general and in the case of netted transactions specifically?</w:t>
      </w:r>
    </w:p>
    <w:p w14:paraId="25DEC6FA" w14:textId="77777777" w:rsidR="00113E80" w:rsidRDefault="00113E80" w:rsidP="00113E80">
      <w:r>
        <w:t>&lt;ESMA_QUESTION_CSDC_38&gt;</w:t>
      </w:r>
    </w:p>
    <w:p w14:paraId="6E84343E" w14:textId="77777777" w:rsidR="00113E80" w:rsidRDefault="00113E80" w:rsidP="00113E80">
      <w:permStart w:id="409142589" w:edGrp="everyone"/>
      <w:r>
        <w:t>TYPE YOUR TEXT HERE</w:t>
      </w:r>
    </w:p>
    <w:permEnd w:id="409142589"/>
    <w:p w14:paraId="60D51D0A" w14:textId="77777777" w:rsidR="00113E80" w:rsidRDefault="00113E80" w:rsidP="00113E80">
      <w:r>
        <w:t>&lt;ESMA_QUESTION_CSDC_38&gt;</w:t>
      </w:r>
    </w:p>
    <w:p w14:paraId="7206039E" w14:textId="77777777" w:rsidR="005E6387" w:rsidRDefault="005E6387" w:rsidP="00113E80"/>
    <w:p w14:paraId="1A81D763" w14:textId="0799F7D1" w:rsidR="005E6387" w:rsidRPr="005E6387" w:rsidRDefault="005E6387" w:rsidP="00113E80">
      <w:pPr>
        <w:rPr>
          <w:b/>
          <w:bCs/>
        </w:rPr>
      </w:pPr>
      <w:r w:rsidRPr="005E6387">
        <w:rPr>
          <w:b/>
          <w:bCs/>
        </w:rPr>
        <w:lastRenderedPageBreak/>
        <w:t>3.2.2</w:t>
      </w:r>
      <w:r w:rsidRPr="005E6387">
        <w:rPr>
          <w:b/>
          <w:bCs/>
        </w:rPr>
        <w:tab/>
        <w:t>SSIs format</w:t>
      </w:r>
    </w:p>
    <w:p w14:paraId="6AC805D6" w14:textId="77777777" w:rsidR="00113E80" w:rsidRDefault="00113E80" w:rsidP="00113E80"/>
    <w:p w14:paraId="1694D097" w14:textId="77777777" w:rsidR="00113E80" w:rsidRDefault="00113E80" w:rsidP="00113E80">
      <w:pPr>
        <w:pStyle w:val="Questionstyle"/>
        <w:numPr>
          <w:ilvl w:val="0"/>
          <w:numId w:val="14"/>
        </w:numPr>
        <w:tabs>
          <w:tab w:val="clear" w:pos="567"/>
        </w:tabs>
        <w:spacing w:after="240" w:line="256" w:lineRule="auto"/>
        <w:ind w:left="851" w:hanging="851"/>
      </w:pPr>
      <w:r>
        <w:t xml:space="preserve">Should the market standards for the storage and exchange of SSIs be left to the industry or is regulatory action at EU level necessary? </w:t>
      </w:r>
    </w:p>
    <w:p w14:paraId="6612EF6B" w14:textId="77777777" w:rsidR="00113E80" w:rsidRDefault="00113E80" w:rsidP="00113E80">
      <w:r>
        <w:t>&lt;ESMA_QUESTION_CSDC_39&gt;</w:t>
      </w:r>
    </w:p>
    <w:p w14:paraId="04392849" w14:textId="77777777" w:rsidR="000A1183" w:rsidRPr="007E11AC" w:rsidRDefault="000A1183" w:rsidP="000A1183">
      <w:pPr>
        <w:rPr>
          <w:color w:val="auto"/>
          <w:lang w:val="en-US"/>
        </w:rPr>
      </w:pPr>
      <w:permStart w:id="2044474510" w:edGrp="everyone"/>
      <w:r w:rsidRPr="001336CF">
        <w:rPr>
          <w:color w:val="auto"/>
        </w:rPr>
        <w:t>ABI believes that the “</w:t>
      </w:r>
      <w:r w:rsidRPr="001336CF">
        <w:rPr>
          <w:i/>
          <w:iCs/>
          <w:color w:val="auto"/>
        </w:rPr>
        <w:t>market standards for the storage and exchange of SSIs</w:t>
      </w:r>
      <w:r w:rsidRPr="001336CF">
        <w:rPr>
          <w:color w:val="auto"/>
        </w:rPr>
        <w:t xml:space="preserve">” should be left to the industry and, once a </w:t>
      </w:r>
      <w:r>
        <w:rPr>
          <w:color w:val="auto"/>
        </w:rPr>
        <w:t xml:space="preserve">market </w:t>
      </w:r>
      <w:r w:rsidRPr="001336CF">
        <w:rPr>
          <w:color w:val="auto"/>
        </w:rPr>
        <w:t>standard will be achieved</w:t>
      </w:r>
      <w:r>
        <w:rPr>
          <w:color w:val="auto"/>
        </w:rPr>
        <w:t xml:space="preserve"> and agreed upon</w:t>
      </w:r>
      <w:r w:rsidRPr="001336CF">
        <w:rPr>
          <w:color w:val="auto"/>
        </w:rPr>
        <w:t xml:space="preserve">, at a later stage it could be enshrined in a EU regulatory framework. </w:t>
      </w:r>
      <w:r w:rsidRPr="001336CF">
        <w:rPr>
          <w:color w:val="auto"/>
          <w:lang w:val="en-US"/>
        </w:rPr>
        <w:t xml:space="preserve">However, based on our members’ feedback, the EU should not look at the market standard in use in the UK </w:t>
      </w:r>
      <w:r>
        <w:rPr>
          <w:color w:val="auto"/>
          <w:lang w:val="en-US"/>
        </w:rPr>
        <w:t xml:space="preserve">as a </w:t>
      </w:r>
      <w:r w:rsidRPr="007E11AC">
        <w:rPr>
          <w:color w:val="auto"/>
          <w:lang w:val="en-US"/>
        </w:rPr>
        <w:t xml:space="preserve">benchmark simply because it appears unfit for the extent of fragmentation (and different approaches) currently in use in the EU. However, </w:t>
      </w:r>
      <w:r w:rsidR="00E27C8E">
        <w:rPr>
          <w:color w:val="auto"/>
          <w:lang w:val="en-US"/>
        </w:rPr>
        <w:t>in</w:t>
      </w:r>
      <w:r w:rsidRPr="007E11AC">
        <w:rPr>
          <w:bCs/>
          <w:color w:val="auto"/>
        </w:rPr>
        <w:t xml:space="preserve"> theory, before starting to trade with a counterparty, SSIs should be ideally shared and agreed on, concurrently with the onboarding process. </w:t>
      </w:r>
      <w:r w:rsidRPr="007E11AC">
        <w:rPr>
          <w:bCs/>
          <w:color w:val="auto"/>
          <w:lang w:val="en-US"/>
        </w:rPr>
        <w:t>In practice, this is not always the case. The key issue here is not only “to map” the SSIs but also to keep them updated. It is beyond any doubt that SSIs have an intrinsically dynamic and evolutionary nature, i.e. they are likely to change throughout time, for instance, as a consequence of divestitures, corporate events, etc.</w:t>
      </w:r>
    </w:p>
    <w:p w14:paraId="7F77CF68" w14:textId="66C4A7FA" w:rsidR="00113E80" w:rsidRDefault="000A1183" w:rsidP="000A1183">
      <w:r w:rsidRPr="007E11AC">
        <w:rPr>
          <w:color w:val="auto"/>
          <w:lang w:val="en-US"/>
        </w:rPr>
        <w:t xml:space="preserve">As it regards “party identification”, we were made aware of a technical group (SMPG) whose analysis considered whether Data Source Schemas (DSS) should be accepted as an alternative to BIC code. Our members believe that market participants should move towards a wider adoption of BIC, first of all by CSDs, while the use of proprietary DSS could still be “tolerated but not recommended” in the interest of a wider EU harmonization. Given that </w:t>
      </w:r>
      <w:r w:rsidRPr="007E11AC">
        <w:rPr>
          <w:bCs/>
          <w:color w:val="auto"/>
        </w:rPr>
        <w:t xml:space="preserve">the use of such codes currently </w:t>
      </w:r>
      <w:r w:rsidR="00F16432">
        <w:rPr>
          <w:bCs/>
          <w:color w:val="auto"/>
        </w:rPr>
        <w:t xml:space="preserve">has </w:t>
      </w:r>
      <w:r w:rsidRPr="007E11AC">
        <w:rPr>
          <w:bCs/>
          <w:color w:val="auto"/>
        </w:rPr>
        <w:t>not been adopted by all CSDs, on the basis of our members’ feedback the harmonization efforts should be pursued first and foremost by CSDs.</w:t>
      </w:r>
    </w:p>
    <w:permEnd w:id="2044474510"/>
    <w:p w14:paraId="325CCC6E" w14:textId="77777777" w:rsidR="00113E80" w:rsidRDefault="00113E80" w:rsidP="00113E80">
      <w:r>
        <w:t>&lt;ESMA_QUESTION_CSDC_39&gt;</w:t>
      </w:r>
    </w:p>
    <w:p w14:paraId="4FB7AEFD" w14:textId="77777777" w:rsidR="005E6387" w:rsidRDefault="005E6387" w:rsidP="00113E80">
      <w:pPr>
        <w:rPr>
          <w:b/>
          <w:bCs/>
        </w:rPr>
      </w:pPr>
    </w:p>
    <w:p w14:paraId="2D1B7759" w14:textId="28D00760" w:rsidR="00113E80" w:rsidRPr="005E6387" w:rsidRDefault="005E6387" w:rsidP="00113E80">
      <w:pPr>
        <w:rPr>
          <w:b/>
          <w:bCs/>
        </w:rPr>
      </w:pPr>
      <w:r w:rsidRPr="005E6387">
        <w:rPr>
          <w:b/>
          <w:bCs/>
        </w:rPr>
        <w:t>3.2.3</w:t>
      </w:r>
      <w:r w:rsidRPr="005E6387">
        <w:rPr>
          <w:b/>
          <w:bCs/>
        </w:rPr>
        <w:tab/>
        <w:t>Place of settlement (PSET) as mandatory field of written allocations</w:t>
      </w:r>
    </w:p>
    <w:p w14:paraId="2E10A1B9" w14:textId="77777777" w:rsidR="005E6387" w:rsidRDefault="005E6387" w:rsidP="00113E80"/>
    <w:p w14:paraId="11BE4D94" w14:textId="77777777" w:rsidR="00113E80" w:rsidRDefault="00113E80" w:rsidP="00113E80">
      <w:pPr>
        <w:pStyle w:val="Questionstyle"/>
        <w:numPr>
          <w:ilvl w:val="0"/>
          <w:numId w:val="14"/>
        </w:numPr>
        <w:tabs>
          <w:tab w:val="clear" w:pos="567"/>
        </w:tabs>
        <w:spacing w:after="240" w:line="256" w:lineRule="auto"/>
        <w:ind w:left="851" w:hanging="851"/>
      </w:pPr>
      <w:r>
        <w:t xml:space="preserve">How can the PSET contribute to improve settlement efficiency and reduce settlement fails? Do you have suggestions on how to make the use of PSET more consistent across the market? If yes, please elaborate. </w:t>
      </w:r>
    </w:p>
    <w:p w14:paraId="4CB2DBBD" w14:textId="77777777" w:rsidR="00113E80" w:rsidRDefault="00113E80" w:rsidP="00113E80">
      <w:r>
        <w:t>&lt;ESMA_QUESTION_CSDC_40&gt;</w:t>
      </w:r>
    </w:p>
    <w:p w14:paraId="2FB41A7F" w14:textId="77777777" w:rsidR="00BD6BB8" w:rsidRPr="009F7263" w:rsidRDefault="00BD6BB8" w:rsidP="00BD6BB8">
      <w:pPr>
        <w:rPr>
          <w:lang w:val="en-US"/>
        </w:rPr>
      </w:pPr>
      <w:permStart w:id="260911590" w:edGrp="everyone"/>
      <w:r w:rsidRPr="00603D5D">
        <w:rPr>
          <w:lang w:val="en-US"/>
        </w:rPr>
        <w:lastRenderedPageBreak/>
        <w:t>We agree with ESMA th</w:t>
      </w:r>
      <w:r>
        <w:rPr>
          <w:lang w:val="en-US"/>
        </w:rPr>
        <w:t>at Place of Settlement (PSET) can “</w:t>
      </w:r>
      <w:r w:rsidRPr="00603D5D">
        <w:rPr>
          <w:lang w:val="en-US"/>
        </w:rPr>
        <w:t>contribute to improve settlement efficiency</w:t>
      </w:r>
      <w:r>
        <w:rPr>
          <w:lang w:val="en-US"/>
        </w:rPr>
        <w:t xml:space="preserve"> and reduce settlement fails” but, on the basis of our members’ feedback, PSET shall be accompanied by two further elements to maximize its contribution to the enhancement of efficiency, i.e. </w:t>
      </w:r>
    </w:p>
    <w:p w14:paraId="2B6954BA" w14:textId="7265F5DC" w:rsidR="00BD6BB8" w:rsidRPr="00C24AA7" w:rsidRDefault="00BD6BB8" w:rsidP="00BD6BB8">
      <w:pPr>
        <w:rPr>
          <w:lang w:val="en-US"/>
        </w:rPr>
      </w:pPr>
      <w:r w:rsidRPr="00C24AA7">
        <w:rPr>
          <w:lang w:val="en-US"/>
        </w:rPr>
        <w:t xml:space="preserve">1) cross-border settlement among </w:t>
      </w:r>
      <w:r>
        <w:rPr>
          <w:lang w:val="en-US"/>
        </w:rPr>
        <w:t xml:space="preserve">EEA </w:t>
      </w:r>
      <w:r w:rsidRPr="00C24AA7">
        <w:rPr>
          <w:lang w:val="en-US"/>
        </w:rPr>
        <w:t xml:space="preserve">CSDs </w:t>
      </w:r>
      <w:r>
        <w:rPr>
          <w:lang w:val="en-US"/>
        </w:rPr>
        <w:t xml:space="preserve">be based on </w:t>
      </w:r>
      <w:r w:rsidRPr="00C24AA7">
        <w:rPr>
          <w:lang w:val="en-US"/>
        </w:rPr>
        <w:t xml:space="preserve">a common, or at </w:t>
      </w:r>
      <w:r>
        <w:rPr>
          <w:lang w:val="en-US"/>
        </w:rPr>
        <w:t xml:space="preserve">least consistent, </w:t>
      </w:r>
      <w:r w:rsidRPr="00C24AA7">
        <w:rPr>
          <w:lang w:val="en-US"/>
        </w:rPr>
        <w:t>template</w:t>
      </w:r>
      <w:r w:rsidR="00F16432">
        <w:rPr>
          <w:lang w:val="en-US"/>
        </w:rPr>
        <w:t>,</w:t>
      </w:r>
    </w:p>
    <w:p w14:paraId="02E42E34" w14:textId="77777777" w:rsidR="00BD6BB8" w:rsidRPr="00FE1B15" w:rsidRDefault="00BD6BB8" w:rsidP="00BD6BB8">
      <w:pPr>
        <w:rPr>
          <w:lang w:val="en-US"/>
        </w:rPr>
      </w:pPr>
      <w:r w:rsidRPr="003F1BA9">
        <w:rPr>
          <w:lang w:val="en-US"/>
        </w:rPr>
        <w:t xml:space="preserve">2) </w:t>
      </w:r>
      <w:r>
        <w:rPr>
          <w:lang w:val="en-US"/>
        </w:rPr>
        <w:t xml:space="preserve">any </w:t>
      </w:r>
      <w:r w:rsidRPr="003F1BA9">
        <w:rPr>
          <w:lang w:val="en-US"/>
        </w:rPr>
        <w:t xml:space="preserve">EEA CSD </w:t>
      </w:r>
      <w:r>
        <w:rPr>
          <w:lang w:val="en-US"/>
        </w:rPr>
        <w:t xml:space="preserve">- </w:t>
      </w:r>
      <w:r w:rsidRPr="003F1BA9">
        <w:rPr>
          <w:lang w:val="en-US"/>
        </w:rPr>
        <w:t xml:space="preserve">having a </w:t>
      </w:r>
      <w:r>
        <w:rPr>
          <w:lang w:val="en-US"/>
        </w:rPr>
        <w:t xml:space="preserve">trading venue settling transactions on that CSD for a given ISIN – be linked “as” / in quality of “investor CSD” to those other CSDs which settle the same ISIN. </w:t>
      </w:r>
    </w:p>
    <w:p w14:paraId="04A4CB9D" w14:textId="4C95DEF9" w:rsidR="00113E80" w:rsidRDefault="00BD6BB8" w:rsidP="00BD6BB8">
      <w:r w:rsidRPr="0016206C">
        <w:rPr>
          <w:lang w:val="en-US"/>
        </w:rPr>
        <w:t xml:space="preserve">Besides this, </w:t>
      </w:r>
      <w:r>
        <w:rPr>
          <w:lang w:val="en-US"/>
        </w:rPr>
        <w:t xml:space="preserve">as our members report, </w:t>
      </w:r>
      <w:r w:rsidRPr="0016206C">
        <w:rPr>
          <w:lang w:val="en-US"/>
        </w:rPr>
        <w:t xml:space="preserve">ESMA shall be </w:t>
      </w:r>
      <w:r>
        <w:rPr>
          <w:lang w:val="en-US"/>
        </w:rPr>
        <w:t xml:space="preserve">aware that ICSDs do not user the ISIN code as a matching field but instruct by using their Remote Common Code. </w:t>
      </w:r>
      <w:r w:rsidRPr="00FA6AD1">
        <w:rPr>
          <w:lang w:val="en-US"/>
        </w:rPr>
        <w:t>This is source of a number of issues and i</w:t>
      </w:r>
      <w:r>
        <w:rPr>
          <w:lang w:val="en-US"/>
        </w:rPr>
        <w:t>t is currently under discussion on the “Matching” Technical Workstream (TW) of the European T+1 Industry Committee.</w:t>
      </w:r>
    </w:p>
    <w:permEnd w:id="260911590"/>
    <w:p w14:paraId="4123F35E" w14:textId="77777777" w:rsidR="00113E80" w:rsidRDefault="00113E80" w:rsidP="00113E80">
      <w:r>
        <w:t>&lt;ESMA_QUESTION_CSDC_40&gt;</w:t>
      </w:r>
    </w:p>
    <w:p w14:paraId="1B3C32DE" w14:textId="77777777" w:rsidR="00113E80" w:rsidRDefault="00113E80" w:rsidP="00113E80"/>
    <w:p w14:paraId="6F7840B1" w14:textId="77777777" w:rsidR="00113E80" w:rsidRDefault="00113E80" w:rsidP="00113E80">
      <w:pPr>
        <w:pStyle w:val="Questionstyle"/>
        <w:numPr>
          <w:ilvl w:val="0"/>
          <w:numId w:val="14"/>
        </w:numPr>
        <w:tabs>
          <w:tab w:val="clear" w:pos="567"/>
        </w:tabs>
        <w:spacing w:after="240" w:line="256" w:lineRule="auto"/>
        <w:ind w:left="851" w:hanging="851"/>
      </w:pPr>
      <w:r>
        <w:rPr>
          <w:bCs/>
        </w:rPr>
        <w:t>Do you agree that the PSET should not be made a mandatory field of written allocations under Article 2(1) of CDR 2018/1229? If you have a different view, please elaborate.</w:t>
      </w:r>
    </w:p>
    <w:p w14:paraId="7356C287" w14:textId="77777777" w:rsidR="00113E80" w:rsidRDefault="00113E80" w:rsidP="00113E80">
      <w:r>
        <w:t>&lt;ESMA_QUESTION_CSDC_41&gt;</w:t>
      </w:r>
    </w:p>
    <w:p w14:paraId="7A72CDF7" w14:textId="45B06180" w:rsidR="00B51ECC" w:rsidRPr="00F5433D" w:rsidRDefault="00B51ECC" w:rsidP="00B51ECC">
      <w:pPr>
        <w:rPr>
          <w:lang w:val="en-US"/>
        </w:rPr>
      </w:pPr>
      <w:permStart w:id="610287984" w:edGrp="everyone"/>
      <w:r>
        <w:rPr>
          <w:lang w:val="en-US"/>
        </w:rPr>
        <w:t>As a foreword to the following considerations</w:t>
      </w:r>
      <w:r w:rsidRPr="00833369">
        <w:rPr>
          <w:lang w:val="en-US"/>
        </w:rPr>
        <w:t xml:space="preserve">, we believe </w:t>
      </w:r>
      <w:r w:rsidR="008245E2">
        <w:rPr>
          <w:lang w:val="en-US"/>
        </w:rPr>
        <w:t xml:space="preserve">any reader </w:t>
      </w:r>
      <w:r w:rsidRPr="00833369">
        <w:rPr>
          <w:lang w:val="en-US"/>
        </w:rPr>
        <w:t>should re</w:t>
      </w:r>
      <w:r>
        <w:rPr>
          <w:lang w:val="en-US"/>
        </w:rPr>
        <w:t xml:space="preserve">mind that Trading Venues have the </w:t>
      </w:r>
      <w:r w:rsidR="008245E2">
        <w:rPr>
          <w:lang w:val="en-US"/>
        </w:rPr>
        <w:t>“</w:t>
      </w:r>
      <w:r w:rsidRPr="00833369">
        <w:rPr>
          <w:lang w:val="en-US"/>
        </w:rPr>
        <w:t>PSET</w:t>
      </w:r>
      <w:r w:rsidR="008245E2">
        <w:rPr>
          <w:lang w:val="en-US"/>
        </w:rPr>
        <w:t>”</w:t>
      </w:r>
      <w:r w:rsidRPr="00833369">
        <w:rPr>
          <w:lang w:val="en-US"/>
        </w:rPr>
        <w:t xml:space="preserve"> </w:t>
      </w:r>
      <w:r>
        <w:rPr>
          <w:lang w:val="en-US"/>
        </w:rPr>
        <w:t xml:space="preserve">set equal to </w:t>
      </w:r>
      <w:r w:rsidR="008245E2">
        <w:rPr>
          <w:lang w:val="en-US"/>
        </w:rPr>
        <w:t>“</w:t>
      </w:r>
      <w:r>
        <w:rPr>
          <w:lang w:val="en-US"/>
        </w:rPr>
        <w:t>TV</w:t>
      </w:r>
      <w:r w:rsidR="008245E2">
        <w:rPr>
          <w:lang w:val="en-US"/>
        </w:rPr>
        <w:t>”</w:t>
      </w:r>
      <w:r>
        <w:rPr>
          <w:lang w:val="en-US"/>
        </w:rPr>
        <w:t>, i.e. the same Trading Venue.</w:t>
      </w:r>
    </w:p>
    <w:p w14:paraId="2154833B" w14:textId="4A2491AF" w:rsidR="00B51ECC" w:rsidRPr="0091095C" w:rsidRDefault="00B51ECC" w:rsidP="00B51ECC">
      <w:pPr>
        <w:rPr>
          <w:lang w:val="en-US"/>
        </w:rPr>
      </w:pPr>
      <w:r w:rsidRPr="003D4F8E">
        <w:rPr>
          <w:lang w:val="en-US"/>
        </w:rPr>
        <w:t>O</w:t>
      </w:r>
      <w:r>
        <w:rPr>
          <w:lang w:val="en-US"/>
        </w:rPr>
        <w:t>n</w:t>
      </w:r>
      <w:r w:rsidRPr="003D4F8E">
        <w:rPr>
          <w:lang w:val="en-US"/>
        </w:rPr>
        <w:t xml:space="preserve"> the basis of our analysis and members’ fee</w:t>
      </w:r>
      <w:r>
        <w:rPr>
          <w:lang w:val="en-US"/>
        </w:rPr>
        <w:t xml:space="preserve">dback, and consistently to our previous responses to ESMA across 2023 and 2024, PSET shall be qualified as a </w:t>
      </w:r>
      <w:r w:rsidRPr="00603289">
        <w:rPr>
          <w:u w:val="single"/>
          <w:lang w:val="en-US"/>
        </w:rPr>
        <w:t>mandatory</w:t>
      </w:r>
      <w:r>
        <w:rPr>
          <w:lang w:val="en-US"/>
        </w:rPr>
        <w:t xml:space="preserve"> matching field of written allocations. In supporting such stance, we are aware that a mandatory matching field implies the definition of the party being called to populate it, and this is even more important when one considers that such information is not (usually?) provided within the Order Status, during the Trade Matching phase. </w:t>
      </w:r>
      <w:r w:rsidRPr="006449E9">
        <w:rPr>
          <w:lang w:val="en-US"/>
        </w:rPr>
        <w:t>Which is different to what happen across the settlement p</w:t>
      </w:r>
      <w:r>
        <w:rPr>
          <w:lang w:val="en-US"/>
        </w:rPr>
        <w:t xml:space="preserve">rocess where there’s an Order Status, and a “Different PSET” can be set. </w:t>
      </w:r>
      <w:r w:rsidRPr="0091095C">
        <w:rPr>
          <w:lang w:val="en-US"/>
        </w:rPr>
        <w:t xml:space="preserve">This is why a rule </w:t>
      </w:r>
      <w:r w:rsidR="002E3815" w:rsidRPr="0091095C">
        <w:rPr>
          <w:lang w:val="en-US"/>
        </w:rPr>
        <w:t>should</w:t>
      </w:r>
      <w:r w:rsidRPr="0091095C">
        <w:rPr>
          <w:lang w:val="en-US"/>
        </w:rPr>
        <w:t xml:space="preserve"> be set in p</w:t>
      </w:r>
      <w:r>
        <w:rPr>
          <w:lang w:val="en-US"/>
        </w:rPr>
        <w:t>opulating the PSET.</w:t>
      </w:r>
    </w:p>
    <w:p w14:paraId="423B23B5" w14:textId="77777777" w:rsidR="00B51ECC" w:rsidRPr="0091095C" w:rsidRDefault="00B51ECC" w:rsidP="00B51ECC">
      <w:pPr>
        <w:rPr>
          <w:lang w:val="en-US"/>
        </w:rPr>
      </w:pPr>
      <w:r w:rsidRPr="0091095C">
        <w:rPr>
          <w:lang w:val="en-US"/>
        </w:rPr>
        <w:t xml:space="preserve">As we understand </w:t>
      </w:r>
      <w:r>
        <w:rPr>
          <w:lang w:val="en-US"/>
        </w:rPr>
        <w:t xml:space="preserve">by those colleagues participating to the Matching TW of the European T+1 project, the PSET computation </w:t>
      </w:r>
      <w:r w:rsidRPr="00BF2F10">
        <w:rPr>
          <w:u w:val="single"/>
          <w:lang w:val="en-US"/>
        </w:rPr>
        <w:t>shall be likely</w:t>
      </w:r>
      <w:r>
        <w:rPr>
          <w:lang w:val="en-US"/>
        </w:rPr>
        <w:t xml:space="preserve"> included in the outcomes of such TW despite the fact that, </w:t>
      </w:r>
      <w:r w:rsidRPr="00BF2F10">
        <w:rPr>
          <w:u w:val="single"/>
          <w:lang w:val="en-US"/>
        </w:rPr>
        <w:t>currently</w:t>
      </w:r>
      <w:r>
        <w:rPr>
          <w:lang w:val="en-US"/>
        </w:rPr>
        <w:t>, there still are different views on the issue.</w:t>
      </w:r>
    </w:p>
    <w:p w14:paraId="71D5B636" w14:textId="21017D26" w:rsidR="00B51ECC" w:rsidRPr="00CB59A2" w:rsidRDefault="00B51ECC" w:rsidP="00B51ECC">
      <w:pPr>
        <w:rPr>
          <w:lang w:val="en-US"/>
        </w:rPr>
      </w:pPr>
      <w:r w:rsidRPr="00CB59A2">
        <w:rPr>
          <w:lang w:val="en-US"/>
        </w:rPr>
        <w:lastRenderedPageBreak/>
        <w:t>(if the PSET will</w:t>
      </w:r>
      <w:r w:rsidR="002E3815">
        <w:rPr>
          <w:lang w:val="en-US"/>
        </w:rPr>
        <w:t xml:space="preserve"> </w:t>
      </w:r>
      <w:r w:rsidR="002E3815">
        <w:rPr>
          <w:lang w:val="en-US"/>
        </w:rPr>
        <w:t xml:space="preserve">finally </w:t>
      </w:r>
      <w:r w:rsidRPr="00CB59A2">
        <w:rPr>
          <w:lang w:val="en-US"/>
        </w:rPr>
        <w:t>b</w:t>
      </w:r>
      <w:r>
        <w:rPr>
          <w:lang w:val="en-US"/>
        </w:rPr>
        <w:t>e made mandatory and get regularly used, a given ISIN could have different PSET, on the basis of the MIC code of the Trading Venues by which the orders were allocated).</w:t>
      </w:r>
    </w:p>
    <w:p w14:paraId="6271BB8A" w14:textId="3692B216" w:rsidR="00113E80" w:rsidRDefault="00B51ECC" w:rsidP="00B51ECC">
      <w:r>
        <w:rPr>
          <w:lang w:val="en-US"/>
        </w:rPr>
        <w:t xml:space="preserve">Eventually, </w:t>
      </w:r>
      <w:r w:rsidRPr="000C5DDF">
        <w:rPr>
          <w:lang w:val="en-US"/>
        </w:rPr>
        <w:t>ESMA should be aware t</w:t>
      </w:r>
      <w:r>
        <w:rPr>
          <w:lang w:val="en-US"/>
        </w:rPr>
        <w:t xml:space="preserve">hat, within the financial industry, there are frequent discussions about who – between brokers or asset managers – should be setting /qualifying the PSET field. </w:t>
      </w:r>
      <w:r w:rsidRPr="00AA75CE">
        <w:rPr>
          <w:lang w:val="en-US"/>
        </w:rPr>
        <w:t xml:space="preserve">This is due to that fact that, </w:t>
      </w:r>
      <w:r>
        <w:rPr>
          <w:lang w:val="en-US"/>
        </w:rPr>
        <w:t xml:space="preserve">currently (and </w:t>
      </w:r>
      <w:r w:rsidRPr="00AA75CE">
        <w:rPr>
          <w:lang w:val="en-US"/>
        </w:rPr>
        <w:t>mainly for so-cal</w:t>
      </w:r>
      <w:r>
        <w:rPr>
          <w:lang w:val="en-US"/>
        </w:rPr>
        <w:t xml:space="preserve">led “commercial reasons” as our members report it), the broker aligns its PSET to that set by the asset managers (which is the party placing the orders for financial instruments). </w:t>
      </w:r>
      <w:r w:rsidRPr="00844D4B">
        <w:rPr>
          <w:lang w:val="en-US"/>
        </w:rPr>
        <w:t xml:space="preserve">However, such habit often </w:t>
      </w:r>
      <w:r>
        <w:rPr>
          <w:lang w:val="en-US"/>
        </w:rPr>
        <w:t xml:space="preserve">bears consequences (issues and inefficiencies) </w:t>
      </w:r>
      <w:r w:rsidRPr="00844D4B">
        <w:rPr>
          <w:lang w:val="en-US"/>
        </w:rPr>
        <w:t>on t</w:t>
      </w:r>
      <w:r>
        <w:rPr>
          <w:lang w:val="en-US"/>
        </w:rPr>
        <w:t xml:space="preserve">he relevant and correct PSET in cases of ISINs simultaneously traded on more trading venues. </w:t>
      </w:r>
      <w:r w:rsidRPr="00E4063A">
        <w:rPr>
          <w:lang w:val="en-US"/>
        </w:rPr>
        <w:t>Such situations, under a T+1 operational scenario, will no lon</w:t>
      </w:r>
      <w:r>
        <w:rPr>
          <w:lang w:val="en-US"/>
        </w:rPr>
        <w:t xml:space="preserve">ger be easily manageable and viable. </w:t>
      </w:r>
      <w:r w:rsidRPr="00C0096E">
        <w:rPr>
          <w:lang w:val="en-US"/>
        </w:rPr>
        <w:t>Asymmetry and mismatching on the PSET, however, does not</w:t>
      </w:r>
      <w:r>
        <w:rPr>
          <w:lang w:val="en-US"/>
        </w:rPr>
        <w:t xml:space="preserve"> bear issues on the CCP netting process, as such infrastructures do align to the instructions / indications coming from the Trading Venues, as the latter transmit to CCPs the relevant data, equally set for both the legs of a transaction. Hence, on the basis of our members’ analysis of the consultation paper, it does not appear to be correct stating that the PSET may vary or change across the settlement chain, </w:t>
      </w:r>
      <w:r w:rsidR="002E3815">
        <w:rPr>
          <w:lang w:val="en-US"/>
        </w:rPr>
        <w:t>as</w:t>
      </w:r>
      <w:r>
        <w:rPr>
          <w:lang w:val="en-US"/>
        </w:rPr>
        <w:t xml:space="preserve">  mentioned under par. 145 and 154.</w:t>
      </w:r>
    </w:p>
    <w:permEnd w:id="610287984"/>
    <w:p w14:paraId="403478C5" w14:textId="77777777" w:rsidR="00113E80" w:rsidRDefault="00113E80" w:rsidP="00113E80">
      <w:r>
        <w:t>&lt;ESMA_QUESTION_CSDC_41&gt;</w:t>
      </w:r>
    </w:p>
    <w:p w14:paraId="32BF96C1" w14:textId="77777777" w:rsidR="005E6387" w:rsidRDefault="005E6387" w:rsidP="00113E80"/>
    <w:p w14:paraId="5D937E2B" w14:textId="646C3BFD" w:rsidR="005E6387" w:rsidRPr="005E6387" w:rsidRDefault="005E6387" w:rsidP="00113E80">
      <w:pPr>
        <w:rPr>
          <w:b/>
          <w:bCs/>
        </w:rPr>
      </w:pPr>
      <w:r w:rsidRPr="005E6387">
        <w:rPr>
          <w:b/>
          <w:bCs/>
        </w:rPr>
        <w:t>3.2.4</w:t>
      </w:r>
      <w:r w:rsidRPr="005E6387">
        <w:rPr>
          <w:b/>
          <w:bCs/>
        </w:rPr>
        <w:tab/>
        <w:t>Place of safe keeping (PSAF) and place of settlement (PSET) as mandatory fields of settlement instructions</w:t>
      </w:r>
    </w:p>
    <w:p w14:paraId="3809FD07" w14:textId="77777777" w:rsidR="00113E80" w:rsidRDefault="00113E80" w:rsidP="00113E80"/>
    <w:p w14:paraId="723CB8C0" w14:textId="77777777" w:rsidR="00113E80" w:rsidRDefault="00113E80" w:rsidP="00113E80">
      <w:pPr>
        <w:pStyle w:val="Questionstyle"/>
        <w:numPr>
          <w:ilvl w:val="0"/>
          <w:numId w:val="14"/>
        </w:numPr>
        <w:tabs>
          <w:tab w:val="clear" w:pos="567"/>
        </w:tabs>
        <w:spacing w:after="240" w:line="256" w:lineRule="auto"/>
        <w:ind w:left="851" w:hanging="851"/>
      </w:pPr>
      <w:r>
        <w:t>Do you agree that the decision to use the PSAF and the PSET in the settlement instructions should be left to the industry?</w:t>
      </w:r>
    </w:p>
    <w:p w14:paraId="1E889B55" w14:textId="77777777" w:rsidR="00113E80" w:rsidRDefault="00113E80" w:rsidP="00113E80">
      <w:r>
        <w:t>&lt;ESMA_QUESTION_CSDC_42&gt;</w:t>
      </w:r>
    </w:p>
    <w:p w14:paraId="6A96AEDC" w14:textId="77777777" w:rsidR="00E41816" w:rsidRPr="00B668F7" w:rsidRDefault="00E41816" w:rsidP="00E41816">
      <w:pPr>
        <w:rPr>
          <w:lang w:val="en-US"/>
        </w:rPr>
      </w:pPr>
      <w:permStart w:id="1084698351" w:edGrp="everyone"/>
      <w:r w:rsidRPr="00B668F7">
        <w:rPr>
          <w:lang w:val="en-US"/>
        </w:rPr>
        <w:t xml:space="preserve">As mentioned under Q41, </w:t>
      </w:r>
      <w:r>
        <w:rPr>
          <w:lang w:val="en-US"/>
        </w:rPr>
        <w:t>in our opinion PSET should not be left to industry but qualified as mandatory matching filed of settlement instructions, hence with a related regulatory change of CDR.</w:t>
      </w:r>
    </w:p>
    <w:p w14:paraId="3237FD03" w14:textId="49441BCF" w:rsidR="00B6149B" w:rsidRDefault="00E41816" w:rsidP="00E41816">
      <w:pPr>
        <w:rPr>
          <w:lang w:val="en-US"/>
        </w:rPr>
      </w:pPr>
      <w:r w:rsidRPr="0038648F">
        <w:rPr>
          <w:lang w:val="en-US"/>
        </w:rPr>
        <w:t>On a different note, on the basis of the feedback gathered, PSAF is considered a useful field, but</w:t>
      </w:r>
      <w:r>
        <w:rPr>
          <w:lang w:val="en-US"/>
        </w:rPr>
        <w:t xml:space="preserve"> </w:t>
      </w:r>
      <w:r w:rsidRPr="0038648F">
        <w:rPr>
          <w:lang w:val="en-US"/>
        </w:rPr>
        <w:t xml:space="preserve">it </w:t>
      </w:r>
      <w:r>
        <w:rPr>
          <w:lang w:val="en-US"/>
        </w:rPr>
        <w:t>would be more appropriate to leave to a</w:t>
      </w:r>
      <w:r w:rsidR="002E3815">
        <w:rPr>
          <w:lang w:val="en-US"/>
        </w:rPr>
        <w:t>n</w:t>
      </w:r>
      <w:r>
        <w:rPr>
          <w:lang w:val="en-US"/>
        </w:rPr>
        <w:t xml:space="preserve"> </w:t>
      </w:r>
      <w:r w:rsidR="002E3815">
        <w:rPr>
          <w:lang w:val="en-US"/>
        </w:rPr>
        <w:t xml:space="preserve">industry </w:t>
      </w:r>
      <w:r>
        <w:rPr>
          <w:lang w:val="en-US"/>
        </w:rPr>
        <w:t xml:space="preserve">market </w:t>
      </w:r>
      <w:r w:rsidR="002E3815">
        <w:rPr>
          <w:lang w:val="en-US"/>
        </w:rPr>
        <w:t>practice</w:t>
      </w:r>
      <w:r>
        <w:rPr>
          <w:lang w:val="en-US"/>
        </w:rPr>
        <w:t xml:space="preserve"> rather than provid</w:t>
      </w:r>
      <w:r w:rsidR="00A25220">
        <w:rPr>
          <w:lang w:val="en-US"/>
        </w:rPr>
        <w:t>ing</w:t>
      </w:r>
      <w:r>
        <w:rPr>
          <w:lang w:val="en-US"/>
        </w:rPr>
        <w:t xml:space="preserve"> for a </w:t>
      </w:r>
      <w:r w:rsidRPr="0038648F">
        <w:rPr>
          <w:lang w:val="en-US"/>
        </w:rPr>
        <w:t>regulato</w:t>
      </w:r>
      <w:r>
        <w:rPr>
          <w:lang w:val="en-US"/>
        </w:rPr>
        <w:t>ry change.</w:t>
      </w:r>
    </w:p>
    <w:p w14:paraId="79BBCFD6" w14:textId="7F1DF4AA" w:rsidR="00113E80" w:rsidRPr="00DE0D0C" w:rsidRDefault="00E41816" w:rsidP="00E41816">
      <w:pPr>
        <w:rPr>
          <w:color w:val="auto"/>
          <w:lang w:val="en-US"/>
        </w:rPr>
      </w:pPr>
      <w:r w:rsidRPr="00DE0D0C">
        <w:rPr>
          <w:color w:val="auto"/>
          <w:lang w:val="en-US"/>
        </w:rPr>
        <w:lastRenderedPageBreak/>
        <w:t>Besides, once there will be automated realignment(s) among the CSD operating in the EU, the PSAF will even become less important because market Participants will automatically realign PSET and PSAF.</w:t>
      </w:r>
    </w:p>
    <w:permEnd w:id="1084698351"/>
    <w:p w14:paraId="35213B48" w14:textId="77777777" w:rsidR="00113E80" w:rsidRDefault="00113E80" w:rsidP="00113E80">
      <w:r>
        <w:t>&lt;ESMA_QUESTION_CSDC_42&gt;</w:t>
      </w:r>
    </w:p>
    <w:p w14:paraId="56EBFA6B" w14:textId="77777777" w:rsidR="00113E80" w:rsidRDefault="00113E80" w:rsidP="00113E80"/>
    <w:p w14:paraId="35F2BCBA" w14:textId="77777777" w:rsidR="00113E80" w:rsidRDefault="00113E80" w:rsidP="00113E80">
      <w:pPr>
        <w:pStyle w:val="Questionstyle"/>
        <w:numPr>
          <w:ilvl w:val="0"/>
          <w:numId w:val="14"/>
        </w:numPr>
        <w:tabs>
          <w:tab w:val="clear" w:pos="567"/>
        </w:tabs>
        <w:spacing w:after="240" w:line="256" w:lineRule="auto"/>
        <w:ind w:left="851" w:hanging="851"/>
      </w:pPr>
      <w:r>
        <w:t xml:space="preserve">What are the current market practices regarding the use of PSAF and PSET, in particular in the case of netting along the trading and settlement chain? </w:t>
      </w:r>
    </w:p>
    <w:p w14:paraId="3C3F0DF4" w14:textId="77777777" w:rsidR="00113E80" w:rsidRDefault="00113E80" w:rsidP="00113E80">
      <w:r>
        <w:t>&lt;ESMA_QUESTION_CSDC_43&gt;</w:t>
      </w:r>
    </w:p>
    <w:p w14:paraId="5A071012" w14:textId="02BD467A" w:rsidR="00113E80" w:rsidRDefault="00D06D3A" w:rsidP="00113E80">
      <w:permStart w:id="198186485" w:edGrp="everyone"/>
      <w:r w:rsidRPr="000F6943">
        <w:rPr>
          <w:lang w:val="en-US"/>
        </w:rPr>
        <w:t>We understand by our m</w:t>
      </w:r>
      <w:r>
        <w:rPr>
          <w:lang w:val="en-US"/>
        </w:rPr>
        <w:t>embers that “netting” is run at the level of Brokers, Settlement Agents and/or CCPs; it is not done “along the settlement chain” as mentioned in the paper and in Q43. Besides, it is incorrect to refer to “netting at trading level”, as mentioned in the consultation paper.</w:t>
      </w:r>
    </w:p>
    <w:permEnd w:id="198186485"/>
    <w:p w14:paraId="5C0078D9" w14:textId="77777777" w:rsidR="00113E80" w:rsidRDefault="00113E80" w:rsidP="00113E80">
      <w:r>
        <w:t>&lt;ESMA_QUESTION_CSDC_43&gt;</w:t>
      </w:r>
    </w:p>
    <w:p w14:paraId="56E37EB2" w14:textId="6D4A478B" w:rsidR="005E6387" w:rsidRPr="005E6387" w:rsidRDefault="005E6387" w:rsidP="00113E80">
      <w:pPr>
        <w:rPr>
          <w:b/>
          <w:bCs/>
        </w:rPr>
      </w:pPr>
      <w:r w:rsidRPr="005E6387">
        <w:rPr>
          <w:b/>
          <w:bCs/>
        </w:rPr>
        <w:t>3.2.5</w:t>
      </w:r>
      <w:r w:rsidRPr="005E6387">
        <w:rPr>
          <w:b/>
          <w:bCs/>
        </w:rPr>
        <w:tab/>
        <w:t>Transaction type</w:t>
      </w:r>
    </w:p>
    <w:p w14:paraId="192915C5" w14:textId="77777777" w:rsidR="00113E80" w:rsidRDefault="00113E80" w:rsidP="00113E80"/>
    <w:p w14:paraId="5834E07C" w14:textId="77777777" w:rsidR="00113E80" w:rsidRDefault="00113E80" w:rsidP="00113E80">
      <w:pPr>
        <w:pStyle w:val="Questionstyle"/>
        <w:numPr>
          <w:ilvl w:val="0"/>
          <w:numId w:val="14"/>
        </w:numPr>
        <w:tabs>
          <w:tab w:val="clear" w:pos="567"/>
        </w:tabs>
        <w:spacing w:after="240" w:line="256" w:lineRule="auto"/>
        <w:ind w:left="851" w:hanging="851"/>
      </w:pPr>
      <w:r>
        <w:t>Do you agree that the transaction type should not become a mandatory matching field under Article 5(4) of CDR 2018/1229?</w:t>
      </w:r>
    </w:p>
    <w:p w14:paraId="7F94DE8B" w14:textId="77777777" w:rsidR="00113E80" w:rsidRDefault="00113E80" w:rsidP="00113E80">
      <w:r>
        <w:t>&lt;ESMA_QUESTION_CSDC_44&gt;</w:t>
      </w:r>
    </w:p>
    <w:p w14:paraId="2D7BC3C0" w14:textId="77777777" w:rsidR="00706715" w:rsidRDefault="00706715" w:rsidP="00706715">
      <w:pPr>
        <w:rPr>
          <w:lang w:val="en-US"/>
        </w:rPr>
      </w:pPr>
      <w:permStart w:id="1475766194" w:edGrp="everyone"/>
      <w:r>
        <w:rPr>
          <w:lang w:val="en-US"/>
        </w:rPr>
        <w:t>Yes, we agree that the Transaction Type (</w:t>
      </w:r>
      <w:proofErr w:type="spellStart"/>
      <w:r>
        <w:rPr>
          <w:lang w:val="en-US"/>
        </w:rPr>
        <w:t>TType</w:t>
      </w:r>
      <w:proofErr w:type="spellEnd"/>
      <w:r>
        <w:rPr>
          <w:lang w:val="en-US"/>
        </w:rPr>
        <w:t xml:space="preserve">) should </w:t>
      </w:r>
      <w:r w:rsidRPr="00612E27">
        <w:rPr>
          <w:u w:val="single"/>
          <w:lang w:val="en-US"/>
        </w:rPr>
        <w:t>not</w:t>
      </w:r>
      <w:r>
        <w:rPr>
          <w:lang w:val="en-US"/>
        </w:rPr>
        <w:t xml:space="preserve"> become a mandatory matching field and we take this occasion to highlight that, on a technical level, the </w:t>
      </w:r>
      <w:proofErr w:type="spellStart"/>
      <w:r>
        <w:rPr>
          <w:lang w:val="en-US"/>
        </w:rPr>
        <w:t>TType</w:t>
      </w:r>
      <w:proofErr w:type="spellEnd"/>
      <w:r>
        <w:rPr>
          <w:lang w:val="en-US"/>
        </w:rPr>
        <w:t xml:space="preserve"> is not a “field” but a “qualifier”. </w:t>
      </w:r>
    </w:p>
    <w:p w14:paraId="001157B9" w14:textId="77777777" w:rsidR="00706715" w:rsidRPr="00634FE4" w:rsidRDefault="00706715" w:rsidP="00706715">
      <w:pPr>
        <w:rPr>
          <w:color w:val="auto"/>
        </w:rPr>
      </w:pPr>
      <w:r w:rsidRPr="00634FE4">
        <w:rPr>
          <w:color w:val="auto"/>
        </w:rPr>
        <w:t xml:space="preserve">At the current stage, there is no harmonisation around </w:t>
      </w:r>
      <w:proofErr w:type="spellStart"/>
      <w:r w:rsidRPr="00634FE4">
        <w:rPr>
          <w:color w:val="auto"/>
        </w:rPr>
        <w:t>TTypes</w:t>
      </w:r>
      <w:proofErr w:type="spellEnd"/>
      <w:r w:rsidRPr="00634FE4">
        <w:rPr>
          <w:color w:val="auto"/>
        </w:rPr>
        <w:t xml:space="preserve"> and no full and harmonized support exists across all CSDs for transaction type codes.</w:t>
      </w:r>
    </w:p>
    <w:p w14:paraId="345F05D0" w14:textId="77777777" w:rsidR="00706715" w:rsidRPr="00634FE4" w:rsidRDefault="00706715" w:rsidP="00706715">
      <w:pPr>
        <w:rPr>
          <w:color w:val="auto"/>
        </w:rPr>
      </w:pPr>
      <w:r w:rsidRPr="00634FE4">
        <w:rPr>
          <w:color w:val="auto"/>
        </w:rPr>
        <w:t xml:space="preserve">We also note that, at present, there is often no consistent and uniform use of such specific codes. For instance, one specific code is used in two different markets with different interpretations without any apparent and/or disclosed rationale for this. On its turn, the heterogeneity in the way the same code is interpreted results in a heterogeneity of reactions by the different involved CSDs which is very problematic insofar as it creates uncertainty and confusion among parties involved. </w:t>
      </w:r>
    </w:p>
    <w:p w14:paraId="3C6EB97B" w14:textId="77777777" w:rsidR="00706715" w:rsidRPr="00634FE4" w:rsidRDefault="00706715" w:rsidP="00706715">
      <w:pPr>
        <w:rPr>
          <w:color w:val="auto"/>
          <w:lang w:val="en-US"/>
        </w:rPr>
      </w:pPr>
      <w:r w:rsidRPr="00634FE4">
        <w:rPr>
          <w:color w:val="auto"/>
        </w:rPr>
        <w:lastRenderedPageBreak/>
        <w:t>Therefore, in our view, the lack of harmonization should be addressed as an essential step to minimize fragmentation. CSDs should improve their systems in order to guarantee support for the whole set of transaction type codes across all markets and uniformity of interpretations and reactions for the same code i.e. once one transaction type code is used by a plurality of CSDs, its interpretation and the reactions it generates should be aligned across all CSDs.</w:t>
      </w:r>
    </w:p>
    <w:p w14:paraId="7ECE7EA5" w14:textId="77777777" w:rsidR="00706715" w:rsidRDefault="00706715" w:rsidP="00706715">
      <w:pPr>
        <w:rPr>
          <w:lang w:val="en-US"/>
        </w:rPr>
      </w:pPr>
      <w:r>
        <w:rPr>
          <w:lang w:val="en-US"/>
        </w:rPr>
        <w:t>We understand that ESMA is aware that, currently, there are a number of analysis and discussions in the EU on this topic, especially within the specific technical workstreams (TW) of the European T+1 Industry Committee, focused on the possible exemption of “Repos” executed on Trading Venues (i.e., exempting such transaction type from the scope of application of the settlement discipline, SD).</w:t>
      </w:r>
    </w:p>
    <w:p w14:paraId="52DD6D69" w14:textId="77777777" w:rsidR="00706715" w:rsidRPr="009D7226" w:rsidRDefault="00706715" w:rsidP="00706715">
      <w:pPr>
        <w:rPr>
          <w:color w:val="auto"/>
        </w:rPr>
      </w:pPr>
      <w:r>
        <w:rPr>
          <w:lang w:val="en-US"/>
        </w:rPr>
        <w:t>C</w:t>
      </w:r>
      <w:r w:rsidRPr="00C93835">
        <w:rPr>
          <w:lang w:val="en-US"/>
        </w:rPr>
        <w:t xml:space="preserve">onsistently to our </w:t>
      </w:r>
      <w:r>
        <w:rPr>
          <w:lang w:val="en-US"/>
        </w:rPr>
        <w:t>responses to previous consultations, we believe ESMA should consider the exemption of the following Transaction Type codes (</w:t>
      </w:r>
      <w:r w:rsidRPr="009D7226">
        <w:rPr>
          <w:color w:val="auto"/>
        </w:rPr>
        <w:t>allowed by T2S</w:t>
      </w:r>
      <w:r>
        <w:rPr>
          <w:color w:val="auto"/>
        </w:rPr>
        <w:t>)</w:t>
      </w:r>
      <w:r>
        <w:rPr>
          <w:lang w:val="en-US"/>
        </w:rPr>
        <w:t xml:space="preserve"> from the scope of application of the </w:t>
      </w:r>
      <w:r w:rsidRPr="009D7226">
        <w:rPr>
          <w:color w:val="auto"/>
        </w:rPr>
        <w:t xml:space="preserve">settlement discipline </w:t>
      </w:r>
      <w:r>
        <w:rPr>
          <w:color w:val="auto"/>
        </w:rPr>
        <w:t>provisions</w:t>
      </w:r>
      <w:r w:rsidRPr="009D7226">
        <w:rPr>
          <w:color w:val="auto"/>
        </w:rPr>
        <w:t xml:space="preserve"> (as well as from the qualification of “trading” as referred to under Q.1 of ESMA’s consultation dating back to the 7</w:t>
      </w:r>
      <w:r w:rsidRPr="009D7226">
        <w:rPr>
          <w:color w:val="auto"/>
          <w:vertAlign w:val="superscript"/>
        </w:rPr>
        <w:t>th</w:t>
      </w:r>
      <w:r w:rsidRPr="009D7226">
        <w:rPr>
          <w:color w:val="auto"/>
        </w:rPr>
        <w:t xml:space="preserve"> of July 2024). Such exclusion is </w:t>
      </w:r>
      <w:r>
        <w:rPr>
          <w:color w:val="auto"/>
        </w:rPr>
        <w:t xml:space="preserve">reiterated </w:t>
      </w:r>
      <w:r w:rsidRPr="009D7226">
        <w:rPr>
          <w:color w:val="auto"/>
        </w:rPr>
        <w:t>by ABI as these codes do not represent operations “</w:t>
      </w:r>
      <w:r w:rsidRPr="00612E27">
        <w:rPr>
          <w:i/>
          <w:iCs/>
          <w:color w:val="auto"/>
        </w:rPr>
        <w:t>stemming directly from trading</w:t>
      </w:r>
      <w:r w:rsidRPr="009D7226">
        <w:rPr>
          <w:color w:val="auto"/>
        </w:rPr>
        <w:t>”, but the result of an event born at a later stage, compared to the time at which the trading occurred on the relevant transaction. Among them, COLI, COLO, CORP, ISSU, MKDW, MKUP, OWNE, OWNI, PORT should in our opinion have a slightly higher priority than the rest of the list.</w:t>
      </w:r>
    </w:p>
    <w:tbl>
      <w:tblPr>
        <w:tblW w:w="9631" w:type="dxa"/>
        <w:tblBorders>
          <w:top w:val="single" w:sz="6" w:space="0" w:color="D1D2D5"/>
          <w:left w:val="single" w:sz="6" w:space="0" w:color="D1D2D5"/>
          <w:bottom w:val="single" w:sz="6" w:space="0" w:color="D1D2D5"/>
          <w:right w:val="single" w:sz="6" w:space="0" w:color="D1D2D5"/>
          <w:insideH w:val="single" w:sz="6" w:space="0" w:color="D1D2D5"/>
          <w:insideV w:val="single" w:sz="6" w:space="0" w:color="D1D2D5"/>
        </w:tblBorders>
        <w:tblCellMar>
          <w:top w:w="75" w:type="dxa"/>
          <w:left w:w="75" w:type="dxa"/>
          <w:bottom w:w="75" w:type="dxa"/>
          <w:right w:w="75" w:type="dxa"/>
        </w:tblCellMar>
        <w:tblLook w:val="04A0" w:firstRow="1" w:lastRow="0" w:firstColumn="1" w:lastColumn="0" w:noHBand="0" w:noVBand="1"/>
      </w:tblPr>
      <w:tblGrid>
        <w:gridCol w:w="2482"/>
        <w:gridCol w:w="2688"/>
        <w:gridCol w:w="4461"/>
      </w:tblGrid>
      <w:tr w:rsidR="00706715" w:rsidRPr="001D0D66" w14:paraId="7F12CDDB" w14:textId="77777777">
        <w:trPr>
          <w:cantSplit/>
        </w:trPr>
        <w:tc>
          <w:tcPr>
            <w:tcW w:w="2482" w:type="dxa"/>
            <w:shd w:val="clear" w:color="auto" w:fill="auto"/>
            <w:tcMar>
              <w:top w:w="120" w:type="dxa"/>
              <w:left w:w="0" w:type="dxa"/>
              <w:bottom w:w="120" w:type="dxa"/>
              <w:right w:w="300" w:type="dxa"/>
            </w:tcMar>
          </w:tcPr>
          <w:p w14:paraId="13BB3D86" w14:textId="77777777" w:rsidR="00706715" w:rsidRPr="001D0D66" w:rsidRDefault="00706715" w:rsidP="00706715">
            <w:pPr>
              <w:shd w:val="clear" w:color="auto" w:fill="FFFFFF"/>
              <w:spacing w:before="100" w:beforeAutospacing="1" w:after="100" w:afterAutospacing="1" w:line="240" w:lineRule="auto"/>
              <w:ind w:left="360"/>
              <w:rPr>
                <w:rFonts w:eastAsia="Times New Roman" w:cs="Times New Roman"/>
                <w:color w:val="333D3E"/>
                <w:szCs w:val="22"/>
                <w:lang w:val="it-IT" w:eastAsia="it-IT"/>
              </w:rPr>
            </w:pPr>
            <w:r w:rsidRPr="00737CC4">
              <w:t>AUTO</w:t>
            </w:r>
          </w:p>
        </w:tc>
        <w:tc>
          <w:tcPr>
            <w:tcW w:w="2688" w:type="dxa"/>
            <w:shd w:val="clear" w:color="auto" w:fill="auto"/>
            <w:tcMar>
              <w:top w:w="120" w:type="dxa"/>
              <w:left w:w="0" w:type="dxa"/>
              <w:bottom w:w="120" w:type="dxa"/>
              <w:right w:w="300" w:type="dxa"/>
            </w:tcMar>
          </w:tcPr>
          <w:p w14:paraId="1133F222" w14:textId="77777777" w:rsidR="00706715" w:rsidRPr="001D0D66" w:rsidRDefault="00706715" w:rsidP="00706715">
            <w:pPr>
              <w:shd w:val="clear" w:color="auto" w:fill="FFFFFF"/>
              <w:spacing w:before="100" w:beforeAutospacing="1" w:after="100" w:afterAutospacing="1" w:line="240" w:lineRule="auto"/>
              <w:ind w:left="67"/>
              <w:rPr>
                <w:rFonts w:eastAsia="Times New Roman" w:cs="Times New Roman"/>
                <w:color w:val="333D3E"/>
                <w:szCs w:val="22"/>
                <w:lang w:val="it-IT" w:eastAsia="it-IT"/>
              </w:rPr>
            </w:pPr>
            <w:r w:rsidRPr="00737CC4">
              <w:t>Auto</w:t>
            </w:r>
            <w:r>
              <w:t xml:space="preserve"> </w:t>
            </w:r>
            <w:r w:rsidRPr="00737CC4">
              <w:t>Collateralisation</w:t>
            </w:r>
          </w:p>
        </w:tc>
        <w:tc>
          <w:tcPr>
            <w:tcW w:w="4461" w:type="dxa"/>
            <w:shd w:val="clear" w:color="auto" w:fill="auto"/>
            <w:tcMar>
              <w:top w:w="120" w:type="dxa"/>
              <w:left w:w="0" w:type="dxa"/>
              <w:bottom w:w="120" w:type="dxa"/>
              <w:right w:w="300" w:type="dxa"/>
            </w:tcMar>
          </w:tcPr>
          <w:p w14:paraId="10DCBB86" w14:textId="77777777" w:rsidR="00706715" w:rsidRPr="001D0D66" w:rsidRDefault="00706715" w:rsidP="00706715">
            <w:pPr>
              <w:shd w:val="clear" w:color="auto" w:fill="FFFFFF"/>
              <w:spacing w:before="100" w:beforeAutospacing="1" w:after="100" w:afterAutospacing="1" w:line="240" w:lineRule="auto"/>
              <w:ind w:left="360"/>
              <w:rPr>
                <w:rFonts w:eastAsia="Times New Roman" w:cs="Times New Roman"/>
                <w:color w:val="333D3E"/>
                <w:szCs w:val="22"/>
                <w:lang w:val="en-US" w:eastAsia="it-IT"/>
              </w:rPr>
            </w:pPr>
            <w:r w:rsidRPr="00737CC4">
              <w:t>Relates to an auto-collateralisation movement.</w:t>
            </w:r>
          </w:p>
        </w:tc>
      </w:tr>
      <w:tr w:rsidR="00706715" w:rsidRPr="001D0D66" w14:paraId="65F2410C" w14:textId="77777777">
        <w:trPr>
          <w:cantSplit/>
        </w:trPr>
        <w:tc>
          <w:tcPr>
            <w:tcW w:w="2482" w:type="dxa"/>
            <w:shd w:val="clear" w:color="auto" w:fill="auto"/>
            <w:tcMar>
              <w:top w:w="120" w:type="dxa"/>
              <w:left w:w="300" w:type="dxa"/>
              <w:bottom w:w="120" w:type="dxa"/>
              <w:right w:w="300" w:type="dxa"/>
            </w:tcMar>
            <w:hideMark/>
          </w:tcPr>
          <w:p w14:paraId="0F704405"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BSBK</w:t>
            </w:r>
          </w:p>
        </w:tc>
        <w:tc>
          <w:tcPr>
            <w:tcW w:w="2688" w:type="dxa"/>
            <w:shd w:val="clear" w:color="auto" w:fill="auto"/>
            <w:tcMar>
              <w:top w:w="120" w:type="dxa"/>
              <w:left w:w="300" w:type="dxa"/>
              <w:bottom w:w="120" w:type="dxa"/>
              <w:right w:w="300" w:type="dxa"/>
            </w:tcMar>
            <w:hideMark/>
          </w:tcPr>
          <w:p w14:paraId="60EE3839" w14:textId="77777777" w:rsidR="00706715" w:rsidRPr="008713B4" w:rsidRDefault="00706715" w:rsidP="00706715">
            <w:pPr>
              <w:shd w:val="clear" w:color="auto" w:fill="FFFFFF"/>
              <w:spacing w:before="100" w:beforeAutospacing="1" w:after="100" w:afterAutospacing="1" w:line="240" w:lineRule="auto"/>
              <w:ind w:left="67"/>
            </w:pPr>
            <w:r w:rsidRPr="008713B4">
              <w:t>Buy Sell Back</w:t>
            </w:r>
          </w:p>
        </w:tc>
        <w:tc>
          <w:tcPr>
            <w:tcW w:w="4461" w:type="dxa"/>
            <w:shd w:val="clear" w:color="auto" w:fill="auto"/>
            <w:tcMar>
              <w:top w:w="120" w:type="dxa"/>
              <w:left w:w="300" w:type="dxa"/>
              <w:bottom w:w="120" w:type="dxa"/>
              <w:right w:w="300" w:type="dxa"/>
            </w:tcMar>
            <w:hideMark/>
          </w:tcPr>
          <w:p w14:paraId="2DEFDCB1"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t>Relates to a buy sell back transaction.</w:t>
            </w:r>
          </w:p>
        </w:tc>
      </w:tr>
      <w:tr w:rsidR="00706715" w:rsidRPr="001D0D66" w14:paraId="794A7179" w14:textId="77777777">
        <w:trPr>
          <w:cantSplit/>
        </w:trPr>
        <w:tc>
          <w:tcPr>
            <w:tcW w:w="2482" w:type="dxa"/>
            <w:shd w:val="clear" w:color="auto" w:fill="auto"/>
            <w:tcMar>
              <w:top w:w="120" w:type="dxa"/>
              <w:left w:w="300" w:type="dxa"/>
              <w:bottom w:w="120" w:type="dxa"/>
              <w:right w:w="300" w:type="dxa"/>
            </w:tcMar>
            <w:hideMark/>
          </w:tcPr>
          <w:p w14:paraId="19B665E5"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BYIY</w:t>
            </w:r>
          </w:p>
        </w:tc>
        <w:tc>
          <w:tcPr>
            <w:tcW w:w="2688" w:type="dxa"/>
            <w:shd w:val="clear" w:color="auto" w:fill="auto"/>
            <w:tcMar>
              <w:top w:w="120" w:type="dxa"/>
              <w:left w:w="300" w:type="dxa"/>
              <w:bottom w:w="120" w:type="dxa"/>
              <w:right w:w="300" w:type="dxa"/>
            </w:tcMar>
            <w:hideMark/>
          </w:tcPr>
          <w:p w14:paraId="056FB153" w14:textId="77777777" w:rsidR="00706715" w:rsidRPr="008713B4" w:rsidRDefault="00706715" w:rsidP="00706715">
            <w:pPr>
              <w:shd w:val="clear" w:color="auto" w:fill="FFFFFF"/>
              <w:spacing w:before="100" w:beforeAutospacing="1" w:after="100" w:afterAutospacing="1" w:line="240" w:lineRule="auto"/>
              <w:ind w:left="67"/>
            </w:pPr>
            <w:r w:rsidRPr="008713B4">
              <w:t>Buy In</w:t>
            </w:r>
          </w:p>
        </w:tc>
        <w:tc>
          <w:tcPr>
            <w:tcW w:w="4461" w:type="dxa"/>
            <w:shd w:val="clear" w:color="auto" w:fill="auto"/>
            <w:tcMar>
              <w:top w:w="120" w:type="dxa"/>
              <w:left w:w="300" w:type="dxa"/>
              <w:bottom w:w="120" w:type="dxa"/>
              <w:right w:w="300" w:type="dxa"/>
            </w:tcMar>
            <w:hideMark/>
          </w:tcPr>
          <w:p w14:paraId="28F27A4C"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t>The transaction relates to a buy-in by the market following a delivery transaction failure.</w:t>
            </w:r>
          </w:p>
        </w:tc>
      </w:tr>
      <w:tr w:rsidR="00706715" w:rsidRPr="001D0D66" w14:paraId="170700C5" w14:textId="77777777">
        <w:trPr>
          <w:cantSplit/>
        </w:trPr>
        <w:tc>
          <w:tcPr>
            <w:tcW w:w="2482" w:type="dxa"/>
            <w:shd w:val="clear" w:color="auto" w:fill="auto"/>
            <w:tcMar>
              <w:top w:w="120" w:type="dxa"/>
              <w:left w:w="300" w:type="dxa"/>
              <w:bottom w:w="120" w:type="dxa"/>
              <w:right w:w="300" w:type="dxa"/>
            </w:tcMar>
            <w:hideMark/>
          </w:tcPr>
          <w:p w14:paraId="37F0342E"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CLAI</w:t>
            </w:r>
          </w:p>
        </w:tc>
        <w:tc>
          <w:tcPr>
            <w:tcW w:w="2688" w:type="dxa"/>
            <w:shd w:val="clear" w:color="auto" w:fill="auto"/>
            <w:tcMar>
              <w:top w:w="120" w:type="dxa"/>
              <w:left w:w="300" w:type="dxa"/>
              <w:bottom w:w="120" w:type="dxa"/>
              <w:right w:w="300" w:type="dxa"/>
            </w:tcMar>
            <w:hideMark/>
          </w:tcPr>
          <w:p w14:paraId="150EA10E" w14:textId="77777777" w:rsidR="00706715" w:rsidRPr="008713B4" w:rsidRDefault="00706715" w:rsidP="00706715">
            <w:pPr>
              <w:shd w:val="clear" w:color="auto" w:fill="FFFFFF"/>
              <w:spacing w:before="100" w:beforeAutospacing="1" w:after="100" w:afterAutospacing="1" w:line="240" w:lineRule="auto"/>
              <w:ind w:left="67"/>
            </w:pPr>
            <w:r w:rsidRPr="008713B4">
              <w:t>Market Claim</w:t>
            </w:r>
          </w:p>
        </w:tc>
        <w:tc>
          <w:tcPr>
            <w:tcW w:w="4461" w:type="dxa"/>
            <w:shd w:val="clear" w:color="auto" w:fill="auto"/>
            <w:tcMar>
              <w:top w:w="120" w:type="dxa"/>
              <w:left w:w="300" w:type="dxa"/>
              <w:bottom w:w="120" w:type="dxa"/>
              <w:right w:w="300" w:type="dxa"/>
            </w:tcMar>
            <w:hideMark/>
          </w:tcPr>
          <w:p w14:paraId="6D454F7B"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t>Transaction resulting from a market claim.</w:t>
            </w:r>
          </w:p>
        </w:tc>
      </w:tr>
      <w:tr w:rsidR="00706715" w:rsidRPr="001D0D66" w14:paraId="5341DC20" w14:textId="77777777">
        <w:trPr>
          <w:cantSplit/>
        </w:trPr>
        <w:tc>
          <w:tcPr>
            <w:tcW w:w="2482" w:type="dxa"/>
            <w:shd w:val="clear" w:color="auto" w:fill="auto"/>
            <w:tcMar>
              <w:top w:w="120" w:type="dxa"/>
              <w:left w:w="300" w:type="dxa"/>
              <w:bottom w:w="120" w:type="dxa"/>
              <w:right w:w="300" w:type="dxa"/>
            </w:tcMar>
            <w:hideMark/>
          </w:tcPr>
          <w:p w14:paraId="02B54C61"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CNCB</w:t>
            </w:r>
          </w:p>
        </w:tc>
        <w:tc>
          <w:tcPr>
            <w:tcW w:w="2688" w:type="dxa"/>
            <w:shd w:val="clear" w:color="auto" w:fill="auto"/>
            <w:tcMar>
              <w:top w:w="120" w:type="dxa"/>
              <w:left w:w="300" w:type="dxa"/>
              <w:bottom w:w="120" w:type="dxa"/>
              <w:right w:w="300" w:type="dxa"/>
            </w:tcMar>
            <w:hideMark/>
          </w:tcPr>
          <w:p w14:paraId="003FCB4E" w14:textId="77777777" w:rsidR="00706715" w:rsidRPr="008713B4" w:rsidRDefault="00706715" w:rsidP="00706715">
            <w:pPr>
              <w:shd w:val="clear" w:color="auto" w:fill="FFFFFF"/>
              <w:spacing w:before="100" w:beforeAutospacing="1" w:after="100" w:afterAutospacing="1" w:line="240" w:lineRule="auto"/>
              <w:ind w:left="67"/>
            </w:pPr>
            <w:r w:rsidRPr="008713B4">
              <w:t>Central Bank Collateral Operation</w:t>
            </w:r>
          </w:p>
        </w:tc>
        <w:tc>
          <w:tcPr>
            <w:tcW w:w="4461" w:type="dxa"/>
            <w:shd w:val="clear" w:color="auto" w:fill="auto"/>
            <w:tcMar>
              <w:top w:w="120" w:type="dxa"/>
              <w:left w:w="300" w:type="dxa"/>
              <w:bottom w:w="120" w:type="dxa"/>
              <w:right w:w="300" w:type="dxa"/>
            </w:tcMar>
            <w:hideMark/>
          </w:tcPr>
          <w:p w14:paraId="2A672D4E"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t>Relates to a collateral delivery/receipt to a National Central Bank for central bank credit operations.</w:t>
            </w:r>
          </w:p>
        </w:tc>
      </w:tr>
      <w:tr w:rsidR="00706715" w:rsidRPr="001D0D66" w14:paraId="7C4668EE" w14:textId="77777777">
        <w:trPr>
          <w:cantSplit/>
        </w:trPr>
        <w:tc>
          <w:tcPr>
            <w:tcW w:w="2482" w:type="dxa"/>
            <w:shd w:val="clear" w:color="auto" w:fill="auto"/>
            <w:tcMar>
              <w:top w:w="120" w:type="dxa"/>
              <w:left w:w="300" w:type="dxa"/>
              <w:bottom w:w="120" w:type="dxa"/>
              <w:right w:w="300" w:type="dxa"/>
            </w:tcMar>
            <w:hideMark/>
          </w:tcPr>
          <w:p w14:paraId="20A69C8E"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COLI</w:t>
            </w:r>
          </w:p>
        </w:tc>
        <w:tc>
          <w:tcPr>
            <w:tcW w:w="2688" w:type="dxa"/>
            <w:shd w:val="clear" w:color="auto" w:fill="auto"/>
            <w:tcMar>
              <w:top w:w="120" w:type="dxa"/>
              <w:left w:w="300" w:type="dxa"/>
              <w:bottom w:w="120" w:type="dxa"/>
              <w:right w:w="300" w:type="dxa"/>
            </w:tcMar>
            <w:hideMark/>
          </w:tcPr>
          <w:p w14:paraId="32D0C0C3" w14:textId="77777777" w:rsidR="00706715" w:rsidRPr="008713B4" w:rsidRDefault="00706715" w:rsidP="00706715">
            <w:pPr>
              <w:shd w:val="clear" w:color="auto" w:fill="FFFFFF"/>
              <w:spacing w:before="100" w:beforeAutospacing="1" w:after="100" w:afterAutospacing="1" w:line="240" w:lineRule="auto"/>
              <w:ind w:left="67"/>
            </w:pPr>
            <w:r w:rsidRPr="008713B4">
              <w:t>Collateral In</w:t>
            </w:r>
          </w:p>
        </w:tc>
        <w:tc>
          <w:tcPr>
            <w:tcW w:w="4461" w:type="dxa"/>
            <w:shd w:val="clear" w:color="auto" w:fill="auto"/>
            <w:tcMar>
              <w:top w:w="120" w:type="dxa"/>
              <w:left w:w="300" w:type="dxa"/>
              <w:bottom w:w="120" w:type="dxa"/>
              <w:right w:w="300" w:type="dxa"/>
            </w:tcMar>
            <w:hideMark/>
          </w:tcPr>
          <w:p w14:paraId="0D7FD621"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t>Relates to a collateral transaction, from the point of view of the collateral taker or its agent.</w:t>
            </w:r>
          </w:p>
        </w:tc>
      </w:tr>
      <w:tr w:rsidR="00706715" w:rsidRPr="001D0D66" w14:paraId="0C5437AE" w14:textId="77777777">
        <w:trPr>
          <w:cantSplit/>
        </w:trPr>
        <w:tc>
          <w:tcPr>
            <w:tcW w:w="2482" w:type="dxa"/>
            <w:shd w:val="clear" w:color="auto" w:fill="auto"/>
            <w:tcMar>
              <w:top w:w="120" w:type="dxa"/>
              <w:left w:w="300" w:type="dxa"/>
              <w:bottom w:w="120" w:type="dxa"/>
              <w:right w:w="300" w:type="dxa"/>
            </w:tcMar>
            <w:hideMark/>
          </w:tcPr>
          <w:p w14:paraId="34347476"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lastRenderedPageBreak/>
              <w:t>COLO</w:t>
            </w:r>
          </w:p>
        </w:tc>
        <w:tc>
          <w:tcPr>
            <w:tcW w:w="2688" w:type="dxa"/>
            <w:shd w:val="clear" w:color="auto" w:fill="auto"/>
            <w:tcMar>
              <w:top w:w="120" w:type="dxa"/>
              <w:left w:w="300" w:type="dxa"/>
              <w:bottom w:w="120" w:type="dxa"/>
              <w:right w:w="300" w:type="dxa"/>
            </w:tcMar>
            <w:hideMark/>
          </w:tcPr>
          <w:p w14:paraId="5B64B266"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proofErr w:type="spellStart"/>
            <w:r w:rsidRPr="001D0D66">
              <w:rPr>
                <w:rFonts w:eastAsia="Times New Roman" w:cs="Times New Roman"/>
                <w:color w:val="333D3E"/>
                <w:szCs w:val="22"/>
                <w:lang w:val="it-IT" w:eastAsia="it-IT"/>
              </w:rPr>
              <w:t>Collateral</w:t>
            </w:r>
            <w:proofErr w:type="spellEnd"/>
            <w:r w:rsidRPr="001D0D66">
              <w:rPr>
                <w:rFonts w:eastAsia="Times New Roman" w:cs="Times New Roman"/>
                <w:color w:val="333D3E"/>
                <w:szCs w:val="22"/>
                <w:lang w:val="it-IT" w:eastAsia="it-IT"/>
              </w:rPr>
              <w:t xml:space="preserve"> Out</w:t>
            </w:r>
          </w:p>
        </w:tc>
        <w:tc>
          <w:tcPr>
            <w:tcW w:w="4461" w:type="dxa"/>
            <w:shd w:val="clear" w:color="auto" w:fill="auto"/>
            <w:tcMar>
              <w:top w:w="120" w:type="dxa"/>
              <w:left w:w="300" w:type="dxa"/>
              <w:bottom w:w="120" w:type="dxa"/>
              <w:right w:w="300" w:type="dxa"/>
            </w:tcMar>
            <w:hideMark/>
          </w:tcPr>
          <w:p w14:paraId="411CE399"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t>Relates to a collateral transaction, from the point of view of the collateral giver or its agent.</w:t>
            </w:r>
          </w:p>
        </w:tc>
      </w:tr>
      <w:tr w:rsidR="00706715" w:rsidRPr="001D0D66" w14:paraId="652D01A8" w14:textId="77777777">
        <w:trPr>
          <w:cantSplit/>
        </w:trPr>
        <w:tc>
          <w:tcPr>
            <w:tcW w:w="2482" w:type="dxa"/>
            <w:shd w:val="clear" w:color="auto" w:fill="auto"/>
            <w:tcMar>
              <w:top w:w="120" w:type="dxa"/>
              <w:left w:w="300" w:type="dxa"/>
              <w:bottom w:w="120" w:type="dxa"/>
              <w:right w:w="300" w:type="dxa"/>
            </w:tcMar>
            <w:hideMark/>
          </w:tcPr>
          <w:p w14:paraId="15E8D28C"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CONV</w:t>
            </w:r>
          </w:p>
        </w:tc>
        <w:tc>
          <w:tcPr>
            <w:tcW w:w="2688" w:type="dxa"/>
            <w:shd w:val="clear" w:color="auto" w:fill="auto"/>
            <w:tcMar>
              <w:top w:w="120" w:type="dxa"/>
              <w:left w:w="300" w:type="dxa"/>
              <w:bottom w:w="120" w:type="dxa"/>
              <w:right w:w="300" w:type="dxa"/>
            </w:tcMar>
            <w:hideMark/>
          </w:tcPr>
          <w:p w14:paraId="1FE21183"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DR Conversion</w:t>
            </w:r>
          </w:p>
        </w:tc>
        <w:tc>
          <w:tcPr>
            <w:tcW w:w="4461" w:type="dxa"/>
            <w:shd w:val="clear" w:color="auto" w:fill="auto"/>
            <w:tcMar>
              <w:top w:w="120" w:type="dxa"/>
              <w:left w:w="300" w:type="dxa"/>
              <w:bottom w:w="120" w:type="dxa"/>
              <w:right w:w="300" w:type="dxa"/>
            </w:tcMar>
            <w:hideMark/>
          </w:tcPr>
          <w:p w14:paraId="3EC6A176"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t>Relates to a depository receipt conversion.</w:t>
            </w:r>
          </w:p>
        </w:tc>
      </w:tr>
      <w:tr w:rsidR="00706715" w:rsidRPr="001D0D66" w14:paraId="7A945C8A" w14:textId="77777777">
        <w:trPr>
          <w:cantSplit/>
        </w:trPr>
        <w:tc>
          <w:tcPr>
            <w:tcW w:w="2482" w:type="dxa"/>
            <w:shd w:val="clear" w:color="auto" w:fill="auto"/>
            <w:tcMar>
              <w:top w:w="120" w:type="dxa"/>
              <w:left w:w="300" w:type="dxa"/>
              <w:bottom w:w="120" w:type="dxa"/>
              <w:right w:w="300" w:type="dxa"/>
            </w:tcMar>
          </w:tcPr>
          <w:p w14:paraId="0AA5896A"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5C63CD">
              <w:t>CORP</w:t>
            </w:r>
          </w:p>
        </w:tc>
        <w:tc>
          <w:tcPr>
            <w:tcW w:w="2688" w:type="dxa"/>
            <w:shd w:val="clear" w:color="auto" w:fill="auto"/>
            <w:tcMar>
              <w:top w:w="120" w:type="dxa"/>
              <w:left w:w="300" w:type="dxa"/>
              <w:bottom w:w="120" w:type="dxa"/>
              <w:right w:w="300" w:type="dxa"/>
            </w:tcMar>
          </w:tcPr>
          <w:p w14:paraId="0B9552E5"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5C63CD">
              <w:t>Corporate Action</w:t>
            </w:r>
          </w:p>
        </w:tc>
        <w:tc>
          <w:tcPr>
            <w:tcW w:w="4461" w:type="dxa"/>
            <w:shd w:val="clear" w:color="auto" w:fill="auto"/>
            <w:tcMar>
              <w:top w:w="120" w:type="dxa"/>
              <w:left w:w="300" w:type="dxa"/>
              <w:bottom w:w="120" w:type="dxa"/>
              <w:right w:w="300" w:type="dxa"/>
            </w:tcMar>
          </w:tcPr>
          <w:p w14:paraId="7A99D52F"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5C63CD">
              <w:t>Relates to a corporate action.</w:t>
            </w:r>
          </w:p>
        </w:tc>
      </w:tr>
      <w:tr w:rsidR="00706715" w:rsidRPr="001D0D66" w14:paraId="41135444" w14:textId="77777777">
        <w:trPr>
          <w:cantSplit/>
        </w:trPr>
        <w:tc>
          <w:tcPr>
            <w:tcW w:w="2482" w:type="dxa"/>
            <w:shd w:val="clear" w:color="auto" w:fill="auto"/>
            <w:tcMar>
              <w:top w:w="120" w:type="dxa"/>
              <w:left w:w="300" w:type="dxa"/>
              <w:bottom w:w="120" w:type="dxa"/>
              <w:right w:w="300" w:type="dxa"/>
            </w:tcMar>
            <w:hideMark/>
          </w:tcPr>
          <w:p w14:paraId="28AF0CB3"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ETFT</w:t>
            </w:r>
          </w:p>
        </w:tc>
        <w:tc>
          <w:tcPr>
            <w:tcW w:w="2688" w:type="dxa"/>
            <w:shd w:val="clear" w:color="auto" w:fill="auto"/>
            <w:tcMar>
              <w:top w:w="120" w:type="dxa"/>
              <w:left w:w="300" w:type="dxa"/>
              <w:bottom w:w="120" w:type="dxa"/>
              <w:right w:w="300" w:type="dxa"/>
            </w:tcMar>
            <w:hideMark/>
          </w:tcPr>
          <w:p w14:paraId="5E86FE86"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 xml:space="preserve">Exchange </w:t>
            </w:r>
            <w:proofErr w:type="spellStart"/>
            <w:r w:rsidRPr="001D0D66">
              <w:rPr>
                <w:rFonts w:eastAsia="Times New Roman" w:cs="Times New Roman"/>
                <w:color w:val="333D3E"/>
                <w:szCs w:val="22"/>
                <w:lang w:val="it-IT" w:eastAsia="it-IT"/>
              </w:rPr>
              <w:t>Traded</w:t>
            </w:r>
            <w:proofErr w:type="spellEnd"/>
            <w:r w:rsidRPr="001D0D66">
              <w:rPr>
                <w:rFonts w:eastAsia="Times New Roman" w:cs="Times New Roman"/>
                <w:color w:val="333D3E"/>
                <w:szCs w:val="22"/>
                <w:lang w:val="it-IT" w:eastAsia="it-IT"/>
              </w:rPr>
              <w:t xml:space="preserve"> Funds</w:t>
            </w:r>
          </w:p>
        </w:tc>
        <w:tc>
          <w:tcPr>
            <w:tcW w:w="4461" w:type="dxa"/>
            <w:shd w:val="clear" w:color="auto" w:fill="auto"/>
            <w:tcMar>
              <w:top w:w="120" w:type="dxa"/>
              <w:left w:w="300" w:type="dxa"/>
              <w:bottom w:w="120" w:type="dxa"/>
              <w:right w:w="300" w:type="dxa"/>
            </w:tcMar>
            <w:hideMark/>
          </w:tcPr>
          <w:p w14:paraId="7BDF502A"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t>Relates to an exchange traded fund (ETF) creation or redemption.</w:t>
            </w:r>
          </w:p>
        </w:tc>
      </w:tr>
      <w:tr w:rsidR="00706715" w:rsidRPr="001D0D66" w14:paraId="4BAA00D0" w14:textId="77777777">
        <w:trPr>
          <w:cantSplit/>
        </w:trPr>
        <w:tc>
          <w:tcPr>
            <w:tcW w:w="2482" w:type="dxa"/>
            <w:shd w:val="clear" w:color="auto" w:fill="auto"/>
            <w:tcMar>
              <w:top w:w="120" w:type="dxa"/>
              <w:left w:w="300" w:type="dxa"/>
              <w:bottom w:w="120" w:type="dxa"/>
              <w:right w:w="300" w:type="dxa"/>
            </w:tcMar>
            <w:hideMark/>
          </w:tcPr>
          <w:p w14:paraId="1D949C08"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ISSU</w:t>
            </w:r>
          </w:p>
        </w:tc>
        <w:tc>
          <w:tcPr>
            <w:tcW w:w="2688" w:type="dxa"/>
            <w:shd w:val="clear" w:color="auto" w:fill="auto"/>
            <w:tcMar>
              <w:top w:w="120" w:type="dxa"/>
              <w:left w:w="300" w:type="dxa"/>
              <w:bottom w:w="120" w:type="dxa"/>
              <w:right w:w="300" w:type="dxa"/>
            </w:tcMar>
            <w:hideMark/>
          </w:tcPr>
          <w:p w14:paraId="6932A4E3"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proofErr w:type="spellStart"/>
            <w:r w:rsidRPr="001D0D66">
              <w:rPr>
                <w:rFonts w:eastAsia="Times New Roman" w:cs="Times New Roman"/>
                <w:color w:val="333D3E"/>
                <w:szCs w:val="22"/>
                <w:lang w:val="it-IT" w:eastAsia="it-IT"/>
              </w:rPr>
              <w:t>Issuance</w:t>
            </w:r>
            <w:proofErr w:type="spellEnd"/>
          </w:p>
        </w:tc>
        <w:tc>
          <w:tcPr>
            <w:tcW w:w="4461" w:type="dxa"/>
            <w:shd w:val="clear" w:color="auto" w:fill="auto"/>
            <w:tcMar>
              <w:top w:w="120" w:type="dxa"/>
              <w:left w:w="300" w:type="dxa"/>
              <w:bottom w:w="120" w:type="dxa"/>
              <w:right w:w="300" w:type="dxa"/>
            </w:tcMar>
            <w:hideMark/>
          </w:tcPr>
          <w:p w14:paraId="56EC8B54"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t>Relates to the issuance of a security such as an equity or a depository receipt.</w:t>
            </w:r>
          </w:p>
        </w:tc>
      </w:tr>
      <w:tr w:rsidR="00706715" w:rsidRPr="001D0D66" w14:paraId="6EA25A0A" w14:textId="77777777">
        <w:trPr>
          <w:cantSplit/>
        </w:trPr>
        <w:tc>
          <w:tcPr>
            <w:tcW w:w="2482" w:type="dxa"/>
            <w:shd w:val="clear" w:color="auto" w:fill="auto"/>
            <w:tcMar>
              <w:top w:w="120" w:type="dxa"/>
              <w:left w:w="300" w:type="dxa"/>
              <w:bottom w:w="120" w:type="dxa"/>
              <w:right w:w="300" w:type="dxa"/>
            </w:tcMar>
            <w:hideMark/>
          </w:tcPr>
          <w:p w14:paraId="53EE0999"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MKDW</w:t>
            </w:r>
          </w:p>
        </w:tc>
        <w:tc>
          <w:tcPr>
            <w:tcW w:w="2688" w:type="dxa"/>
            <w:shd w:val="clear" w:color="auto" w:fill="auto"/>
            <w:tcMar>
              <w:top w:w="120" w:type="dxa"/>
              <w:left w:w="300" w:type="dxa"/>
              <w:bottom w:w="120" w:type="dxa"/>
              <w:right w:w="300" w:type="dxa"/>
            </w:tcMar>
            <w:hideMark/>
          </w:tcPr>
          <w:p w14:paraId="6DF30AD8"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Mark-Down</w:t>
            </w:r>
          </w:p>
        </w:tc>
        <w:tc>
          <w:tcPr>
            <w:tcW w:w="4461" w:type="dxa"/>
            <w:shd w:val="clear" w:color="auto" w:fill="auto"/>
            <w:tcMar>
              <w:top w:w="120" w:type="dxa"/>
              <w:left w:w="300" w:type="dxa"/>
              <w:bottom w:w="120" w:type="dxa"/>
              <w:right w:w="300" w:type="dxa"/>
            </w:tcMar>
            <w:hideMark/>
          </w:tcPr>
          <w:p w14:paraId="1FF3FFA0"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t>Relates to the decrease of positions held by an ICSD at the common depository due to custody operations (repurchase, pre-release, proceed of corp. event realigned).</w:t>
            </w:r>
          </w:p>
        </w:tc>
      </w:tr>
      <w:tr w:rsidR="00706715" w:rsidRPr="001D0D66" w14:paraId="54B01311" w14:textId="77777777">
        <w:trPr>
          <w:cantSplit/>
        </w:trPr>
        <w:tc>
          <w:tcPr>
            <w:tcW w:w="2482" w:type="dxa"/>
            <w:shd w:val="clear" w:color="auto" w:fill="auto"/>
            <w:tcMar>
              <w:top w:w="120" w:type="dxa"/>
              <w:left w:w="300" w:type="dxa"/>
              <w:bottom w:w="120" w:type="dxa"/>
              <w:right w:w="300" w:type="dxa"/>
            </w:tcMar>
            <w:hideMark/>
          </w:tcPr>
          <w:p w14:paraId="65652552"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MKUP</w:t>
            </w:r>
          </w:p>
        </w:tc>
        <w:tc>
          <w:tcPr>
            <w:tcW w:w="2688" w:type="dxa"/>
            <w:shd w:val="clear" w:color="auto" w:fill="auto"/>
            <w:tcMar>
              <w:top w:w="120" w:type="dxa"/>
              <w:left w:w="300" w:type="dxa"/>
              <w:bottom w:w="120" w:type="dxa"/>
              <w:right w:w="300" w:type="dxa"/>
            </w:tcMar>
            <w:hideMark/>
          </w:tcPr>
          <w:p w14:paraId="7455A602"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Mark-Up</w:t>
            </w:r>
          </w:p>
        </w:tc>
        <w:tc>
          <w:tcPr>
            <w:tcW w:w="4461" w:type="dxa"/>
            <w:shd w:val="clear" w:color="auto" w:fill="auto"/>
            <w:tcMar>
              <w:top w:w="120" w:type="dxa"/>
              <w:left w:w="300" w:type="dxa"/>
              <w:bottom w:w="120" w:type="dxa"/>
              <w:right w:w="300" w:type="dxa"/>
            </w:tcMar>
            <w:hideMark/>
          </w:tcPr>
          <w:p w14:paraId="14CE9829"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t>Relates to the increase of positions held by an ICSD at the common depository due to custody operations (repurchase, pre-release, proceed of corporate event realigned).</w:t>
            </w:r>
          </w:p>
        </w:tc>
      </w:tr>
      <w:tr w:rsidR="00706715" w:rsidRPr="001D0D66" w14:paraId="2CA6458B" w14:textId="77777777">
        <w:trPr>
          <w:cantSplit/>
        </w:trPr>
        <w:tc>
          <w:tcPr>
            <w:tcW w:w="2482" w:type="dxa"/>
            <w:shd w:val="clear" w:color="auto" w:fill="auto"/>
            <w:tcMar>
              <w:top w:w="120" w:type="dxa"/>
              <w:left w:w="300" w:type="dxa"/>
              <w:bottom w:w="120" w:type="dxa"/>
              <w:right w:w="300" w:type="dxa"/>
            </w:tcMar>
          </w:tcPr>
          <w:p w14:paraId="01D85988"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739A1">
              <w:t>OWNI</w:t>
            </w:r>
          </w:p>
        </w:tc>
        <w:tc>
          <w:tcPr>
            <w:tcW w:w="2688" w:type="dxa"/>
            <w:shd w:val="clear" w:color="auto" w:fill="auto"/>
            <w:tcMar>
              <w:top w:w="120" w:type="dxa"/>
              <w:left w:w="300" w:type="dxa"/>
              <w:bottom w:w="120" w:type="dxa"/>
              <w:right w:w="300" w:type="dxa"/>
            </w:tcMar>
          </w:tcPr>
          <w:p w14:paraId="63EF6E87"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739A1">
              <w:t>Internal account Transfer</w:t>
            </w:r>
          </w:p>
        </w:tc>
        <w:tc>
          <w:tcPr>
            <w:tcW w:w="4461" w:type="dxa"/>
            <w:shd w:val="clear" w:color="auto" w:fill="auto"/>
            <w:tcMar>
              <w:top w:w="120" w:type="dxa"/>
              <w:left w:w="300" w:type="dxa"/>
              <w:bottom w:w="120" w:type="dxa"/>
              <w:right w:w="300" w:type="dxa"/>
            </w:tcMar>
          </w:tcPr>
          <w:p w14:paraId="73700CC1"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739A1">
              <w:t>Relates to an account transfer involving one instructing party (message sender)</w:t>
            </w:r>
            <w:r>
              <w:t xml:space="preserve"> </w:t>
            </w:r>
            <w:r w:rsidRPr="001739A1">
              <w:t>t</w:t>
            </w:r>
            <w:r>
              <w:t>o</w:t>
            </w:r>
            <w:r w:rsidRPr="001739A1">
              <w:t xml:space="preserve"> one account servicer (messages receiver).</w:t>
            </w:r>
          </w:p>
        </w:tc>
      </w:tr>
      <w:tr w:rsidR="00706715" w:rsidRPr="001D0D66" w14:paraId="57278695" w14:textId="77777777">
        <w:trPr>
          <w:cantSplit/>
        </w:trPr>
        <w:tc>
          <w:tcPr>
            <w:tcW w:w="2482" w:type="dxa"/>
            <w:shd w:val="clear" w:color="auto" w:fill="auto"/>
            <w:tcMar>
              <w:top w:w="120" w:type="dxa"/>
              <w:left w:w="300" w:type="dxa"/>
              <w:bottom w:w="120" w:type="dxa"/>
              <w:right w:w="300" w:type="dxa"/>
            </w:tcMar>
            <w:hideMark/>
          </w:tcPr>
          <w:p w14:paraId="01C6C209"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PLAC</w:t>
            </w:r>
          </w:p>
        </w:tc>
        <w:tc>
          <w:tcPr>
            <w:tcW w:w="2688" w:type="dxa"/>
            <w:shd w:val="clear" w:color="auto" w:fill="auto"/>
            <w:tcMar>
              <w:top w:w="120" w:type="dxa"/>
              <w:left w:w="300" w:type="dxa"/>
              <w:bottom w:w="120" w:type="dxa"/>
              <w:right w:w="300" w:type="dxa"/>
            </w:tcMar>
            <w:hideMark/>
          </w:tcPr>
          <w:p w14:paraId="410E9342"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Placement</w:t>
            </w:r>
          </w:p>
        </w:tc>
        <w:tc>
          <w:tcPr>
            <w:tcW w:w="4461" w:type="dxa"/>
            <w:shd w:val="clear" w:color="auto" w:fill="auto"/>
            <w:tcMar>
              <w:top w:w="120" w:type="dxa"/>
              <w:left w:w="300" w:type="dxa"/>
              <w:bottom w:w="120" w:type="dxa"/>
              <w:right w:w="300" w:type="dxa"/>
            </w:tcMar>
            <w:hideMark/>
          </w:tcPr>
          <w:p w14:paraId="67342976"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t>Relates to the placement/new issue of a financial instrument.</w:t>
            </w:r>
          </w:p>
        </w:tc>
      </w:tr>
      <w:tr w:rsidR="00706715" w:rsidRPr="001D0D66" w14:paraId="6C123682" w14:textId="77777777">
        <w:trPr>
          <w:cantSplit/>
        </w:trPr>
        <w:tc>
          <w:tcPr>
            <w:tcW w:w="2482" w:type="dxa"/>
            <w:shd w:val="clear" w:color="auto" w:fill="auto"/>
            <w:tcMar>
              <w:top w:w="120" w:type="dxa"/>
              <w:left w:w="300" w:type="dxa"/>
              <w:bottom w:w="120" w:type="dxa"/>
              <w:right w:w="300" w:type="dxa"/>
            </w:tcMar>
            <w:hideMark/>
          </w:tcPr>
          <w:p w14:paraId="2262DF7E"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en-US" w:eastAsia="it-IT"/>
              </w:rPr>
            </w:pPr>
            <w:r w:rsidRPr="001D0D66">
              <w:rPr>
                <w:rFonts w:eastAsia="Times New Roman" w:cs="Times New Roman"/>
                <w:color w:val="333D3E"/>
                <w:szCs w:val="22"/>
                <w:lang w:val="en-US" w:eastAsia="it-IT"/>
              </w:rPr>
              <w:lastRenderedPageBreak/>
              <w:t>PORT/OWNE</w:t>
            </w:r>
          </w:p>
          <w:p w14:paraId="4624A4B0" w14:textId="54EB9DA1" w:rsidR="00706715" w:rsidRPr="00A75B67" w:rsidRDefault="00706715" w:rsidP="00706715">
            <w:pPr>
              <w:shd w:val="clear" w:color="auto" w:fill="F9F9F9"/>
              <w:spacing w:after="240" w:line="240" w:lineRule="auto"/>
              <w:ind w:left="-7"/>
              <w:rPr>
                <w:rFonts w:eastAsia="Times New Roman" w:cs="Times New Roman"/>
                <w:color w:val="81848F"/>
                <w:szCs w:val="22"/>
                <w:lang w:val="en-US" w:eastAsia="it-IT"/>
              </w:rPr>
            </w:pPr>
            <w:r w:rsidRPr="00A92276">
              <w:rPr>
                <w:rFonts w:eastAsia="Times New Roman" w:cs="Times New Roman"/>
                <w:color w:val="81848F"/>
                <w:szCs w:val="22"/>
                <w:lang w:val="en-US" w:eastAsia="it-IT"/>
              </w:rPr>
              <w:t>If qualifier is BENE and Data Source Scheme is not present, Indicator must contain one of the following codes:</w:t>
            </w:r>
            <w:r w:rsidR="00A25220">
              <w:rPr>
                <w:rFonts w:eastAsia="Times New Roman" w:cs="Times New Roman"/>
                <w:color w:val="81848F"/>
                <w:szCs w:val="22"/>
                <w:lang w:val="en-US" w:eastAsia="it-IT"/>
              </w:rPr>
              <w:t xml:space="preserve"> </w:t>
            </w:r>
            <w:r w:rsidRPr="00A92276">
              <w:rPr>
                <w:rFonts w:eastAsia="Times New Roman" w:cs="Times New Roman"/>
                <w:color w:val="81848F"/>
                <w:szCs w:val="22"/>
                <w:lang w:val="en-US" w:eastAsia="it-IT"/>
              </w:rPr>
              <w:t>NBEN/NCBO</w:t>
            </w:r>
          </w:p>
        </w:tc>
        <w:tc>
          <w:tcPr>
            <w:tcW w:w="2688" w:type="dxa"/>
            <w:shd w:val="clear" w:color="auto" w:fill="auto"/>
            <w:tcMar>
              <w:top w:w="120" w:type="dxa"/>
              <w:left w:w="300" w:type="dxa"/>
              <w:bottom w:w="120" w:type="dxa"/>
              <w:right w:w="300" w:type="dxa"/>
            </w:tcMar>
            <w:hideMark/>
          </w:tcPr>
          <w:p w14:paraId="06CECB75"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Portfolio Move</w:t>
            </w:r>
          </w:p>
        </w:tc>
        <w:tc>
          <w:tcPr>
            <w:tcW w:w="4461" w:type="dxa"/>
            <w:shd w:val="clear" w:color="auto" w:fill="auto"/>
            <w:tcMar>
              <w:top w:w="120" w:type="dxa"/>
              <w:left w:w="300" w:type="dxa"/>
              <w:bottom w:w="120" w:type="dxa"/>
              <w:right w:w="300" w:type="dxa"/>
            </w:tcMar>
            <w:hideMark/>
          </w:tcPr>
          <w:p w14:paraId="466000F9" w14:textId="134965CE"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 xml:space="preserve">Relates to a portfolio move from one investment manager to another and/or from </w:t>
            </w:r>
            <w:r w:rsidR="00A25220" w:rsidRPr="00A25220">
              <w:rPr>
                <w:rFonts w:eastAsia="Times New Roman" w:cs="Times New Roman"/>
                <w:color w:val="333D3E"/>
                <w:szCs w:val="22"/>
                <w:lang w:eastAsia="it-IT"/>
              </w:rPr>
              <w:t>one</w:t>
            </w:r>
            <w:r w:rsidRPr="00A25220">
              <w:rPr>
                <w:rFonts w:eastAsia="Times New Roman" w:cs="Times New Roman"/>
                <w:color w:val="333D3E"/>
                <w:szCs w:val="22"/>
                <w:lang w:eastAsia="it-IT"/>
              </w:rPr>
              <w:t xml:space="preserve"> account servicer to another. It is generally charged differently than another account.</w:t>
            </w:r>
          </w:p>
        </w:tc>
      </w:tr>
      <w:tr w:rsidR="00706715" w:rsidRPr="001D0D66" w14:paraId="605CF5C8" w14:textId="77777777">
        <w:trPr>
          <w:cantSplit/>
        </w:trPr>
        <w:tc>
          <w:tcPr>
            <w:tcW w:w="2482" w:type="dxa"/>
            <w:shd w:val="clear" w:color="auto" w:fill="auto"/>
            <w:tcMar>
              <w:top w:w="120" w:type="dxa"/>
              <w:left w:w="300" w:type="dxa"/>
              <w:bottom w:w="120" w:type="dxa"/>
              <w:right w:w="300" w:type="dxa"/>
            </w:tcMar>
            <w:hideMark/>
          </w:tcPr>
          <w:p w14:paraId="11C20234"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REAL</w:t>
            </w:r>
          </w:p>
        </w:tc>
        <w:tc>
          <w:tcPr>
            <w:tcW w:w="2688" w:type="dxa"/>
            <w:shd w:val="clear" w:color="auto" w:fill="auto"/>
            <w:tcMar>
              <w:top w:w="120" w:type="dxa"/>
              <w:left w:w="300" w:type="dxa"/>
              <w:bottom w:w="120" w:type="dxa"/>
              <w:right w:w="300" w:type="dxa"/>
            </w:tcMar>
            <w:hideMark/>
          </w:tcPr>
          <w:p w14:paraId="5ADB4ACC"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Realignment</w:t>
            </w:r>
          </w:p>
        </w:tc>
        <w:tc>
          <w:tcPr>
            <w:tcW w:w="4461" w:type="dxa"/>
            <w:shd w:val="clear" w:color="auto" w:fill="auto"/>
            <w:tcMar>
              <w:top w:w="120" w:type="dxa"/>
              <w:left w:w="300" w:type="dxa"/>
              <w:bottom w:w="120" w:type="dxa"/>
              <w:right w:w="300" w:type="dxa"/>
            </w:tcMar>
            <w:hideMark/>
          </w:tcPr>
          <w:p w14:paraId="29D16002"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Relates to a realignment of positions.</w:t>
            </w:r>
          </w:p>
        </w:tc>
      </w:tr>
      <w:tr w:rsidR="00706715" w:rsidRPr="001D0D66" w14:paraId="1FCE8F6D" w14:textId="77777777">
        <w:trPr>
          <w:cantSplit/>
        </w:trPr>
        <w:tc>
          <w:tcPr>
            <w:tcW w:w="2482" w:type="dxa"/>
            <w:shd w:val="clear" w:color="auto" w:fill="auto"/>
            <w:tcMar>
              <w:top w:w="120" w:type="dxa"/>
              <w:left w:w="300" w:type="dxa"/>
              <w:bottom w:w="120" w:type="dxa"/>
              <w:right w:w="300" w:type="dxa"/>
            </w:tcMar>
            <w:hideMark/>
          </w:tcPr>
          <w:p w14:paraId="694DD750"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REDM</w:t>
            </w:r>
          </w:p>
        </w:tc>
        <w:tc>
          <w:tcPr>
            <w:tcW w:w="2688" w:type="dxa"/>
            <w:shd w:val="clear" w:color="auto" w:fill="auto"/>
            <w:tcMar>
              <w:top w:w="120" w:type="dxa"/>
              <w:left w:w="300" w:type="dxa"/>
              <w:bottom w:w="120" w:type="dxa"/>
              <w:right w:w="300" w:type="dxa"/>
            </w:tcMar>
            <w:hideMark/>
          </w:tcPr>
          <w:p w14:paraId="6A4A1A36"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Redemption (Funds)</w:t>
            </w:r>
          </w:p>
        </w:tc>
        <w:tc>
          <w:tcPr>
            <w:tcW w:w="4461" w:type="dxa"/>
            <w:shd w:val="clear" w:color="auto" w:fill="auto"/>
            <w:tcMar>
              <w:top w:w="120" w:type="dxa"/>
              <w:left w:w="300" w:type="dxa"/>
              <w:bottom w:w="120" w:type="dxa"/>
              <w:right w:w="300" w:type="dxa"/>
            </w:tcMar>
            <w:hideMark/>
          </w:tcPr>
          <w:p w14:paraId="37DC7703"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Relates to a redemption of Funds (Funds Industry ONLY).</w:t>
            </w:r>
          </w:p>
        </w:tc>
      </w:tr>
      <w:tr w:rsidR="00706715" w:rsidRPr="001D0D66" w14:paraId="0C362AE8" w14:textId="77777777">
        <w:trPr>
          <w:cantSplit/>
        </w:trPr>
        <w:tc>
          <w:tcPr>
            <w:tcW w:w="2482" w:type="dxa"/>
            <w:shd w:val="clear" w:color="auto" w:fill="auto"/>
            <w:tcMar>
              <w:top w:w="120" w:type="dxa"/>
              <w:left w:w="300" w:type="dxa"/>
              <w:bottom w:w="120" w:type="dxa"/>
              <w:right w:w="300" w:type="dxa"/>
            </w:tcMar>
            <w:hideMark/>
          </w:tcPr>
          <w:p w14:paraId="5260FA33"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RELE</w:t>
            </w:r>
          </w:p>
        </w:tc>
        <w:tc>
          <w:tcPr>
            <w:tcW w:w="2688" w:type="dxa"/>
            <w:shd w:val="clear" w:color="auto" w:fill="auto"/>
            <w:tcMar>
              <w:top w:w="120" w:type="dxa"/>
              <w:left w:w="300" w:type="dxa"/>
              <w:bottom w:w="120" w:type="dxa"/>
              <w:right w:w="300" w:type="dxa"/>
            </w:tcMar>
            <w:hideMark/>
          </w:tcPr>
          <w:p w14:paraId="6D6B59CE"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DR Release/Cancellation</w:t>
            </w:r>
          </w:p>
        </w:tc>
        <w:tc>
          <w:tcPr>
            <w:tcW w:w="4461" w:type="dxa"/>
            <w:shd w:val="clear" w:color="auto" w:fill="auto"/>
            <w:tcMar>
              <w:top w:w="120" w:type="dxa"/>
              <w:left w:w="300" w:type="dxa"/>
              <w:bottom w:w="120" w:type="dxa"/>
              <w:right w:w="300" w:type="dxa"/>
            </w:tcMar>
            <w:hideMark/>
          </w:tcPr>
          <w:p w14:paraId="4A612786" w14:textId="4A23254B"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 xml:space="preserve">Relates to </w:t>
            </w:r>
            <w:r w:rsidR="00A25220" w:rsidRPr="00A25220">
              <w:rPr>
                <w:rFonts w:eastAsia="Times New Roman" w:cs="Times New Roman"/>
                <w:color w:val="333D3E"/>
                <w:szCs w:val="22"/>
                <w:lang w:eastAsia="it-IT"/>
              </w:rPr>
              <w:t xml:space="preserve">the </w:t>
            </w:r>
            <w:r w:rsidRPr="00A25220">
              <w:rPr>
                <w:rFonts w:eastAsia="Times New Roman" w:cs="Times New Roman"/>
                <w:color w:val="333D3E"/>
                <w:szCs w:val="22"/>
                <w:lang w:eastAsia="it-IT"/>
              </w:rPr>
              <w:t>release (into/from local) of Depository Receipt operation.</w:t>
            </w:r>
          </w:p>
        </w:tc>
      </w:tr>
      <w:tr w:rsidR="00706715" w:rsidRPr="001D0D66" w14:paraId="49A6D4E3" w14:textId="77777777">
        <w:trPr>
          <w:cantSplit/>
        </w:trPr>
        <w:tc>
          <w:tcPr>
            <w:tcW w:w="2482" w:type="dxa"/>
            <w:shd w:val="clear" w:color="auto" w:fill="auto"/>
            <w:tcMar>
              <w:top w:w="120" w:type="dxa"/>
              <w:left w:w="300" w:type="dxa"/>
              <w:bottom w:w="120" w:type="dxa"/>
              <w:right w:w="300" w:type="dxa"/>
            </w:tcMar>
            <w:hideMark/>
          </w:tcPr>
          <w:p w14:paraId="1518B6FD"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REPU</w:t>
            </w:r>
          </w:p>
        </w:tc>
        <w:tc>
          <w:tcPr>
            <w:tcW w:w="2688" w:type="dxa"/>
            <w:shd w:val="clear" w:color="auto" w:fill="auto"/>
            <w:tcMar>
              <w:top w:w="120" w:type="dxa"/>
              <w:left w:w="300" w:type="dxa"/>
              <w:bottom w:w="120" w:type="dxa"/>
              <w:right w:w="300" w:type="dxa"/>
            </w:tcMar>
            <w:hideMark/>
          </w:tcPr>
          <w:p w14:paraId="7030BDEE"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Repo</w:t>
            </w:r>
          </w:p>
        </w:tc>
        <w:tc>
          <w:tcPr>
            <w:tcW w:w="4461" w:type="dxa"/>
            <w:shd w:val="clear" w:color="auto" w:fill="auto"/>
            <w:tcMar>
              <w:top w:w="120" w:type="dxa"/>
              <w:left w:w="300" w:type="dxa"/>
              <w:bottom w:w="120" w:type="dxa"/>
              <w:right w:w="300" w:type="dxa"/>
            </w:tcMar>
            <w:hideMark/>
          </w:tcPr>
          <w:p w14:paraId="18F3523E"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Relates to a repurchase agreement transaction.</w:t>
            </w:r>
          </w:p>
        </w:tc>
      </w:tr>
      <w:tr w:rsidR="00706715" w:rsidRPr="001D0D66" w14:paraId="50064A2A" w14:textId="77777777">
        <w:trPr>
          <w:cantSplit/>
        </w:trPr>
        <w:tc>
          <w:tcPr>
            <w:tcW w:w="2482" w:type="dxa"/>
            <w:shd w:val="clear" w:color="auto" w:fill="auto"/>
            <w:tcMar>
              <w:top w:w="120" w:type="dxa"/>
              <w:left w:w="300" w:type="dxa"/>
              <w:bottom w:w="120" w:type="dxa"/>
              <w:right w:w="300" w:type="dxa"/>
            </w:tcMar>
            <w:hideMark/>
          </w:tcPr>
          <w:p w14:paraId="2041E36E"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VPO</w:t>
            </w:r>
          </w:p>
        </w:tc>
        <w:tc>
          <w:tcPr>
            <w:tcW w:w="2688" w:type="dxa"/>
            <w:shd w:val="clear" w:color="auto" w:fill="auto"/>
            <w:tcMar>
              <w:top w:w="120" w:type="dxa"/>
              <w:left w:w="300" w:type="dxa"/>
              <w:bottom w:w="120" w:type="dxa"/>
              <w:right w:w="300" w:type="dxa"/>
            </w:tcMar>
            <w:hideMark/>
          </w:tcPr>
          <w:p w14:paraId="1ABEBA12"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Reverse Repo</w:t>
            </w:r>
          </w:p>
        </w:tc>
        <w:tc>
          <w:tcPr>
            <w:tcW w:w="4461" w:type="dxa"/>
            <w:shd w:val="clear" w:color="auto" w:fill="auto"/>
            <w:tcMar>
              <w:top w:w="120" w:type="dxa"/>
              <w:left w:w="300" w:type="dxa"/>
              <w:bottom w:w="120" w:type="dxa"/>
              <w:right w:w="300" w:type="dxa"/>
            </w:tcMar>
            <w:hideMark/>
          </w:tcPr>
          <w:p w14:paraId="21F5067A"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Relates to a reverse repurchase agreement transaction.</w:t>
            </w:r>
          </w:p>
        </w:tc>
      </w:tr>
      <w:tr w:rsidR="00706715" w:rsidRPr="001D0D66" w14:paraId="5F18F1A6" w14:textId="77777777">
        <w:trPr>
          <w:cantSplit/>
        </w:trPr>
        <w:tc>
          <w:tcPr>
            <w:tcW w:w="2482" w:type="dxa"/>
            <w:shd w:val="clear" w:color="auto" w:fill="auto"/>
            <w:tcMar>
              <w:top w:w="120" w:type="dxa"/>
              <w:left w:w="300" w:type="dxa"/>
              <w:bottom w:w="120" w:type="dxa"/>
              <w:right w:w="300" w:type="dxa"/>
            </w:tcMar>
            <w:hideMark/>
          </w:tcPr>
          <w:p w14:paraId="1C5810EA"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SBBK</w:t>
            </w:r>
          </w:p>
        </w:tc>
        <w:tc>
          <w:tcPr>
            <w:tcW w:w="2688" w:type="dxa"/>
            <w:shd w:val="clear" w:color="auto" w:fill="auto"/>
            <w:tcMar>
              <w:top w:w="120" w:type="dxa"/>
              <w:left w:w="300" w:type="dxa"/>
              <w:bottom w:w="120" w:type="dxa"/>
              <w:right w:w="300" w:type="dxa"/>
            </w:tcMar>
            <w:hideMark/>
          </w:tcPr>
          <w:p w14:paraId="798DAACF"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Sell Buy Back</w:t>
            </w:r>
          </w:p>
        </w:tc>
        <w:tc>
          <w:tcPr>
            <w:tcW w:w="4461" w:type="dxa"/>
            <w:shd w:val="clear" w:color="auto" w:fill="auto"/>
            <w:tcMar>
              <w:top w:w="120" w:type="dxa"/>
              <w:left w:w="300" w:type="dxa"/>
              <w:bottom w:w="120" w:type="dxa"/>
              <w:right w:w="300" w:type="dxa"/>
            </w:tcMar>
            <w:hideMark/>
          </w:tcPr>
          <w:p w14:paraId="4ADEC42E"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Relates to a sell buy back transaction.</w:t>
            </w:r>
          </w:p>
        </w:tc>
      </w:tr>
      <w:tr w:rsidR="00706715" w:rsidRPr="001D0D66" w14:paraId="4DDEF662" w14:textId="77777777">
        <w:trPr>
          <w:cantSplit/>
        </w:trPr>
        <w:tc>
          <w:tcPr>
            <w:tcW w:w="2482" w:type="dxa"/>
            <w:shd w:val="clear" w:color="auto" w:fill="auto"/>
            <w:tcMar>
              <w:top w:w="120" w:type="dxa"/>
              <w:left w:w="300" w:type="dxa"/>
              <w:bottom w:w="120" w:type="dxa"/>
              <w:right w:w="300" w:type="dxa"/>
            </w:tcMar>
            <w:hideMark/>
          </w:tcPr>
          <w:p w14:paraId="5AFB5E72"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SBRE</w:t>
            </w:r>
          </w:p>
        </w:tc>
        <w:tc>
          <w:tcPr>
            <w:tcW w:w="2688" w:type="dxa"/>
            <w:shd w:val="clear" w:color="auto" w:fill="auto"/>
            <w:tcMar>
              <w:top w:w="120" w:type="dxa"/>
              <w:left w:w="300" w:type="dxa"/>
              <w:bottom w:w="120" w:type="dxa"/>
              <w:right w:w="300" w:type="dxa"/>
            </w:tcMar>
            <w:hideMark/>
          </w:tcPr>
          <w:p w14:paraId="78631FE4"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Borrowing Reallocation</w:t>
            </w:r>
          </w:p>
        </w:tc>
        <w:tc>
          <w:tcPr>
            <w:tcW w:w="4461" w:type="dxa"/>
            <w:shd w:val="clear" w:color="auto" w:fill="auto"/>
            <w:tcMar>
              <w:top w:w="120" w:type="dxa"/>
              <w:left w:w="300" w:type="dxa"/>
              <w:bottom w:w="120" w:type="dxa"/>
              <w:right w:w="300" w:type="dxa"/>
            </w:tcMar>
            <w:hideMark/>
          </w:tcPr>
          <w:p w14:paraId="0DCB5DED"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Internal reallocation of a borrowed holding from one safekeeping account to another.</w:t>
            </w:r>
          </w:p>
        </w:tc>
      </w:tr>
      <w:tr w:rsidR="00706715" w:rsidRPr="001D0D66" w14:paraId="0B0F6166" w14:textId="77777777">
        <w:trPr>
          <w:cantSplit/>
        </w:trPr>
        <w:tc>
          <w:tcPr>
            <w:tcW w:w="2482" w:type="dxa"/>
            <w:shd w:val="clear" w:color="auto" w:fill="auto"/>
            <w:tcMar>
              <w:top w:w="120" w:type="dxa"/>
              <w:left w:w="300" w:type="dxa"/>
              <w:bottom w:w="120" w:type="dxa"/>
              <w:right w:w="300" w:type="dxa"/>
            </w:tcMar>
            <w:hideMark/>
          </w:tcPr>
          <w:p w14:paraId="7D9EEAA9"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SECB</w:t>
            </w:r>
          </w:p>
        </w:tc>
        <w:tc>
          <w:tcPr>
            <w:tcW w:w="2688" w:type="dxa"/>
            <w:shd w:val="clear" w:color="auto" w:fill="auto"/>
            <w:tcMar>
              <w:top w:w="120" w:type="dxa"/>
              <w:left w:w="300" w:type="dxa"/>
              <w:bottom w:w="120" w:type="dxa"/>
              <w:right w:w="300" w:type="dxa"/>
            </w:tcMar>
            <w:hideMark/>
          </w:tcPr>
          <w:p w14:paraId="549D4629"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Securities Borrowing</w:t>
            </w:r>
          </w:p>
        </w:tc>
        <w:tc>
          <w:tcPr>
            <w:tcW w:w="4461" w:type="dxa"/>
            <w:shd w:val="clear" w:color="auto" w:fill="auto"/>
            <w:tcMar>
              <w:top w:w="120" w:type="dxa"/>
              <w:left w:w="300" w:type="dxa"/>
              <w:bottom w:w="120" w:type="dxa"/>
              <w:right w:w="300" w:type="dxa"/>
            </w:tcMar>
            <w:hideMark/>
          </w:tcPr>
          <w:p w14:paraId="30997AF9"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Relates to a securities borrowing operation.</w:t>
            </w:r>
          </w:p>
        </w:tc>
      </w:tr>
      <w:tr w:rsidR="00706715" w:rsidRPr="001D0D66" w14:paraId="66ED5746" w14:textId="77777777">
        <w:trPr>
          <w:cantSplit/>
        </w:trPr>
        <w:tc>
          <w:tcPr>
            <w:tcW w:w="2482" w:type="dxa"/>
            <w:shd w:val="clear" w:color="auto" w:fill="auto"/>
            <w:tcMar>
              <w:top w:w="120" w:type="dxa"/>
              <w:left w:w="300" w:type="dxa"/>
              <w:bottom w:w="120" w:type="dxa"/>
              <w:right w:w="300" w:type="dxa"/>
            </w:tcMar>
            <w:hideMark/>
          </w:tcPr>
          <w:p w14:paraId="68184FB5"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SECL</w:t>
            </w:r>
          </w:p>
        </w:tc>
        <w:tc>
          <w:tcPr>
            <w:tcW w:w="2688" w:type="dxa"/>
            <w:shd w:val="clear" w:color="auto" w:fill="auto"/>
            <w:tcMar>
              <w:top w:w="120" w:type="dxa"/>
              <w:left w:w="300" w:type="dxa"/>
              <w:bottom w:w="120" w:type="dxa"/>
              <w:right w:w="300" w:type="dxa"/>
            </w:tcMar>
            <w:hideMark/>
          </w:tcPr>
          <w:p w14:paraId="07B6C1CD"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Securities Lending</w:t>
            </w:r>
          </w:p>
        </w:tc>
        <w:tc>
          <w:tcPr>
            <w:tcW w:w="4461" w:type="dxa"/>
            <w:shd w:val="clear" w:color="auto" w:fill="auto"/>
            <w:tcMar>
              <w:top w:w="120" w:type="dxa"/>
              <w:left w:w="300" w:type="dxa"/>
              <w:bottom w:w="120" w:type="dxa"/>
              <w:right w:w="300" w:type="dxa"/>
            </w:tcMar>
            <w:hideMark/>
          </w:tcPr>
          <w:p w14:paraId="0935904C"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Relates to a securities lending operation.</w:t>
            </w:r>
          </w:p>
        </w:tc>
      </w:tr>
      <w:tr w:rsidR="00706715" w:rsidRPr="001D0D66" w14:paraId="33CDCECD" w14:textId="77777777">
        <w:trPr>
          <w:cantSplit/>
        </w:trPr>
        <w:tc>
          <w:tcPr>
            <w:tcW w:w="2482" w:type="dxa"/>
            <w:shd w:val="clear" w:color="auto" w:fill="auto"/>
            <w:tcMar>
              <w:top w:w="120" w:type="dxa"/>
              <w:left w:w="300" w:type="dxa"/>
              <w:bottom w:w="120" w:type="dxa"/>
              <w:right w:w="300" w:type="dxa"/>
            </w:tcMar>
            <w:hideMark/>
          </w:tcPr>
          <w:p w14:paraId="3A3A03F4"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SLRE</w:t>
            </w:r>
          </w:p>
        </w:tc>
        <w:tc>
          <w:tcPr>
            <w:tcW w:w="2688" w:type="dxa"/>
            <w:shd w:val="clear" w:color="auto" w:fill="auto"/>
            <w:tcMar>
              <w:top w:w="120" w:type="dxa"/>
              <w:left w:w="300" w:type="dxa"/>
              <w:bottom w:w="120" w:type="dxa"/>
              <w:right w:w="300" w:type="dxa"/>
            </w:tcMar>
            <w:hideMark/>
          </w:tcPr>
          <w:p w14:paraId="5EB67437"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Lending Reallocation</w:t>
            </w:r>
          </w:p>
        </w:tc>
        <w:tc>
          <w:tcPr>
            <w:tcW w:w="4461" w:type="dxa"/>
            <w:shd w:val="clear" w:color="auto" w:fill="auto"/>
            <w:tcMar>
              <w:top w:w="120" w:type="dxa"/>
              <w:left w:w="300" w:type="dxa"/>
              <w:bottom w:w="120" w:type="dxa"/>
              <w:right w:w="300" w:type="dxa"/>
            </w:tcMar>
            <w:hideMark/>
          </w:tcPr>
          <w:p w14:paraId="18955440"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Internal reallocation of a holding on loan from one safekeeping account to another.</w:t>
            </w:r>
          </w:p>
        </w:tc>
      </w:tr>
      <w:tr w:rsidR="00706715" w:rsidRPr="001D0D66" w14:paraId="646D81A8" w14:textId="77777777">
        <w:trPr>
          <w:cantSplit/>
        </w:trPr>
        <w:tc>
          <w:tcPr>
            <w:tcW w:w="2482" w:type="dxa"/>
            <w:shd w:val="clear" w:color="auto" w:fill="auto"/>
            <w:tcMar>
              <w:top w:w="120" w:type="dxa"/>
              <w:left w:w="300" w:type="dxa"/>
              <w:bottom w:w="120" w:type="dxa"/>
              <w:right w:w="300" w:type="dxa"/>
            </w:tcMar>
            <w:hideMark/>
          </w:tcPr>
          <w:p w14:paraId="7983671C"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SUBS</w:t>
            </w:r>
          </w:p>
        </w:tc>
        <w:tc>
          <w:tcPr>
            <w:tcW w:w="2688" w:type="dxa"/>
            <w:shd w:val="clear" w:color="auto" w:fill="auto"/>
            <w:tcMar>
              <w:top w:w="120" w:type="dxa"/>
              <w:left w:w="300" w:type="dxa"/>
              <w:bottom w:w="120" w:type="dxa"/>
              <w:right w:w="300" w:type="dxa"/>
            </w:tcMar>
            <w:hideMark/>
          </w:tcPr>
          <w:p w14:paraId="411798CE"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Subscription (Funds)</w:t>
            </w:r>
          </w:p>
        </w:tc>
        <w:tc>
          <w:tcPr>
            <w:tcW w:w="4461" w:type="dxa"/>
            <w:shd w:val="clear" w:color="auto" w:fill="auto"/>
            <w:tcMar>
              <w:top w:w="120" w:type="dxa"/>
              <w:left w:w="300" w:type="dxa"/>
              <w:bottom w:w="120" w:type="dxa"/>
              <w:right w:w="300" w:type="dxa"/>
            </w:tcMar>
            <w:hideMark/>
          </w:tcPr>
          <w:p w14:paraId="414DE596"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Relates to a subscription to funds (Funds Industry ONLY).</w:t>
            </w:r>
          </w:p>
        </w:tc>
      </w:tr>
      <w:tr w:rsidR="00706715" w:rsidRPr="001D0D66" w14:paraId="36BA2303" w14:textId="77777777">
        <w:trPr>
          <w:cantSplit/>
        </w:trPr>
        <w:tc>
          <w:tcPr>
            <w:tcW w:w="2482" w:type="dxa"/>
            <w:shd w:val="clear" w:color="auto" w:fill="auto"/>
            <w:tcMar>
              <w:top w:w="120" w:type="dxa"/>
              <w:left w:w="300" w:type="dxa"/>
              <w:bottom w:w="120" w:type="dxa"/>
              <w:right w:w="300" w:type="dxa"/>
            </w:tcMar>
            <w:hideMark/>
          </w:tcPr>
          <w:p w14:paraId="581405E3"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lastRenderedPageBreak/>
              <w:t>SWIF</w:t>
            </w:r>
          </w:p>
        </w:tc>
        <w:tc>
          <w:tcPr>
            <w:tcW w:w="2688" w:type="dxa"/>
            <w:shd w:val="clear" w:color="auto" w:fill="auto"/>
            <w:tcMar>
              <w:top w:w="120" w:type="dxa"/>
              <w:left w:w="300" w:type="dxa"/>
              <w:bottom w:w="120" w:type="dxa"/>
              <w:right w:w="300" w:type="dxa"/>
            </w:tcMar>
            <w:hideMark/>
          </w:tcPr>
          <w:p w14:paraId="1332B8F9"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Switch From</w:t>
            </w:r>
          </w:p>
        </w:tc>
        <w:tc>
          <w:tcPr>
            <w:tcW w:w="4461" w:type="dxa"/>
            <w:shd w:val="clear" w:color="auto" w:fill="auto"/>
            <w:tcMar>
              <w:top w:w="120" w:type="dxa"/>
              <w:left w:w="300" w:type="dxa"/>
              <w:bottom w:w="120" w:type="dxa"/>
              <w:right w:w="300" w:type="dxa"/>
            </w:tcMar>
            <w:hideMark/>
          </w:tcPr>
          <w:p w14:paraId="1BEEE454"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Transaction is a change of an investment from one sub-fund to another sub-fund (redemption-leg).</w:t>
            </w:r>
          </w:p>
        </w:tc>
      </w:tr>
      <w:tr w:rsidR="00706715" w:rsidRPr="001D0D66" w14:paraId="7B305AC9" w14:textId="77777777">
        <w:trPr>
          <w:cantSplit/>
        </w:trPr>
        <w:tc>
          <w:tcPr>
            <w:tcW w:w="2482" w:type="dxa"/>
            <w:shd w:val="clear" w:color="auto" w:fill="auto"/>
            <w:tcMar>
              <w:top w:w="120" w:type="dxa"/>
              <w:left w:w="300" w:type="dxa"/>
              <w:bottom w:w="120" w:type="dxa"/>
              <w:right w:w="300" w:type="dxa"/>
            </w:tcMar>
            <w:hideMark/>
          </w:tcPr>
          <w:p w14:paraId="1DDE0248"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SWIT</w:t>
            </w:r>
          </w:p>
        </w:tc>
        <w:tc>
          <w:tcPr>
            <w:tcW w:w="2688" w:type="dxa"/>
            <w:shd w:val="clear" w:color="auto" w:fill="auto"/>
            <w:tcMar>
              <w:top w:w="120" w:type="dxa"/>
              <w:left w:w="300" w:type="dxa"/>
              <w:bottom w:w="120" w:type="dxa"/>
              <w:right w:w="300" w:type="dxa"/>
            </w:tcMar>
            <w:hideMark/>
          </w:tcPr>
          <w:p w14:paraId="690A55FA"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Switch To</w:t>
            </w:r>
          </w:p>
        </w:tc>
        <w:tc>
          <w:tcPr>
            <w:tcW w:w="4461" w:type="dxa"/>
            <w:shd w:val="clear" w:color="auto" w:fill="auto"/>
            <w:tcMar>
              <w:top w:w="120" w:type="dxa"/>
              <w:left w:w="300" w:type="dxa"/>
              <w:bottom w:w="120" w:type="dxa"/>
              <w:right w:w="300" w:type="dxa"/>
            </w:tcMar>
            <w:hideMark/>
          </w:tcPr>
          <w:p w14:paraId="4C913F25"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Transaction is a change of an investment from one sub-fund to another sub-fund (subscription-leg).</w:t>
            </w:r>
          </w:p>
        </w:tc>
      </w:tr>
      <w:tr w:rsidR="00706715" w:rsidRPr="001D0D66" w14:paraId="604A7F83" w14:textId="77777777">
        <w:trPr>
          <w:cantSplit/>
        </w:trPr>
        <w:tc>
          <w:tcPr>
            <w:tcW w:w="2482" w:type="dxa"/>
            <w:shd w:val="clear" w:color="auto" w:fill="auto"/>
            <w:tcMar>
              <w:top w:w="120" w:type="dxa"/>
              <w:left w:w="300" w:type="dxa"/>
              <w:bottom w:w="120" w:type="dxa"/>
              <w:right w:w="300" w:type="dxa"/>
            </w:tcMar>
            <w:hideMark/>
          </w:tcPr>
          <w:p w14:paraId="0917C3E3"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SYND</w:t>
            </w:r>
          </w:p>
        </w:tc>
        <w:tc>
          <w:tcPr>
            <w:tcW w:w="2688" w:type="dxa"/>
            <w:shd w:val="clear" w:color="auto" w:fill="auto"/>
            <w:tcMar>
              <w:top w:w="120" w:type="dxa"/>
              <w:left w:w="300" w:type="dxa"/>
              <w:bottom w:w="120" w:type="dxa"/>
              <w:right w:w="300" w:type="dxa"/>
            </w:tcMar>
            <w:hideMark/>
          </w:tcPr>
          <w:p w14:paraId="6FC2A079"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Syndicate of Underwriters</w:t>
            </w:r>
          </w:p>
        </w:tc>
        <w:tc>
          <w:tcPr>
            <w:tcW w:w="4461" w:type="dxa"/>
            <w:shd w:val="clear" w:color="auto" w:fill="auto"/>
            <w:tcMar>
              <w:top w:w="120" w:type="dxa"/>
              <w:left w:w="300" w:type="dxa"/>
              <w:bottom w:w="120" w:type="dxa"/>
              <w:right w:w="300" w:type="dxa"/>
            </w:tcMar>
            <w:hideMark/>
          </w:tcPr>
          <w:p w14:paraId="189326F7"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Relates to the issue of financial instruments through a syndicate of underwriters and a Lead Manager.</w:t>
            </w:r>
          </w:p>
        </w:tc>
      </w:tr>
      <w:tr w:rsidR="00706715" w:rsidRPr="001D0D66" w14:paraId="7A2371EC" w14:textId="77777777">
        <w:trPr>
          <w:cantSplit/>
        </w:trPr>
        <w:tc>
          <w:tcPr>
            <w:tcW w:w="2482" w:type="dxa"/>
            <w:shd w:val="clear" w:color="auto" w:fill="auto"/>
            <w:tcMar>
              <w:top w:w="120" w:type="dxa"/>
              <w:left w:w="300" w:type="dxa"/>
              <w:bottom w:w="120" w:type="dxa"/>
              <w:right w:w="300" w:type="dxa"/>
            </w:tcMar>
            <w:hideMark/>
          </w:tcPr>
          <w:p w14:paraId="250A9DC2"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TRPO</w:t>
            </w:r>
          </w:p>
        </w:tc>
        <w:tc>
          <w:tcPr>
            <w:tcW w:w="2688" w:type="dxa"/>
            <w:shd w:val="clear" w:color="auto" w:fill="auto"/>
            <w:tcMar>
              <w:top w:w="120" w:type="dxa"/>
              <w:left w:w="300" w:type="dxa"/>
              <w:bottom w:w="120" w:type="dxa"/>
              <w:right w:w="300" w:type="dxa"/>
            </w:tcMar>
            <w:hideMark/>
          </w:tcPr>
          <w:p w14:paraId="2352D4CC"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Triparty Repo</w:t>
            </w:r>
          </w:p>
        </w:tc>
        <w:tc>
          <w:tcPr>
            <w:tcW w:w="4461" w:type="dxa"/>
            <w:shd w:val="clear" w:color="auto" w:fill="auto"/>
            <w:tcMar>
              <w:top w:w="120" w:type="dxa"/>
              <w:left w:w="300" w:type="dxa"/>
              <w:bottom w:w="120" w:type="dxa"/>
              <w:right w:w="300" w:type="dxa"/>
            </w:tcMar>
            <w:hideMark/>
          </w:tcPr>
          <w:p w14:paraId="3BBA6E3A"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Relates to a triparty repurchase agreement.</w:t>
            </w:r>
          </w:p>
        </w:tc>
      </w:tr>
      <w:tr w:rsidR="00706715" w:rsidRPr="001D0D66" w14:paraId="38B2DDE7" w14:textId="77777777">
        <w:trPr>
          <w:cantSplit/>
        </w:trPr>
        <w:tc>
          <w:tcPr>
            <w:tcW w:w="2482" w:type="dxa"/>
            <w:shd w:val="clear" w:color="auto" w:fill="auto"/>
            <w:tcMar>
              <w:top w:w="120" w:type="dxa"/>
              <w:left w:w="300" w:type="dxa"/>
              <w:bottom w:w="120" w:type="dxa"/>
              <w:right w:w="300" w:type="dxa"/>
            </w:tcMar>
            <w:hideMark/>
          </w:tcPr>
          <w:p w14:paraId="3CD6562F" w14:textId="77777777" w:rsidR="00706715" w:rsidRPr="001D0D66"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val="it-IT" w:eastAsia="it-IT"/>
              </w:rPr>
            </w:pPr>
            <w:r w:rsidRPr="001D0D66">
              <w:rPr>
                <w:rFonts w:eastAsia="Times New Roman" w:cs="Times New Roman"/>
                <w:color w:val="333D3E"/>
                <w:szCs w:val="22"/>
                <w:lang w:val="it-IT" w:eastAsia="it-IT"/>
              </w:rPr>
              <w:t>TRVO</w:t>
            </w:r>
          </w:p>
        </w:tc>
        <w:tc>
          <w:tcPr>
            <w:tcW w:w="2688" w:type="dxa"/>
            <w:shd w:val="clear" w:color="auto" w:fill="auto"/>
            <w:tcMar>
              <w:top w:w="120" w:type="dxa"/>
              <w:left w:w="300" w:type="dxa"/>
              <w:bottom w:w="120" w:type="dxa"/>
              <w:right w:w="300" w:type="dxa"/>
            </w:tcMar>
            <w:hideMark/>
          </w:tcPr>
          <w:p w14:paraId="05B50ED6"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Triparty Reverse Repo</w:t>
            </w:r>
          </w:p>
        </w:tc>
        <w:tc>
          <w:tcPr>
            <w:tcW w:w="4461" w:type="dxa"/>
            <w:shd w:val="clear" w:color="auto" w:fill="auto"/>
            <w:tcMar>
              <w:top w:w="120" w:type="dxa"/>
              <w:left w:w="300" w:type="dxa"/>
              <w:bottom w:w="120" w:type="dxa"/>
              <w:right w:w="300" w:type="dxa"/>
            </w:tcMar>
            <w:hideMark/>
          </w:tcPr>
          <w:p w14:paraId="0E06DF58" w14:textId="77777777" w:rsidR="00706715" w:rsidRPr="00A25220" w:rsidRDefault="00706715" w:rsidP="00706715">
            <w:pPr>
              <w:shd w:val="clear" w:color="auto" w:fill="FFFFFF"/>
              <w:spacing w:before="100" w:beforeAutospacing="1" w:after="100" w:afterAutospacing="1" w:line="240" w:lineRule="auto"/>
              <w:ind w:left="-7"/>
              <w:rPr>
                <w:rFonts w:eastAsia="Times New Roman" w:cs="Times New Roman"/>
                <w:color w:val="333D3E"/>
                <w:szCs w:val="22"/>
                <w:lang w:eastAsia="it-IT"/>
              </w:rPr>
            </w:pPr>
            <w:r w:rsidRPr="00A25220">
              <w:rPr>
                <w:rFonts w:eastAsia="Times New Roman" w:cs="Times New Roman"/>
                <w:color w:val="333D3E"/>
                <w:szCs w:val="22"/>
                <w:lang w:eastAsia="it-IT"/>
              </w:rPr>
              <w:t>Relates to a triparty reverse repurchase agreement.</w:t>
            </w:r>
          </w:p>
        </w:tc>
      </w:tr>
    </w:tbl>
    <w:p w14:paraId="0D2A711C" w14:textId="6638D622" w:rsidR="00113E80" w:rsidRDefault="00113E80" w:rsidP="00113E80"/>
    <w:permEnd w:id="1475766194"/>
    <w:p w14:paraId="30420754" w14:textId="77777777" w:rsidR="00113E80" w:rsidRDefault="00113E80" w:rsidP="00113E80">
      <w:r>
        <w:t>&lt;ESMA_QUESTION_CSDC_44&gt;</w:t>
      </w:r>
    </w:p>
    <w:p w14:paraId="701FF848" w14:textId="77777777" w:rsidR="00113E80" w:rsidRDefault="00113E80" w:rsidP="00113E80"/>
    <w:p w14:paraId="1584C909" w14:textId="77777777" w:rsidR="00113E80" w:rsidRDefault="00113E80" w:rsidP="00113E80">
      <w:pPr>
        <w:pStyle w:val="Questionstyle"/>
        <w:numPr>
          <w:ilvl w:val="0"/>
          <w:numId w:val="14"/>
        </w:numPr>
        <w:tabs>
          <w:tab w:val="clear" w:pos="567"/>
        </w:tabs>
        <w:spacing w:after="240" w:line="256" w:lineRule="auto"/>
        <w:ind w:left="851" w:hanging="851"/>
      </w:pPr>
      <w:r>
        <w:t>Do you think the lists mentioned in Article 2(1)(a) and Article 5(4) of CDR 2018/1229 should be updated? If yes, please specify.</w:t>
      </w:r>
    </w:p>
    <w:p w14:paraId="222120E2" w14:textId="77777777" w:rsidR="00113E80" w:rsidRDefault="00113E80" w:rsidP="00113E80">
      <w:r>
        <w:t>&lt;ESMA_QUESTION_CSDC_45&gt;</w:t>
      </w:r>
    </w:p>
    <w:p w14:paraId="6BF743EF" w14:textId="77777777" w:rsidR="00113E80" w:rsidRDefault="00113E80" w:rsidP="00113E80">
      <w:permStart w:id="961432849" w:edGrp="everyone"/>
      <w:r>
        <w:t>TYPE YOUR TEXT HERE</w:t>
      </w:r>
    </w:p>
    <w:permEnd w:id="961432849"/>
    <w:p w14:paraId="07F60CC2" w14:textId="77777777" w:rsidR="00113E80" w:rsidRDefault="00113E80" w:rsidP="00113E80">
      <w:r>
        <w:t>&lt;ESMA_QUESTION_CSDC_45&gt;</w:t>
      </w:r>
    </w:p>
    <w:p w14:paraId="790E4CD9" w14:textId="77777777" w:rsidR="005E6387" w:rsidRDefault="005E6387" w:rsidP="00113E80"/>
    <w:p w14:paraId="0554155E" w14:textId="06B8DF5A" w:rsidR="00113E80" w:rsidRDefault="005E6387" w:rsidP="00113E80">
      <w:pPr>
        <w:rPr>
          <w:b/>
          <w:bCs/>
        </w:rPr>
      </w:pPr>
      <w:r w:rsidRPr="005E6387">
        <w:rPr>
          <w:b/>
          <w:bCs/>
        </w:rPr>
        <w:t>3.2.6</w:t>
      </w:r>
      <w:r w:rsidRPr="005E6387">
        <w:rPr>
          <w:b/>
          <w:bCs/>
        </w:rPr>
        <w:tab/>
        <w:t>Timing for sending settlement instructions to the securities settlement system (SSS)</w:t>
      </w:r>
    </w:p>
    <w:p w14:paraId="07414F56" w14:textId="77777777" w:rsidR="005E6387" w:rsidRPr="005E6387" w:rsidRDefault="005E6387" w:rsidP="00113E80">
      <w:pPr>
        <w:rPr>
          <w:b/>
          <w:bCs/>
        </w:rPr>
      </w:pPr>
    </w:p>
    <w:p w14:paraId="05C4750B" w14:textId="77777777" w:rsidR="00113E80" w:rsidRDefault="00113E80" w:rsidP="00113E80">
      <w:pPr>
        <w:pStyle w:val="Questionstyle"/>
        <w:numPr>
          <w:ilvl w:val="0"/>
          <w:numId w:val="14"/>
        </w:numPr>
        <w:tabs>
          <w:tab w:val="clear" w:pos="567"/>
        </w:tabs>
        <w:spacing w:after="240" w:line="256" w:lineRule="auto"/>
        <w:ind w:left="851" w:hanging="851"/>
      </w:pPr>
      <w:r>
        <w:t>What are your views on whether market participants should send settlement instructions intra-day rather than in bulk at the end of the day?</w:t>
      </w:r>
    </w:p>
    <w:p w14:paraId="5CCADBD2" w14:textId="77777777" w:rsidR="00113E80" w:rsidRDefault="00113E80" w:rsidP="00113E80">
      <w:r>
        <w:t>&lt;ESMA_QUESTION_CSDC_46&gt;</w:t>
      </w:r>
    </w:p>
    <w:p w14:paraId="16D4A44D" w14:textId="37C738C2" w:rsidR="00BD2E8D" w:rsidRDefault="00BD2E8D" w:rsidP="00BD2E8D">
      <w:pPr>
        <w:rPr>
          <w:lang w:val="en-US"/>
        </w:rPr>
      </w:pPr>
      <w:permStart w:id="904798664" w:edGrp="everyone"/>
      <w:r w:rsidRPr="00F75868">
        <w:rPr>
          <w:lang w:val="en-US"/>
        </w:rPr>
        <w:lastRenderedPageBreak/>
        <w:t xml:space="preserve">As we understand from our </w:t>
      </w:r>
      <w:r>
        <w:rPr>
          <w:lang w:val="en-US"/>
        </w:rPr>
        <w:t>members, in theory, it would be ideal for market participants to send settlement instructions on an intra-day basis. W</w:t>
      </w:r>
      <w:r w:rsidRPr="000036B8">
        <w:rPr>
          <w:lang w:val="en-US"/>
        </w:rPr>
        <w:t>e also understand</w:t>
      </w:r>
      <w:r>
        <w:rPr>
          <w:lang w:val="en-US"/>
        </w:rPr>
        <w:t>, though,</w:t>
      </w:r>
      <w:r w:rsidRPr="000036B8">
        <w:rPr>
          <w:lang w:val="en-US"/>
        </w:rPr>
        <w:t xml:space="preserve"> that there </w:t>
      </w:r>
      <w:r>
        <w:rPr>
          <w:lang w:val="en-US"/>
        </w:rPr>
        <w:t xml:space="preserve">are some issues on the way to achieve that: </w:t>
      </w:r>
      <w:r w:rsidRPr="000036B8">
        <w:rPr>
          <w:lang w:val="en-US"/>
        </w:rPr>
        <w:t>trading venues and o</w:t>
      </w:r>
      <w:r>
        <w:rPr>
          <w:lang w:val="en-US"/>
        </w:rPr>
        <w:t xml:space="preserve">ther execution venues in the EU currently have very different opening/closing/working time schedules and this, in turn, basically impedes (for the time being) </w:t>
      </w:r>
      <w:r w:rsidR="00A25220">
        <w:rPr>
          <w:lang w:val="en-US"/>
        </w:rPr>
        <w:t>sending</w:t>
      </w:r>
      <w:r>
        <w:rPr>
          <w:lang w:val="en-US"/>
        </w:rPr>
        <w:t xml:space="preserve"> instructions on an intra-day basis. </w:t>
      </w:r>
      <w:r w:rsidR="00A25220">
        <w:rPr>
          <w:lang w:val="en-US"/>
        </w:rPr>
        <w:t>Besides that</w:t>
      </w:r>
      <w:r>
        <w:rPr>
          <w:lang w:val="en-US"/>
        </w:rPr>
        <w:t>, it does make a difference (for proceeding with intra-day instructions) for market participants to know whether a given venue is linked to a CCP, or whether it only runs on a gross settlement basis. We understand that sending intra-day instructions, under the current market set-up, would be viable with respect to gross settlement whilst it would be basically impossible if such intra-day instructions should be sent (on a pre-defined time cut-off) given what we mentioned above, at the beginning of our response.</w:t>
      </w:r>
    </w:p>
    <w:p w14:paraId="6D5FE34C" w14:textId="76AFEB25" w:rsidR="00113E80" w:rsidRDefault="00BD2E8D" w:rsidP="00BD2E8D">
      <w:r>
        <w:rPr>
          <w:lang w:val="en-US"/>
        </w:rPr>
        <w:t xml:space="preserve">Further to that, ESMA shall be aware that, given the market outset described above, some brokers are “forced” to </w:t>
      </w:r>
      <w:r w:rsidRPr="009829DC">
        <w:rPr>
          <w:lang w:val="en-US"/>
        </w:rPr>
        <w:t xml:space="preserve">receive </w:t>
      </w:r>
      <w:r>
        <w:rPr>
          <w:lang w:val="en-US"/>
        </w:rPr>
        <w:t>“incremental orders / instructions” throughout the day and send the relevant instruction(s) at the end of it.</w:t>
      </w:r>
    </w:p>
    <w:permEnd w:id="904798664"/>
    <w:p w14:paraId="129FDCEA" w14:textId="77777777" w:rsidR="00113E80" w:rsidRDefault="00113E80" w:rsidP="00113E80">
      <w:r>
        <w:t>&lt;ESMA_QUESTION_CSDC_46&gt;</w:t>
      </w:r>
    </w:p>
    <w:p w14:paraId="19EAABB1" w14:textId="77777777" w:rsidR="00113E80" w:rsidRDefault="00113E80" w:rsidP="00113E80"/>
    <w:p w14:paraId="5AC95EFF"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Do you consider it necessary to introduce a deadline for the submission of settlement instructions through a regulatory amendment to CDR 2018/1229? If yes, what should be such a deadline? Please provide arguments to justify your answers.</w:t>
      </w:r>
    </w:p>
    <w:p w14:paraId="7A4E313A" w14:textId="77777777" w:rsidR="00113E80" w:rsidRDefault="00113E80" w:rsidP="00113E80">
      <w:r>
        <w:t>&lt;ESMA_QUESTION_CSDC_47&gt;</w:t>
      </w:r>
    </w:p>
    <w:p w14:paraId="24C3810C" w14:textId="0463D867" w:rsidR="00113E80" w:rsidRDefault="000B1A50" w:rsidP="00113E80">
      <w:permStart w:id="355869798" w:edGrp="everyone"/>
      <w:r w:rsidRPr="008706F0">
        <w:rPr>
          <w:lang w:val="en-US"/>
        </w:rPr>
        <w:t xml:space="preserve">Yes, we would welcome the introduction of </w:t>
      </w:r>
      <w:r>
        <w:rPr>
          <w:lang w:val="en-US"/>
        </w:rPr>
        <w:t>“</w:t>
      </w:r>
      <w:r w:rsidRPr="00E361E0">
        <w:rPr>
          <w:i/>
          <w:iCs/>
          <w:lang w:val="en-US"/>
        </w:rPr>
        <w:t xml:space="preserve">a </w:t>
      </w:r>
      <w:r w:rsidRPr="00E361E0">
        <w:rPr>
          <w:bCs/>
          <w:i/>
          <w:iCs/>
        </w:rPr>
        <w:t>deadline for the submission of settlement instructions through a regulatory amendment to CDR 2018/1229</w:t>
      </w:r>
      <w:r>
        <w:rPr>
          <w:bCs/>
        </w:rPr>
        <w:t>” but it is not materially viable because of the very different time scheduled of the trading venues operating in the EU</w:t>
      </w:r>
      <w:r>
        <w:rPr>
          <w:lang w:val="en-US"/>
        </w:rPr>
        <w:t>.</w:t>
      </w:r>
    </w:p>
    <w:permEnd w:id="355869798"/>
    <w:p w14:paraId="7B3A7050" w14:textId="77777777" w:rsidR="00113E80" w:rsidRDefault="00113E80" w:rsidP="00113E80">
      <w:r>
        <w:t>&lt;ESMA_QUESTION_CSDC_47&gt;</w:t>
      </w:r>
    </w:p>
    <w:p w14:paraId="25115DB8" w14:textId="77777777" w:rsidR="005E6387" w:rsidRDefault="005E6387" w:rsidP="00113E80">
      <w:pPr>
        <w:rPr>
          <w:b/>
          <w:bCs/>
        </w:rPr>
      </w:pPr>
    </w:p>
    <w:p w14:paraId="0BF3ADCB" w14:textId="6BFEB277" w:rsidR="00113E80" w:rsidRPr="005E6387" w:rsidRDefault="005E6387" w:rsidP="00113E80">
      <w:pPr>
        <w:rPr>
          <w:b/>
          <w:bCs/>
        </w:rPr>
      </w:pPr>
      <w:r w:rsidRPr="005E6387">
        <w:rPr>
          <w:b/>
          <w:bCs/>
        </w:rPr>
        <w:t>3.2.7</w:t>
      </w:r>
      <w:r w:rsidRPr="005E6387">
        <w:rPr>
          <w:b/>
          <w:bCs/>
        </w:rPr>
        <w:tab/>
        <w:t>Alignment of CSDs’ opening hours, real-time/night-time settlement and cut-off times</w:t>
      </w:r>
    </w:p>
    <w:p w14:paraId="5106CA89" w14:textId="77777777" w:rsidR="005E6387" w:rsidRDefault="005E6387" w:rsidP="00113E80"/>
    <w:p w14:paraId="1E5EFA9F"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 xml:space="preserve">Do you agree that CSDs’ business day schedule should be left to the industry? If not, please elaborate.  </w:t>
      </w:r>
    </w:p>
    <w:p w14:paraId="3CC1703E" w14:textId="77777777" w:rsidR="00113E80" w:rsidRDefault="00113E80" w:rsidP="00113E80">
      <w:r>
        <w:lastRenderedPageBreak/>
        <w:t>&lt;ESMA_QUESTION_CSDC_48&gt;</w:t>
      </w:r>
    </w:p>
    <w:p w14:paraId="63FBC321" w14:textId="77777777" w:rsidR="00113E80" w:rsidRDefault="00113E80" w:rsidP="00113E80">
      <w:permStart w:id="1531868113" w:edGrp="everyone"/>
      <w:r>
        <w:t>TYPE YOUR TEXT HERE</w:t>
      </w:r>
    </w:p>
    <w:permEnd w:id="1531868113"/>
    <w:p w14:paraId="4C79A334" w14:textId="77777777" w:rsidR="00113E80" w:rsidRDefault="00113E80" w:rsidP="00113E80">
      <w:r>
        <w:t>&lt;ESMA_QUESTION_CSDC_48&gt;</w:t>
      </w:r>
    </w:p>
    <w:p w14:paraId="7176D00A" w14:textId="77777777" w:rsidR="00113E80" w:rsidRDefault="00113E80" w:rsidP="00113E80"/>
    <w:p w14:paraId="7617FAC7"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What would be, in your view, the ideal business day schedule for CSDs taking also into account real-time settlement, night-time settlement and cut-off times? Should they be aligned? Please provide arguments.</w:t>
      </w:r>
    </w:p>
    <w:p w14:paraId="10FC9AE8" w14:textId="77777777" w:rsidR="00113E80" w:rsidRDefault="00113E80" w:rsidP="00113E80">
      <w:r>
        <w:t>&lt;ESMA_QUESTION_CSDC_49&gt;</w:t>
      </w:r>
    </w:p>
    <w:p w14:paraId="70E7F8AC" w14:textId="77777777" w:rsidR="00A213EB" w:rsidRDefault="00A213EB" w:rsidP="00A213EB">
      <w:pPr>
        <w:rPr>
          <w:bCs/>
          <w:lang w:val="en-US"/>
        </w:rPr>
      </w:pPr>
      <w:permStart w:id="150763568" w:edGrp="everyone"/>
      <w:r w:rsidRPr="00D14D09">
        <w:rPr>
          <w:lang w:val="en-US"/>
        </w:rPr>
        <w:t>Aside from the specific t</w:t>
      </w:r>
      <w:r>
        <w:rPr>
          <w:lang w:val="en-US"/>
        </w:rPr>
        <w:t xml:space="preserve">iming of </w:t>
      </w:r>
      <w:r w:rsidRPr="002849EC">
        <w:rPr>
          <w:lang w:val="en-US"/>
        </w:rPr>
        <w:t>the “</w:t>
      </w:r>
      <w:r w:rsidRPr="002849EC">
        <w:rPr>
          <w:bCs/>
        </w:rPr>
        <w:t>ideal business day schedule for a CSD”,</w:t>
      </w:r>
      <w:r>
        <w:rPr>
          <w:bCs/>
        </w:rPr>
        <w:t xml:space="preserve"> we believe that ESMA shall take this occasion to push market infrastructures in the EU to some sort of alignment of business day schedules. Indeed, it</w:t>
      </w:r>
      <w:r w:rsidRPr="00D14D09">
        <w:rPr>
          <w:bCs/>
          <w:lang w:val="en-US"/>
        </w:rPr>
        <w:t xml:space="preserve"> is not viable to assume that the Union w</w:t>
      </w:r>
      <w:r>
        <w:rPr>
          <w:bCs/>
          <w:lang w:val="en-US"/>
        </w:rPr>
        <w:t xml:space="preserve">ill have to migrate to T+1 while still having market participants juggling through a network of different daily schedules of markets, CCPs and CSDs. </w:t>
      </w:r>
      <w:r w:rsidRPr="0032146E">
        <w:rPr>
          <w:bCs/>
          <w:lang w:val="en-US"/>
        </w:rPr>
        <w:t>The Union shall tend to the model in use</w:t>
      </w:r>
      <w:r>
        <w:rPr>
          <w:bCs/>
          <w:lang w:val="en-US"/>
        </w:rPr>
        <w:t xml:space="preserve"> in other economic areas where business timings are unique or at least harmonised across the area.</w:t>
      </w:r>
    </w:p>
    <w:p w14:paraId="0E3BC3F1" w14:textId="77777777" w:rsidR="00A213EB" w:rsidRDefault="00A213EB" w:rsidP="00A213EB">
      <w:pPr>
        <w:rPr>
          <w:bCs/>
        </w:rPr>
      </w:pPr>
      <w:r>
        <w:rPr>
          <w:bCs/>
          <w:lang w:val="en-US"/>
        </w:rPr>
        <w:t xml:space="preserve">Aside from operational time realignments in T2S, we believe it is crucial – for making T+1 viable and efficiently workable in the Union – </w:t>
      </w:r>
      <w:r>
        <w:rPr>
          <w:bCs/>
        </w:rPr>
        <w:t>to call upon ESMA to have CSDs offering so-called “bridges” and realignments run all business-day long, and in a consistent manner among them.</w:t>
      </w:r>
    </w:p>
    <w:p w14:paraId="45CF7E70" w14:textId="25D8A5EE" w:rsidR="00113E80" w:rsidRDefault="00A213EB" w:rsidP="00A213EB">
      <w:r w:rsidRPr="00634FE4">
        <w:rPr>
          <w:bCs/>
          <w:color w:val="auto"/>
        </w:rPr>
        <w:t>These remarks are made even more compelling considering that, in all likelihood and all things being equal, it is likely to envisage that, as a consequence of T+1, there will be an increase of settlement activity in the RTGS phase (as opposed to the night settlement phase).</w:t>
      </w:r>
    </w:p>
    <w:permEnd w:id="150763568"/>
    <w:p w14:paraId="44326574" w14:textId="77777777" w:rsidR="00113E80" w:rsidRDefault="00113E80" w:rsidP="00113E80">
      <w:r>
        <w:t>&lt;ESMA_QUESTION_CSDC_49&gt;</w:t>
      </w:r>
    </w:p>
    <w:p w14:paraId="7ACB3EA6" w14:textId="77777777" w:rsidR="005E6387" w:rsidRDefault="005E6387" w:rsidP="00113E80">
      <w:pPr>
        <w:rPr>
          <w:b/>
          <w:bCs/>
        </w:rPr>
      </w:pPr>
    </w:p>
    <w:p w14:paraId="43B2E9F1" w14:textId="36411B90" w:rsidR="005E6387" w:rsidRPr="005E6387" w:rsidRDefault="005E6387" w:rsidP="00113E80">
      <w:pPr>
        <w:rPr>
          <w:b/>
          <w:bCs/>
        </w:rPr>
      </w:pPr>
      <w:r w:rsidRPr="005E6387">
        <w:rPr>
          <w:b/>
          <w:bCs/>
        </w:rPr>
        <w:t>3.2.8</w:t>
      </w:r>
      <w:r w:rsidRPr="005E6387">
        <w:rPr>
          <w:b/>
          <w:bCs/>
        </w:rPr>
        <w:tab/>
        <w:t>Shaping</w:t>
      </w:r>
    </w:p>
    <w:p w14:paraId="5C6AFA04" w14:textId="77777777" w:rsidR="00113E80" w:rsidRDefault="00113E80" w:rsidP="00113E80"/>
    <w:p w14:paraId="0F06545B"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 xml:space="preserve">Do you agree that shaping should be adopted as best practice? If you do not agree and believe that it should be adopted as regulatory change, please indicate which should be the most adequate size to shape transactions per type of financial instrument. </w:t>
      </w:r>
    </w:p>
    <w:p w14:paraId="00DEE5ED" w14:textId="77777777" w:rsidR="00113E80" w:rsidRDefault="00113E80" w:rsidP="00113E80">
      <w:r>
        <w:lastRenderedPageBreak/>
        <w:t>&lt;ESMA_QUESTION_CSDC_50&gt;</w:t>
      </w:r>
    </w:p>
    <w:p w14:paraId="1D592E5B" w14:textId="5A2748B5" w:rsidR="00B35BE5" w:rsidRPr="00C32826" w:rsidRDefault="00B35BE5" w:rsidP="00B35BE5">
      <w:pPr>
        <w:rPr>
          <w:lang w:val="en-US"/>
        </w:rPr>
      </w:pPr>
      <w:permStart w:id="457271116" w:edGrp="everyone"/>
      <w:r w:rsidRPr="00C32826">
        <w:rPr>
          <w:lang w:val="en-US"/>
        </w:rPr>
        <w:t xml:space="preserve">We agree that shaping shall be adopted as best practice among market participants, </w:t>
      </w:r>
      <w:r>
        <w:rPr>
          <w:lang w:val="en-US"/>
        </w:rPr>
        <w:t>and</w:t>
      </w:r>
      <w:r w:rsidRPr="00C32826">
        <w:rPr>
          <w:lang w:val="en-US"/>
        </w:rPr>
        <w:t xml:space="preserve"> ESMA shall make sure, via regulatory means, that all CSDs in the EU </w:t>
      </w:r>
      <w:r w:rsidRPr="00612E27">
        <w:rPr>
          <w:u w:val="single"/>
          <w:lang w:val="en-US"/>
        </w:rPr>
        <w:t>offer</w:t>
      </w:r>
      <w:r w:rsidRPr="00C32826">
        <w:rPr>
          <w:lang w:val="en-US"/>
        </w:rPr>
        <w:t xml:space="preserve"> such functionality, </w:t>
      </w:r>
      <w:r w:rsidR="00A25220" w:rsidRPr="00C32826">
        <w:rPr>
          <w:lang w:val="en-US"/>
        </w:rPr>
        <w:t>leaving</w:t>
      </w:r>
      <w:r w:rsidRPr="00C32826">
        <w:rPr>
          <w:lang w:val="en-US"/>
        </w:rPr>
        <w:t xml:space="preserve"> participants the </w:t>
      </w:r>
      <w:r w:rsidRPr="00612E27">
        <w:rPr>
          <w:u w:val="single"/>
          <w:lang w:val="en-US"/>
        </w:rPr>
        <w:t>option to use it when in need</w:t>
      </w:r>
      <w:r w:rsidRPr="00C32826">
        <w:rPr>
          <w:lang w:val="en-US"/>
        </w:rPr>
        <w:t xml:space="preserve">. In the forthcoming EU market </w:t>
      </w:r>
      <w:r>
        <w:rPr>
          <w:lang w:val="en-US"/>
        </w:rPr>
        <w:t xml:space="preserve">scenario </w:t>
      </w:r>
      <w:r w:rsidRPr="00C32826">
        <w:rPr>
          <w:lang w:val="en-US"/>
        </w:rPr>
        <w:t xml:space="preserve">operating on T+1, participants shall have no preclusions (from the CSD side) to use shaping </w:t>
      </w:r>
      <w:r>
        <w:rPr>
          <w:lang w:val="en-US"/>
        </w:rPr>
        <w:t xml:space="preserve">if </w:t>
      </w:r>
      <w:r w:rsidRPr="00C32826">
        <w:rPr>
          <w:lang w:val="en-US"/>
        </w:rPr>
        <w:t>in need.</w:t>
      </w:r>
      <w:r>
        <w:rPr>
          <w:lang w:val="en-US"/>
        </w:rPr>
        <w:t xml:space="preserve"> CSDs shall not prevent that.</w:t>
      </w:r>
      <w:r w:rsidRPr="00C32826">
        <w:rPr>
          <w:lang w:val="en-US"/>
        </w:rPr>
        <w:t xml:space="preserve"> </w:t>
      </w:r>
    </w:p>
    <w:p w14:paraId="01541A2D" w14:textId="77777777" w:rsidR="00B35BE5" w:rsidRPr="00C32826" w:rsidRDefault="00B35BE5" w:rsidP="00B35BE5">
      <w:pPr>
        <w:rPr>
          <w:lang w:val="en-US"/>
        </w:rPr>
      </w:pPr>
      <w:r w:rsidRPr="00C32826">
        <w:rPr>
          <w:lang w:val="en-US"/>
        </w:rPr>
        <w:t xml:space="preserve">Shaping </w:t>
      </w:r>
      <w:r>
        <w:rPr>
          <w:lang w:val="en-US"/>
        </w:rPr>
        <w:t xml:space="preserve">can reveal </w:t>
      </w:r>
      <w:r w:rsidRPr="00C32826">
        <w:rPr>
          <w:lang w:val="en-US"/>
        </w:rPr>
        <w:t xml:space="preserve">important in case of very large transactions and beneficial to an appropriate management of liquidity by </w:t>
      </w:r>
      <w:r>
        <w:rPr>
          <w:lang w:val="en-US"/>
        </w:rPr>
        <w:t xml:space="preserve">the </w:t>
      </w:r>
      <w:r w:rsidRPr="00C32826">
        <w:rPr>
          <w:lang w:val="en-US"/>
        </w:rPr>
        <w:t>treasury units</w:t>
      </w:r>
      <w:r>
        <w:rPr>
          <w:lang w:val="en-US"/>
        </w:rPr>
        <w:t>/departments</w:t>
      </w:r>
      <w:r w:rsidRPr="00C32826">
        <w:rPr>
          <w:lang w:val="en-US"/>
        </w:rPr>
        <w:t xml:space="preserve"> </w:t>
      </w:r>
      <w:r>
        <w:rPr>
          <w:lang w:val="en-US"/>
        </w:rPr>
        <w:t>of</w:t>
      </w:r>
      <w:r w:rsidRPr="00C32826">
        <w:rPr>
          <w:lang w:val="en-US"/>
        </w:rPr>
        <w:t xml:space="preserve"> financial intermediaries, as it allows to divide the liquidity needed into tranches. Clearly, the drawback of using </w:t>
      </w:r>
      <w:r>
        <w:rPr>
          <w:lang w:val="en-US"/>
        </w:rPr>
        <w:t>it</w:t>
      </w:r>
      <w:r w:rsidRPr="00C32826">
        <w:rPr>
          <w:lang w:val="en-US"/>
        </w:rPr>
        <w:t xml:space="preserve"> is </w:t>
      </w:r>
      <w:r>
        <w:rPr>
          <w:lang w:val="en-US"/>
        </w:rPr>
        <w:t xml:space="preserve">having </w:t>
      </w:r>
      <w:r w:rsidRPr="00C32826">
        <w:rPr>
          <w:lang w:val="en-US"/>
        </w:rPr>
        <w:t>to decide (</w:t>
      </w:r>
      <w:r>
        <w:rPr>
          <w:lang w:val="en-US"/>
        </w:rPr>
        <w:t xml:space="preserve">on a </w:t>
      </w:r>
      <w:r w:rsidRPr="00C32826">
        <w:rPr>
          <w:lang w:val="en-US"/>
        </w:rPr>
        <w:t xml:space="preserve">case by case) the notional of each single tranche, </w:t>
      </w:r>
      <w:r>
        <w:rPr>
          <w:lang w:val="en-US"/>
        </w:rPr>
        <w:t xml:space="preserve">because such </w:t>
      </w:r>
      <w:proofErr w:type="spellStart"/>
      <w:r>
        <w:rPr>
          <w:lang w:val="en-US"/>
        </w:rPr>
        <w:t>notionals</w:t>
      </w:r>
      <w:proofErr w:type="spellEnd"/>
      <w:r>
        <w:rPr>
          <w:lang w:val="en-US"/>
        </w:rPr>
        <w:t xml:space="preserve"> </w:t>
      </w:r>
      <w:r w:rsidRPr="00C32826">
        <w:rPr>
          <w:lang w:val="en-US"/>
        </w:rPr>
        <w:t>would have implication</w:t>
      </w:r>
      <w:r>
        <w:rPr>
          <w:lang w:val="en-US"/>
        </w:rPr>
        <w:t>s</w:t>
      </w:r>
      <w:r w:rsidRPr="00C32826">
        <w:rPr>
          <w:lang w:val="en-US"/>
        </w:rPr>
        <w:t xml:space="preserve"> </w:t>
      </w:r>
      <w:r>
        <w:rPr>
          <w:lang w:val="en-US"/>
        </w:rPr>
        <w:t xml:space="preserve">on </w:t>
      </w:r>
      <w:r w:rsidRPr="00C32826">
        <w:rPr>
          <w:lang w:val="en-US"/>
        </w:rPr>
        <w:t>the overall settlement cost (i.e. one single large transaction would bear a settlement cost given by the N. of tranches which are sent to settlement over time).</w:t>
      </w:r>
    </w:p>
    <w:p w14:paraId="127CDDE8" w14:textId="77777777" w:rsidR="00B35BE5" w:rsidRPr="00634FE4" w:rsidRDefault="00B35BE5" w:rsidP="00B35BE5">
      <w:pPr>
        <w:rPr>
          <w:color w:val="auto"/>
          <w:lang w:val="en-US"/>
        </w:rPr>
      </w:pPr>
      <w:r w:rsidRPr="00C32826">
        <w:rPr>
          <w:lang w:val="en-US"/>
        </w:rPr>
        <w:t xml:space="preserve">So, on the basis of our members’ feedback, ESMA shall consider the set-up of a “reference table” indicating the least </w:t>
      </w:r>
      <w:r>
        <w:rPr>
          <w:lang w:val="en-US"/>
        </w:rPr>
        <w:t>or</w:t>
      </w:r>
      <w:r w:rsidRPr="00C32826">
        <w:rPr>
          <w:lang w:val="en-US"/>
        </w:rPr>
        <w:t xml:space="preserve"> minimal </w:t>
      </w:r>
      <w:r>
        <w:rPr>
          <w:lang w:val="en-US"/>
        </w:rPr>
        <w:t xml:space="preserve">notional </w:t>
      </w:r>
      <w:r w:rsidRPr="00C32826">
        <w:rPr>
          <w:lang w:val="en-US"/>
        </w:rPr>
        <w:t xml:space="preserve">amount of tranches, </w:t>
      </w:r>
      <w:r>
        <w:rPr>
          <w:lang w:val="en-US"/>
        </w:rPr>
        <w:t xml:space="preserve">broken down by </w:t>
      </w:r>
      <w:r w:rsidRPr="00C32826">
        <w:rPr>
          <w:lang w:val="en-US"/>
        </w:rPr>
        <w:t xml:space="preserve">type of transaction </w:t>
      </w:r>
      <w:r>
        <w:rPr>
          <w:lang w:val="en-US"/>
        </w:rPr>
        <w:t>and/</w:t>
      </w:r>
      <w:r w:rsidRPr="00C32826">
        <w:rPr>
          <w:lang w:val="en-US"/>
        </w:rPr>
        <w:t xml:space="preserve">or instrument, i.e. a threshold expressed in absolute terms under which any given transaction (per asset class) should not go under. In doing so, clearly ESMA shall take into account the fact that </w:t>
      </w:r>
      <w:proofErr w:type="spellStart"/>
      <w:r w:rsidRPr="00C32826">
        <w:rPr>
          <w:lang w:val="en-US"/>
        </w:rPr>
        <w:t>i</w:t>
      </w:r>
      <w:proofErr w:type="spellEnd"/>
      <w:r w:rsidRPr="00C32826">
        <w:rPr>
          <w:lang w:val="en-US"/>
        </w:rPr>
        <w:t>) some specific financial instruments do have their pre-defined minimum notional (</w:t>
      </w:r>
      <w:proofErr w:type="spellStart"/>
      <w:r w:rsidRPr="00612E27">
        <w:rPr>
          <w:highlight w:val="yellow"/>
          <w:lang w:val="en-US"/>
        </w:rPr>
        <w:t>taglio</w:t>
      </w:r>
      <w:proofErr w:type="spellEnd"/>
      <w:r w:rsidRPr="00612E27">
        <w:rPr>
          <w:highlight w:val="yellow"/>
          <w:lang w:val="en-US"/>
        </w:rPr>
        <w:t xml:space="preserve"> </w:t>
      </w:r>
      <w:proofErr w:type="spellStart"/>
      <w:r w:rsidRPr="00612E27">
        <w:rPr>
          <w:highlight w:val="yellow"/>
          <w:lang w:val="en-US"/>
        </w:rPr>
        <w:t>minimo</w:t>
      </w:r>
      <w:proofErr w:type="spellEnd"/>
      <w:r w:rsidRPr="00C32826">
        <w:rPr>
          <w:lang w:val="en-US"/>
        </w:rPr>
        <w:t>)</w:t>
      </w:r>
      <w:r>
        <w:rPr>
          <w:lang w:val="en-US"/>
        </w:rPr>
        <w:t>,</w:t>
      </w:r>
      <w:r w:rsidRPr="00C32826">
        <w:rPr>
          <w:lang w:val="en-US"/>
        </w:rPr>
        <w:t xml:space="preserve"> ii) some instruments are subject to “partial calls” (so-called PCAL, which would be complex to manage, alike those </w:t>
      </w:r>
      <w:r w:rsidRPr="00634FE4">
        <w:rPr>
          <w:color w:val="auto"/>
          <w:lang w:val="en-US"/>
        </w:rPr>
        <w:t>instruments providing for “constant reimbursement(s)” and iii) there is a wide variety of securities and related features which cannot be addressed in one single way. This is the case, for example, of hybrid securities or those securities which have pre-defined minimum notional. Clearly, though, the minimum amount of the “</w:t>
      </w:r>
      <w:proofErr w:type="spellStart"/>
      <w:r w:rsidRPr="00634FE4">
        <w:rPr>
          <w:color w:val="auto"/>
          <w:lang w:val="en-US"/>
        </w:rPr>
        <w:t>splitted</w:t>
      </w:r>
      <w:proofErr w:type="spellEnd"/>
      <w:r w:rsidRPr="00634FE4">
        <w:rPr>
          <w:color w:val="auto"/>
          <w:lang w:val="en-US"/>
        </w:rPr>
        <w:t>” tranche as a consequence of the shaping should not be set at a level which does not fit the level of penalties and which risks triggering additional penalties.</w:t>
      </w:r>
    </w:p>
    <w:p w14:paraId="5B59D18A" w14:textId="77777777" w:rsidR="00B35BE5" w:rsidRPr="00634FE4" w:rsidRDefault="00B35BE5" w:rsidP="00B35BE5">
      <w:pPr>
        <w:rPr>
          <w:color w:val="auto"/>
          <w:lang w:val="en-US"/>
        </w:rPr>
      </w:pPr>
      <w:r w:rsidRPr="00634FE4">
        <w:rPr>
          <w:color w:val="auto"/>
          <w:lang w:val="en-US"/>
        </w:rPr>
        <w:t>Clearly, our considerations above are done also in consideration of the foreseeable change of logics in relation to Partial Settlement, which should change to a default provision by CSDs.</w:t>
      </w:r>
    </w:p>
    <w:p w14:paraId="022777CA" w14:textId="1FC892AF" w:rsidR="00113E80" w:rsidRDefault="00B35BE5" w:rsidP="00B35BE5">
      <w:r w:rsidRPr="00634FE4">
        <w:rPr>
          <w:bCs/>
          <w:color w:val="auto"/>
        </w:rPr>
        <w:t>For sake of completeness, we have to report that, among our members, some expressed reservations on Shaping, as on the basis of their experience shaping per se could risks decreasing (not necessarily enhancing) the degree of settlement efficiency for the simple, fundamental reason that, as a consequence of the splitting, new / further instructions would be introduced in the chain, with further processes, (re)validations, etc.</w:t>
      </w:r>
    </w:p>
    <w:permEnd w:id="457271116"/>
    <w:p w14:paraId="3F2B26D3" w14:textId="77777777" w:rsidR="00113E80" w:rsidRDefault="00113E80" w:rsidP="00113E80">
      <w:r>
        <w:t>&lt;ESMA_QUESTION_CSDC_50&gt;</w:t>
      </w:r>
    </w:p>
    <w:p w14:paraId="5F62866E" w14:textId="77777777" w:rsidR="005E6387" w:rsidRDefault="005E6387" w:rsidP="00113E80"/>
    <w:p w14:paraId="757D3298" w14:textId="64F735EB" w:rsidR="00113E80" w:rsidRPr="005E6387" w:rsidRDefault="005E6387" w:rsidP="00113E80">
      <w:pPr>
        <w:rPr>
          <w:b/>
          <w:bCs/>
        </w:rPr>
      </w:pPr>
      <w:r w:rsidRPr="005E6387">
        <w:rPr>
          <w:b/>
          <w:bCs/>
        </w:rPr>
        <w:t>3.2.9</w:t>
      </w:r>
      <w:r w:rsidRPr="005E6387">
        <w:rPr>
          <w:b/>
          <w:bCs/>
        </w:rPr>
        <w:tab/>
        <w:t>Automated securities lending</w:t>
      </w:r>
    </w:p>
    <w:p w14:paraId="2683FFE7" w14:textId="77777777" w:rsidR="005E6387" w:rsidRDefault="005E6387" w:rsidP="00113E80"/>
    <w:p w14:paraId="5F0ADCD0"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Do you see the need for a regulatory action in this area? If yes, please elaborate.</w:t>
      </w:r>
    </w:p>
    <w:p w14:paraId="3EC61179" w14:textId="77777777" w:rsidR="00113E80" w:rsidRDefault="00113E80" w:rsidP="00113E80">
      <w:r>
        <w:t>&lt;ESMA_QUESTION_CSDC_51&gt;</w:t>
      </w:r>
    </w:p>
    <w:p w14:paraId="4F9916BD" w14:textId="3B8DB193" w:rsidR="00113E80" w:rsidRDefault="005B0280" w:rsidP="00113E80">
      <w:permStart w:id="1535070435" w:edGrp="everyone"/>
      <w:r>
        <w:rPr>
          <w:lang w:val="en-US"/>
        </w:rPr>
        <w:t xml:space="preserve">Provided that automated securities lending/borrowing can be run on proprietary accounts only (not on omnibus accounts), for a number of reasons </w:t>
      </w:r>
      <w:r w:rsidRPr="001E1A9B">
        <w:rPr>
          <w:lang w:val="en-US"/>
        </w:rPr>
        <w:t>we believe that t</w:t>
      </w:r>
      <w:r>
        <w:rPr>
          <w:lang w:val="en-US"/>
        </w:rPr>
        <w:t>here are a number of issues to be resolved prior to having a regulatory provision for automated securities lending, given its complexity and implication for settlement finality and counterparty risks.</w:t>
      </w:r>
    </w:p>
    <w:permEnd w:id="1535070435"/>
    <w:p w14:paraId="3F0A2AF3" w14:textId="77777777" w:rsidR="00113E80" w:rsidRDefault="00113E80" w:rsidP="00113E80">
      <w:r>
        <w:t>&lt;ESMA_QUESTION_CSDC_51&gt;</w:t>
      </w:r>
    </w:p>
    <w:p w14:paraId="041E8166" w14:textId="19092A13" w:rsidR="00113E80" w:rsidRPr="004D0A02" w:rsidRDefault="004D0A02" w:rsidP="00113E80">
      <w:pPr>
        <w:rPr>
          <w:b/>
          <w:bCs/>
        </w:rPr>
      </w:pPr>
      <w:r w:rsidRPr="004D0A02">
        <w:rPr>
          <w:b/>
          <w:bCs/>
        </w:rPr>
        <w:t>3.2.10 Other proposals regarding settlement discipline measures and tools to improve settlement efficiency</w:t>
      </w:r>
    </w:p>
    <w:p w14:paraId="1C1F1B53" w14:textId="77777777" w:rsidR="004D0A02" w:rsidRDefault="004D0A02" w:rsidP="00113E80"/>
    <w:p w14:paraId="2156E6B8"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Do you have other proposals regarding settlement discipline measures and tools to improve settlement efficiency in areas not covered in the previous sections? Please give examples and provide arguments and data where available. If relevant, please also include the specific proposed amendments to CDR 2018/1229.</w:t>
      </w:r>
    </w:p>
    <w:p w14:paraId="1DDDF152" w14:textId="77777777" w:rsidR="00113E80" w:rsidRDefault="00113E80" w:rsidP="00113E80">
      <w:r>
        <w:t>&lt;ESMA_QUESTION_CSDC_52&gt;</w:t>
      </w:r>
    </w:p>
    <w:p w14:paraId="667F8D69" w14:textId="77777777" w:rsidR="00113E80" w:rsidRDefault="00113E80" w:rsidP="00113E80">
      <w:permStart w:id="517953238" w:edGrp="everyone"/>
      <w:r>
        <w:t>TYPE YOUR TEXT HERE</w:t>
      </w:r>
    </w:p>
    <w:permEnd w:id="517953238"/>
    <w:p w14:paraId="4660DEF1" w14:textId="77777777" w:rsidR="00113E80" w:rsidRDefault="00113E80" w:rsidP="00113E80">
      <w:r>
        <w:t>&lt;ESMA_QUESTION_CSDC_52&gt;</w:t>
      </w:r>
    </w:p>
    <w:p w14:paraId="16B95523" w14:textId="77777777" w:rsidR="004D0A02" w:rsidRDefault="004D0A02" w:rsidP="00113E80">
      <w:pPr>
        <w:rPr>
          <w:b/>
          <w:bCs/>
        </w:rPr>
      </w:pPr>
    </w:p>
    <w:p w14:paraId="0D55AFAD" w14:textId="2F56243F" w:rsidR="00113E80" w:rsidRPr="004D0A02" w:rsidRDefault="004D0A02" w:rsidP="00113E80">
      <w:pPr>
        <w:rPr>
          <w:b/>
          <w:bCs/>
        </w:rPr>
      </w:pPr>
      <w:r>
        <w:rPr>
          <w:b/>
          <w:bCs/>
        </w:rPr>
        <w:t>3.2.11 Costs and Benefits</w:t>
      </w:r>
    </w:p>
    <w:p w14:paraId="2B6F917D" w14:textId="77777777" w:rsidR="004D0A02" w:rsidRDefault="004D0A02" w:rsidP="00113E80"/>
    <w:p w14:paraId="2B413772" w14:textId="272A13C9" w:rsidR="00113E80" w:rsidRDefault="00113E80" w:rsidP="00113E80">
      <w:pPr>
        <w:pStyle w:val="Questionstyle"/>
        <w:numPr>
          <w:ilvl w:val="0"/>
          <w:numId w:val="14"/>
        </w:numPr>
        <w:tabs>
          <w:tab w:val="clear" w:pos="567"/>
        </w:tabs>
        <w:spacing w:after="240" w:line="256" w:lineRule="auto"/>
        <w:ind w:left="851" w:hanging="851"/>
        <w:rPr>
          <w:bCs/>
        </w:rPr>
      </w:pPr>
      <w:r>
        <w:rPr>
          <w:bCs/>
        </w:rPr>
        <w:t>For all the topics covered in this CP please provide your input on the envisaged costs and benefits using the table below. Please include any operational challenges and the time it may take to implement the proposed requirements.</w:t>
      </w:r>
      <w:r w:rsidR="004F5A02">
        <w:rPr>
          <w:bCs/>
        </w:rPr>
        <w:t xml:space="preserve"> </w:t>
      </w:r>
      <w:r>
        <w:rPr>
          <w:bCs/>
        </w:rPr>
        <w:t>Where relevant, additional tables, graphs and information may be included in order to support the arguments or calculations presented in the table below.</w:t>
      </w:r>
    </w:p>
    <w:tbl>
      <w:tblPr>
        <w:tblW w:w="0" w:type="auto"/>
        <w:tblCellMar>
          <w:left w:w="0" w:type="dxa"/>
          <w:right w:w="0" w:type="dxa"/>
        </w:tblCellMar>
        <w:tblLook w:val="04A0" w:firstRow="1" w:lastRow="0" w:firstColumn="1" w:lastColumn="0" w:noHBand="0" w:noVBand="1"/>
      </w:tblPr>
      <w:tblGrid>
        <w:gridCol w:w="2578"/>
        <w:gridCol w:w="3057"/>
        <w:gridCol w:w="3417"/>
      </w:tblGrid>
      <w:tr w:rsidR="00D93D74" w:rsidRPr="007F665A" w14:paraId="79EE8613" w14:textId="77777777">
        <w:trPr>
          <w:trHeight w:val="450"/>
        </w:trPr>
        <w:tc>
          <w:tcPr>
            <w:tcW w:w="2580" w:type="dxa"/>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hideMark/>
          </w:tcPr>
          <w:p w14:paraId="7D8F1070" w14:textId="77777777" w:rsidR="00D93D74" w:rsidRPr="007F665A" w:rsidRDefault="00D93D74">
            <w:pPr>
              <w:rPr>
                <w:lang w:val="nl-BE"/>
              </w:rPr>
            </w:pPr>
            <w:r w:rsidRPr="007F665A">
              <w:rPr>
                <w:b/>
                <w:bCs/>
                <w:lang w:val="nl-BE"/>
              </w:rPr>
              <w:lastRenderedPageBreak/>
              <w:t xml:space="preserve">ESMA or respondent’s proposal </w:t>
            </w:r>
          </w:p>
        </w:tc>
        <w:tc>
          <w:tcPr>
            <w:tcW w:w="6480" w:type="dxa"/>
            <w:gridSpan w:val="2"/>
            <w:tcBorders>
              <w:top w:val="single" w:sz="8" w:space="0" w:color="auto"/>
              <w:left w:val="nil"/>
              <w:bottom w:val="single" w:sz="8" w:space="0" w:color="000000"/>
              <w:right w:val="single" w:sz="8" w:space="0" w:color="000000"/>
            </w:tcBorders>
            <w:tcMar>
              <w:top w:w="0" w:type="dxa"/>
              <w:left w:w="108" w:type="dxa"/>
              <w:bottom w:w="0" w:type="dxa"/>
              <w:right w:w="108" w:type="dxa"/>
            </w:tcMar>
          </w:tcPr>
          <w:p w14:paraId="747686E7" w14:textId="77777777" w:rsidR="00D93D74" w:rsidRPr="007F665A" w:rsidRDefault="00D93D74">
            <w:pPr>
              <w:rPr>
                <w:lang w:val="nl-BE"/>
              </w:rPr>
            </w:pPr>
          </w:p>
          <w:p w14:paraId="0222539E" w14:textId="77777777" w:rsidR="00D93D74" w:rsidRPr="007F665A" w:rsidRDefault="00D93D74">
            <w:pPr>
              <w:rPr>
                <w:lang w:val="nl-BE"/>
              </w:rPr>
            </w:pPr>
            <w:r w:rsidRPr="007F665A">
              <w:rPr>
                <w:lang w:val="nl-BE"/>
              </w:rPr>
              <w:t> </w:t>
            </w:r>
          </w:p>
        </w:tc>
      </w:tr>
      <w:tr w:rsidR="00D93D74" w:rsidRPr="007F665A" w14:paraId="1E5F920B" w14:textId="77777777">
        <w:trPr>
          <w:trHeight w:val="300"/>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A7127" w14:textId="77777777" w:rsidR="00D93D74" w:rsidRPr="007F665A" w:rsidRDefault="00D93D74">
            <w:pPr>
              <w:rPr>
                <w:lang w:val="nl-BE"/>
              </w:rPr>
            </w:pPr>
            <w:r w:rsidRPr="007F665A">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5F3C574" w14:textId="77777777" w:rsidR="00D93D74" w:rsidRPr="007F665A" w:rsidRDefault="00D93D74">
            <w:pPr>
              <w:rPr>
                <w:lang w:val="nl-BE"/>
              </w:rPr>
            </w:pPr>
            <w:r w:rsidRPr="007F665A">
              <w:rPr>
                <w:b/>
                <w:bCs/>
                <w:lang w:val="nl-BE"/>
              </w:rPr>
              <w:t>Qualitative description</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43EAB647" w14:textId="77777777" w:rsidR="00D93D74" w:rsidRPr="007F665A" w:rsidRDefault="00D93D74">
            <w:pPr>
              <w:rPr>
                <w:lang w:val="nl-BE"/>
              </w:rPr>
            </w:pPr>
            <w:r w:rsidRPr="007F665A">
              <w:rPr>
                <w:b/>
                <w:bCs/>
                <w:lang w:val="nl-BE"/>
              </w:rPr>
              <w:t>Quantitative description/ Data</w:t>
            </w:r>
          </w:p>
        </w:tc>
      </w:tr>
      <w:tr w:rsidR="00D93D74" w:rsidRPr="007F665A" w14:paraId="08D4DCBA" w14:textId="77777777">
        <w:trPr>
          <w:trHeight w:val="300"/>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27814" w14:textId="77777777" w:rsidR="00D93D74" w:rsidRPr="007F665A" w:rsidRDefault="00D93D74">
            <w:pPr>
              <w:rPr>
                <w:lang w:val="nl-BE"/>
              </w:rPr>
            </w:pPr>
            <w:r w:rsidRPr="007F665A">
              <w:rPr>
                <w:b/>
                <w:bCs/>
                <w:lang w:val="nl-BE"/>
              </w:rPr>
              <w:t>Benefits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69756710" w14:textId="77777777" w:rsidR="00D93D74" w:rsidRPr="007F665A" w:rsidRDefault="00D93D74">
            <w:pPr>
              <w:rPr>
                <w:lang w:val="nl-BE"/>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57FFBBCF" w14:textId="77777777" w:rsidR="00D93D74" w:rsidRPr="007F665A" w:rsidRDefault="00D93D74">
            <w:pPr>
              <w:rPr>
                <w:lang w:val="nl-BE"/>
              </w:rPr>
            </w:pPr>
            <w:r w:rsidRPr="007F665A">
              <w:rPr>
                <w:lang w:val="nl-BE"/>
              </w:rPr>
              <w:t> </w:t>
            </w:r>
          </w:p>
        </w:tc>
      </w:tr>
      <w:tr w:rsidR="00D93D74" w:rsidRPr="007F665A" w14:paraId="2F18657F" w14:textId="77777777">
        <w:trPr>
          <w:trHeight w:val="300"/>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48DF4" w14:textId="77777777" w:rsidR="00D93D74" w:rsidRPr="007F665A" w:rsidRDefault="00D93D74">
            <w:pPr>
              <w:rPr>
                <w:lang w:val="nl-BE"/>
              </w:rPr>
            </w:pPr>
            <w:r w:rsidRPr="007F665A">
              <w:rPr>
                <w:b/>
                <w:bCs/>
                <w:lang w:val="nl-BE"/>
              </w:rPr>
              <w:t>Compliance costs:</w:t>
            </w:r>
          </w:p>
          <w:p w14:paraId="3A66C74C" w14:textId="77777777" w:rsidR="00D93D74" w:rsidRPr="007F665A" w:rsidRDefault="00D93D74">
            <w:pPr>
              <w:rPr>
                <w:lang w:val="nl-BE"/>
              </w:rPr>
            </w:pPr>
            <w:r w:rsidRPr="007F665A">
              <w:rPr>
                <w:b/>
                <w:bCs/>
                <w:lang w:val="nl-BE"/>
              </w:rPr>
              <w:t>- One-off</w:t>
            </w:r>
          </w:p>
          <w:p w14:paraId="13F8798A" w14:textId="77777777" w:rsidR="00D93D74" w:rsidRPr="007F665A" w:rsidRDefault="00D93D74">
            <w:pPr>
              <w:rPr>
                <w:lang w:val="nl-BE"/>
              </w:rPr>
            </w:pPr>
            <w:r w:rsidRPr="007F665A">
              <w:rPr>
                <w:b/>
                <w:bCs/>
                <w:lang w:val="nl-BE"/>
              </w:rPr>
              <w:t>- On-going</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E5B6F2F" w14:textId="77777777" w:rsidR="00D93D74" w:rsidRPr="007F665A" w:rsidRDefault="00D93D74">
            <w:pPr>
              <w:rPr>
                <w:lang w:val="nl-BE"/>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54C545ED" w14:textId="77777777" w:rsidR="00D93D74" w:rsidRPr="007F665A" w:rsidRDefault="00D93D74">
            <w:pPr>
              <w:rPr>
                <w:lang w:val="nl-BE"/>
              </w:rPr>
            </w:pPr>
            <w:r w:rsidRPr="007F665A">
              <w:rPr>
                <w:lang w:val="nl-BE"/>
              </w:rPr>
              <w:t> </w:t>
            </w:r>
          </w:p>
        </w:tc>
      </w:tr>
      <w:tr w:rsidR="00D93D74" w:rsidRPr="007F665A" w14:paraId="7ABF7023" w14:textId="77777777">
        <w:trPr>
          <w:trHeight w:val="300"/>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A8F27" w14:textId="77777777" w:rsidR="00D93D74" w:rsidRPr="007F665A" w:rsidRDefault="00D93D74">
            <w:pPr>
              <w:rPr>
                <w:lang w:val="nl-BE"/>
              </w:rPr>
            </w:pPr>
            <w:r w:rsidRPr="007F665A">
              <w:rPr>
                <w:b/>
                <w:bCs/>
                <w:lang w:val="nl-BE"/>
              </w:rPr>
              <w:t>Costs to other stakeholders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852B917" w14:textId="77777777" w:rsidR="00D93D74" w:rsidRPr="007F665A" w:rsidRDefault="00D93D74">
            <w:pPr>
              <w:rPr>
                <w:lang w:val="nl-BE"/>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68936CBD" w14:textId="77777777" w:rsidR="00D93D74" w:rsidRPr="007F665A" w:rsidRDefault="00D93D74">
            <w:pPr>
              <w:rPr>
                <w:lang w:val="nl-BE"/>
              </w:rPr>
            </w:pPr>
            <w:r w:rsidRPr="007F665A">
              <w:rPr>
                <w:lang w:val="nl-BE"/>
              </w:rPr>
              <w:t> </w:t>
            </w:r>
          </w:p>
        </w:tc>
      </w:tr>
      <w:tr w:rsidR="00D93D74" w:rsidRPr="007F665A" w14:paraId="4DB9EEFC" w14:textId="77777777">
        <w:trPr>
          <w:trHeight w:val="300"/>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DFAFC" w14:textId="77777777" w:rsidR="00D93D74" w:rsidRPr="007F665A" w:rsidRDefault="00D93D74">
            <w:pPr>
              <w:rPr>
                <w:lang w:val="nl-BE"/>
              </w:rPr>
            </w:pPr>
            <w:r w:rsidRPr="007F665A">
              <w:rPr>
                <w:b/>
                <w:bCs/>
                <w:lang w:val="nl-BE"/>
              </w:rPr>
              <w:t>Indirect costs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6DD24A38" w14:textId="77777777" w:rsidR="00D93D74" w:rsidRPr="007F665A" w:rsidRDefault="00D93D74">
            <w:pPr>
              <w:rPr>
                <w:lang w:val="nl-BE"/>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14:paraId="37763AC8" w14:textId="77777777" w:rsidR="00D93D74" w:rsidRPr="007F665A" w:rsidRDefault="00D93D74">
            <w:pPr>
              <w:rPr>
                <w:lang w:val="nl-BE"/>
              </w:rPr>
            </w:pPr>
          </w:p>
        </w:tc>
      </w:tr>
    </w:tbl>
    <w:p w14:paraId="1A21147F" w14:textId="77777777" w:rsidR="00D93D74" w:rsidRDefault="00D93D74" w:rsidP="00113E80"/>
    <w:p w14:paraId="7FF8E1B5" w14:textId="4EB89460" w:rsidR="00113E80" w:rsidRDefault="00113E80" w:rsidP="00113E80">
      <w:r>
        <w:t>&lt;ESMA_QUESTION_CSDC_53&gt;</w:t>
      </w:r>
    </w:p>
    <w:p w14:paraId="09F7E008" w14:textId="77777777" w:rsidR="00113E80" w:rsidRDefault="00113E80" w:rsidP="00113E80">
      <w:permStart w:id="857702025" w:edGrp="everyone"/>
      <w:r>
        <w:t>TYPE YOUR TEXT HERE</w:t>
      </w:r>
    </w:p>
    <w:permEnd w:id="857702025"/>
    <w:p w14:paraId="055A4F61" w14:textId="77777777" w:rsidR="00113E80" w:rsidRDefault="00113E80" w:rsidP="00113E80">
      <w:r>
        <w:t>&lt;ESMA_QUESTION_CSDC_53&gt;</w:t>
      </w:r>
    </w:p>
    <w:p w14:paraId="74A3DFC0" w14:textId="77777777" w:rsidR="00113E80" w:rsidRDefault="00113E80" w:rsidP="00113E80"/>
    <w:p w14:paraId="4DCBCCB3" w14:textId="77777777" w:rsidR="00113E80" w:rsidRDefault="00113E80" w:rsidP="00113E80"/>
    <w:p w14:paraId="56D9052B" w14:textId="0DD57D31" w:rsidR="00113E80" w:rsidRDefault="00113E80">
      <w:pPr>
        <w:spacing w:after="120" w:line="264" w:lineRule="auto"/>
        <w:jc w:val="left"/>
      </w:pPr>
      <w:r>
        <w:br w:type="page"/>
      </w:r>
    </w:p>
    <w:p w14:paraId="0FF3FA0F" w14:textId="77777777" w:rsidR="00E56436" w:rsidRDefault="00E56436" w:rsidP="00E56436"/>
    <w:p w14:paraId="002533F0" w14:textId="77777777" w:rsidR="00E56436" w:rsidRDefault="00E56436" w:rsidP="00E56436"/>
    <w:p w14:paraId="2E461F75" w14:textId="77777777" w:rsidR="00E56436" w:rsidRDefault="00E56436" w:rsidP="00E56436">
      <w:pPr>
        <w:pStyle w:val="Questionstyle"/>
        <w:spacing w:after="240" w:line="256" w:lineRule="auto"/>
        <w:ind w:left="851" w:hanging="851"/>
      </w:pPr>
    </w:p>
    <w:p w14:paraId="6C876C0D" w14:textId="77777777" w:rsidR="00E56436" w:rsidRDefault="00E56436" w:rsidP="00E56436"/>
    <w:p w14:paraId="5C13E2AD" w14:textId="4AB95E85" w:rsidR="00B356BE" w:rsidRDefault="00B356BE" w:rsidP="00B356BE"/>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23F6" w14:textId="77777777" w:rsidR="00236400" w:rsidRDefault="00236400" w:rsidP="007E7997">
      <w:pPr>
        <w:spacing w:line="240" w:lineRule="auto"/>
      </w:pPr>
      <w:r>
        <w:separator/>
      </w:r>
    </w:p>
  </w:endnote>
  <w:endnote w:type="continuationSeparator" w:id="0">
    <w:p w14:paraId="784BA621" w14:textId="77777777" w:rsidR="00236400" w:rsidRDefault="00236400" w:rsidP="007E7997">
      <w:pPr>
        <w:spacing w:line="240" w:lineRule="auto"/>
      </w:pPr>
      <w:r>
        <w:continuationSeparator/>
      </w:r>
    </w:p>
  </w:endnote>
  <w:endnote w:type="continuationNotice" w:id="1">
    <w:p w14:paraId="4227C195" w14:textId="77777777" w:rsidR="00236400" w:rsidRDefault="00236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dipa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3851" w14:textId="77777777" w:rsidR="00236400" w:rsidRDefault="00236400" w:rsidP="007E7997">
      <w:pPr>
        <w:spacing w:line="240" w:lineRule="auto"/>
      </w:pPr>
      <w:r>
        <w:separator/>
      </w:r>
    </w:p>
  </w:footnote>
  <w:footnote w:type="continuationSeparator" w:id="0">
    <w:p w14:paraId="5EED597D" w14:textId="77777777" w:rsidR="00236400" w:rsidRDefault="00236400" w:rsidP="007E7997">
      <w:pPr>
        <w:spacing w:line="240" w:lineRule="auto"/>
      </w:pPr>
      <w:r>
        <w:continuationSeparator/>
      </w:r>
    </w:p>
  </w:footnote>
  <w:footnote w:type="continuationNotice" w:id="1">
    <w:p w14:paraId="51CB7341" w14:textId="77777777" w:rsidR="00236400" w:rsidRDefault="002364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784A7CEE" w:rsidR="00D77369" w:rsidRPr="00DB2FD6" w:rsidRDefault="00D77369" w:rsidP="008858FE">
    <w:pPr>
      <w:pStyle w:val="Intestazione"/>
      <w:rPr>
        <w:bCs/>
        <w:caps/>
        <w:color w:val="FF0000" w:themeColor="accent6"/>
        <w:sz w:val="22"/>
        <w:highlight w:val="yellow"/>
      </w:rPr>
    </w:pPr>
    <w:r w:rsidRPr="00C008C4">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93D74">
      <w:t>13 February 2025</w:t>
    </w:r>
  </w:p>
  <w:p w14:paraId="10BD5565" w14:textId="7CEB269D" w:rsidR="008858FE" w:rsidRPr="000C70F0" w:rsidRDefault="00937390" w:rsidP="009C6AE0">
    <w:pPr>
      <w:jc w:val="right"/>
      <w:rPr>
        <w:sz w:val="16"/>
        <w:szCs w:val="16"/>
      </w:rPr>
    </w:pPr>
    <w:r w:rsidRPr="00937390">
      <w:rPr>
        <w:sz w:val="16"/>
        <w:szCs w:val="16"/>
      </w:rPr>
      <w:t>ESMA74-2119945925-2205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Intestazione"/>
    </w:pPr>
  </w:p>
  <w:p w14:paraId="76D78551" w14:textId="45227A06" w:rsidR="00AD0B10" w:rsidRDefault="00AD0B10" w:rsidP="00AD0B10">
    <w:pPr>
      <w:pStyle w:val="Intestazione"/>
    </w:pPr>
  </w:p>
  <w:p w14:paraId="56B00CEC" w14:textId="77777777" w:rsidR="00AD0B10" w:rsidRPr="0043139E" w:rsidRDefault="00AD0B10" w:rsidP="00AD0B10">
    <w:pPr>
      <w:pStyle w:val="Intestazione"/>
    </w:pPr>
  </w:p>
  <w:p w14:paraId="68227DE6" w14:textId="77777777" w:rsidR="00AD0B10" w:rsidRPr="0043139E" w:rsidRDefault="00AD0B10" w:rsidP="00AD0B10">
    <w:pPr>
      <w:pStyle w:val="Intestazione"/>
    </w:pPr>
  </w:p>
  <w:p w14:paraId="0E44DBD1" w14:textId="77777777" w:rsidR="00AD0B10" w:rsidRPr="0043139E" w:rsidRDefault="00AD0B10" w:rsidP="00AD0B10">
    <w:pPr>
      <w:pStyle w:val="Intestazion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Intestazione"/>
    </w:pPr>
  </w:p>
  <w:p w14:paraId="706EF268" w14:textId="77777777" w:rsidR="00AD0B10" w:rsidRPr="0043139E" w:rsidRDefault="00AD0B10" w:rsidP="00AD0B10">
    <w:pPr>
      <w:pStyle w:val="Intestazione"/>
    </w:pPr>
  </w:p>
  <w:p w14:paraId="6B568202" w14:textId="77777777" w:rsidR="00AD0B10" w:rsidRPr="0043139E" w:rsidRDefault="00AD0B10" w:rsidP="00AD0B10">
    <w:pPr>
      <w:pStyle w:val="Intestazione"/>
    </w:pPr>
  </w:p>
  <w:p w14:paraId="70C66BCD" w14:textId="77777777" w:rsidR="00AD0B10" w:rsidRPr="0043139E" w:rsidRDefault="00AD0B10" w:rsidP="00AD0B10">
    <w:pPr>
      <w:pStyle w:val="Intestazione"/>
    </w:pPr>
  </w:p>
  <w:p w14:paraId="07229907" w14:textId="77777777" w:rsidR="00AD0B10" w:rsidRPr="0043139E" w:rsidRDefault="00AD0B10" w:rsidP="00AD0B10">
    <w:pPr>
      <w:pStyle w:val="Intestazione"/>
    </w:pPr>
  </w:p>
  <w:p w14:paraId="55555744" w14:textId="77777777" w:rsidR="00AD0B10" w:rsidRPr="0043139E" w:rsidRDefault="00AD0B10" w:rsidP="00AD0B10">
    <w:pPr>
      <w:pStyle w:val="Intestazione"/>
    </w:pPr>
  </w:p>
  <w:p w14:paraId="4601AE9C" w14:textId="77777777" w:rsidR="00AD0B10" w:rsidRDefault="00AD0B10" w:rsidP="00AD0B10">
    <w:pPr>
      <w:pStyle w:val="Intestazione"/>
    </w:pPr>
  </w:p>
  <w:p w14:paraId="49946785" w14:textId="77777777" w:rsidR="00AD0B10" w:rsidRPr="0043139E" w:rsidRDefault="00AD0B10" w:rsidP="00AD0B10">
    <w:pPr>
      <w:pStyle w:val="Intestazione"/>
    </w:pPr>
  </w:p>
  <w:p w14:paraId="72BAD19F" w14:textId="77777777" w:rsidR="008858FE" w:rsidRPr="00AD0B10" w:rsidRDefault="008858FE" w:rsidP="00AD0B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71613"/>
    <w:multiLevelType w:val="hybridMultilevel"/>
    <w:tmpl w:val="1B0AD6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Paragrafoelenco"/>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9144F91"/>
    <w:multiLevelType w:val="hybridMultilevel"/>
    <w:tmpl w:val="4EAC6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D1101"/>
    <w:multiLevelType w:val="multilevel"/>
    <w:tmpl w:val="647663A2"/>
    <w:lvl w:ilvl="0">
      <w:start w:val="1"/>
      <w:numFmt w:val="decimal"/>
      <w:pStyle w:val="Titolo1"/>
      <w:lvlText w:val="%1"/>
      <w:lvlJc w:val="left"/>
      <w:pPr>
        <w:ind w:left="4686" w:hanging="432"/>
      </w:pPr>
    </w:lvl>
    <w:lvl w:ilvl="1">
      <w:start w:val="1"/>
      <w:numFmt w:val="decimal"/>
      <w:pStyle w:val="Titolo2"/>
      <w:lvlText w:val="%1.%2"/>
      <w:lvlJc w:val="left"/>
      <w:pPr>
        <w:ind w:left="8230"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3"/>
  </w:num>
  <w:num w:numId="2" w16cid:durableId="270287514">
    <w:abstractNumId w:val="5"/>
  </w:num>
  <w:num w:numId="3" w16cid:durableId="1675497260">
    <w:abstractNumId w:val="11"/>
  </w:num>
  <w:num w:numId="4" w16cid:durableId="1146706333">
    <w:abstractNumId w:val="4"/>
  </w:num>
  <w:num w:numId="5" w16cid:durableId="1502348752">
    <w:abstractNumId w:val="0"/>
  </w:num>
  <w:num w:numId="6" w16cid:durableId="1544101585">
    <w:abstractNumId w:val="6"/>
  </w:num>
  <w:num w:numId="7" w16cid:durableId="896626050">
    <w:abstractNumId w:val="14"/>
  </w:num>
  <w:num w:numId="8" w16cid:durableId="806780153">
    <w:abstractNumId w:val="3"/>
  </w:num>
  <w:num w:numId="9" w16cid:durableId="1677002603">
    <w:abstractNumId w:val="12"/>
  </w:num>
  <w:num w:numId="10" w16cid:durableId="22487393">
    <w:abstractNumId w:val="10"/>
  </w:num>
  <w:num w:numId="11" w16cid:durableId="270942799">
    <w:abstractNumId w:val="8"/>
  </w:num>
  <w:num w:numId="12" w16cid:durableId="10230698">
    <w:abstractNumId w:val="8"/>
    <w:lvlOverride w:ilvl="0">
      <w:startOverride w:val="1"/>
    </w:lvlOverride>
  </w:num>
  <w:num w:numId="13" w16cid:durableId="1914856611">
    <w:abstractNumId w:val="2"/>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81289039">
    <w:abstractNumId w:val="9"/>
  </w:num>
  <w:num w:numId="18" w16cid:durableId="124310136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F24"/>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6F0E"/>
    <w:rsid w:val="00097CBF"/>
    <w:rsid w:val="000A081E"/>
    <w:rsid w:val="000A0C5A"/>
    <w:rsid w:val="000A0FB7"/>
    <w:rsid w:val="000A10FD"/>
    <w:rsid w:val="000A1183"/>
    <w:rsid w:val="000A17B4"/>
    <w:rsid w:val="000A1DBC"/>
    <w:rsid w:val="000A1ED4"/>
    <w:rsid w:val="000A2058"/>
    <w:rsid w:val="000A2A7D"/>
    <w:rsid w:val="000A2CFA"/>
    <w:rsid w:val="000A2F1D"/>
    <w:rsid w:val="000A3326"/>
    <w:rsid w:val="000A35C8"/>
    <w:rsid w:val="000A3BC2"/>
    <w:rsid w:val="000A3CDE"/>
    <w:rsid w:val="000A4F06"/>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50"/>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4DCD"/>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055"/>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57EB"/>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3F91"/>
    <w:rsid w:val="0011403D"/>
    <w:rsid w:val="001141FB"/>
    <w:rsid w:val="001143E4"/>
    <w:rsid w:val="00114B49"/>
    <w:rsid w:val="00114ED5"/>
    <w:rsid w:val="00115648"/>
    <w:rsid w:val="00115DE1"/>
    <w:rsid w:val="00115EA1"/>
    <w:rsid w:val="0011604D"/>
    <w:rsid w:val="00116558"/>
    <w:rsid w:val="00116FEC"/>
    <w:rsid w:val="00117269"/>
    <w:rsid w:val="001174A8"/>
    <w:rsid w:val="00117CA3"/>
    <w:rsid w:val="00117E46"/>
    <w:rsid w:val="00117F2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305"/>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508"/>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69BB"/>
    <w:rsid w:val="001D7080"/>
    <w:rsid w:val="001D738A"/>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0FCD"/>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400"/>
    <w:rsid w:val="0023670D"/>
    <w:rsid w:val="002369AA"/>
    <w:rsid w:val="00236FCF"/>
    <w:rsid w:val="002374D3"/>
    <w:rsid w:val="00237B4D"/>
    <w:rsid w:val="00240412"/>
    <w:rsid w:val="0024051F"/>
    <w:rsid w:val="0024077E"/>
    <w:rsid w:val="00240AE3"/>
    <w:rsid w:val="00240ECE"/>
    <w:rsid w:val="00240FF8"/>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E27"/>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B60"/>
    <w:rsid w:val="00283FA7"/>
    <w:rsid w:val="00284BE9"/>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815"/>
    <w:rsid w:val="002E3EAA"/>
    <w:rsid w:val="002E401D"/>
    <w:rsid w:val="002E4311"/>
    <w:rsid w:val="002E43B9"/>
    <w:rsid w:val="002E5312"/>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47E39"/>
    <w:rsid w:val="00350CA1"/>
    <w:rsid w:val="00350D45"/>
    <w:rsid w:val="00350F2B"/>
    <w:rsid w:val="003510C9"/>
    <w:rsid w:val="00351757"/>
    <w:rsid w:val="00351995"/>
    <w:rsid w:val="003519DA"/>
    <w:rsid w:val="00351BE3"/>
    <w:rsid w:val="00351F26"/>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2B35"/>
    <w:rsid w:val="00383097"/>
    <w:rsid w:val="003831E2"/>
    <w:rsid w:val="00383A09"/>
    <w:rsid w:val="00383B87"/>
    <w:rsid w:val="00384C43"/>
    <w:rsid w:val="00385BC6"/>
    <w:rsid w:val="00385F5C"/>
    <w:rsid w:val="00387A6C"/>
    <w:rsid w:val="00390E7C"/>
    <w:rsid w:val="00391E8C"/>
    <w:rsid w:val="00391F23"/>
    <w:rsid w:val="003923A0"/>
    <w:rsid w:val="00392652"/>
    <w:rsid w:val="003929A1"/>
    <w:rsid w:val="00392A6B"/>
    <w:rsid w:val="00392DB6"/>
    <w:rsid w:val="00393554"/>
    <w:rsid w:val="0039365A"/>
    <w:rsid w:val="00393E2D"/>
    <w:rsid w:val="00393E2F"/>
    <w:rsid w:val="0039470E"/>
    <w:rsid w:val="00394E3A"/>
    <w:rsid w:val="00394F80"/>
    <w:rsid w:val="003950BB"/>
    <w:rsid w:val="00395540"/>
    <w:rsid w:val="0039572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20D"/>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3C1"/>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4E5"/>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345"/>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276"/>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280"/>
    <w:rsid w:val="005B08A7"/>
    <w:rsid w:val="005B11CF"/>
    <w:rsid w:val="005B12C1"/>
    <w:rsid w:val="005B1BB5"/>
    <w:rsid w:val="005B1D17"/>
    <w:rsid w:val="005B1E64"/>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55"/>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EAF"/>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715"/>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753"/>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227"/>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27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4D3"/>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6E4"/>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5E2"/>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90"/>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7E4"/>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863"/>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3EB"/>
    <w:rsid w:val="00A21B9F"/>
    <w:rsid w:val="00A221A4"/>
    <w:rsid w:val="00A2248D"/>
    <w:rsid w:val="00A232D6"/>
    <w:rsid w:val="00A234E3"/>
    <w:rsid w:val="00A2376B"/>
    <w:rsid w:val="00A238C8"/>
    <w:rsid w:val="00A250B4"/>
    <w:rsid w:val="00A25220"/>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AD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0C"/>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88"/>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4B7"/>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E5"/>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C1F"/>
    <w:rsid w:val="00B46EF0"/>
    <w:rsid w:val="00B47807"/>
    <w:rsid w:val="00B47C39"/>
    <w:rsid w:val="00B50534"/>
    <w:rsid w:val="00B507E1"/>
    <w:rsid w:val="00B50CC8"/>
    <w:rsid w:val="00B510B3"/>
    <w:rsid w:val="00B51722"/>
    <w:rsid w:val="00B51C6C"/>
    <w:rsid w:val="00B51D00"/>
    <w:rsid w:val="00B51ECC"/>
    <w:rsid w:val="00B52E10"/>
    <w:rsid w:val="00B55282"/>
    <w:rsid w:val="00B5534F"/>
    <w:rsid w:val="00B55ABB"/>
    <w:rsid w:val="00B55F41"/>
    <w:rsid w:val="00B561F9"/>
    <w:rsid w:val="00B56B6C"/>
    <w:rsid w:val="00B56C44"/>
    <w:rsid w:val="00B60E6D"/>
    <w:rsid w:val="00B60F50"/>
    <w:rsid w:val="00B6149B"/>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337"/>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2E8D"/>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BB8"/>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095"/>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3BE"/>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3D2E"/>
    <w:rsid w:val="00CA42B1"/>
    <w:rsid w:val="00CA49C0"/>
    <w:rsid w:val="00CA49CA"/>
    <w:rsid w:val="00CA49D4"/>
    <w:rsid w:val="00CA4B60"/>
    <w:rsid w:val="00CA4E75"/>
    <w:rsid w:val="00CA5589"/>
    <w:rsid w:val="00CA565A"/>
    <w:rsid w:val="00CA679E"/>
    <w:rsid w:val="00CA719F"/>
    <w:rsid w:val="00CA75B1"/>
    <w:rsid w:val="00CA76E3"/>
    <w:rsid w:val="00CA7F1A"/>
    <w:rsid w:val="00CB0120"/>
    <w:rsid w:val="00CB0198"/>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5DCF"/>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88B"/>
    <w:rsid w:val="00D03F84"/>
    <w:rsid w:val="00D04052"/>
    <w:rsid w:val="00D0426F"/>
    <w:rsid w:val="00D04358"/>
    <w:rsid w:val="00D04412"/>
    <w:rsid w:val="00D05051"/>
    <w:rsid w:val="00D0539D"/>
    <w:rsid w:val="00D060F3"/>
    <w:rsid w:val="00D06825"/>
    <w:rsid w:val="00D06CFF"/>
    <w:rsid w:val="00D06D3A"/>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6B0"/>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5E4"/>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6AF8"/>
    <w:rsid w:val="00D8734F"/>
    <w:rsid w:val="00D874FE"/>
    <w:rsid w:val="00D879BF"/>
    <w:rsid w:val="00D904E4"/>
    <w:rsid w:val="00D90B33"/>
    <w:rsid w:val="00D90C51"/>
    <w:rsid w:val="00D91799"/>
    <w:rsid w:val="00D918C4"/>
    <w:rsid w:val="00D91DC2"/>
    <w:rsid w:val="00D9216C"/>
    <w:rsid w:val="00D92701"/>
    <w:rsid w:val="00D931D3"/>
    <w:rsid w:val="00D93972"/>
    <w:rsid w:val="00D93D74"/>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6BDD"/>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190"/>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0D0C"/>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587"/>
    <w:rsid w:val="00DF0667"/>
    <w:rsid w:val="00DF0A66"/>
    <w:rsid w:val="00DF0B9A"/>
    <w:rsid w:val="00DF0DF7"/>
    <w:rsid w:val="00DF1706"/>
    <w:rsid w:val="00DF1982"/>
    <w:rsid w:val="00DF1A5D"/>
    <w:rsid w:val="00DF230E"/>
    <w:rsid w:val="00DF2F4A"/>
    <w:rsid w:val="00DF315D"/>
    <w:rsid w:val="00DF32CE"/>
    <w:rsid w:val="00DF3362"/>
    <w:rsid w:val="00DF3785"/>
    <w:rsid w:val="00DF37F2"/>
    <w:rsid w:val="00DF3A52"/>
    <w:rsid w:val="00DF4119"/>
    <w:rsid w:val="00DF45D3"/>
    <w:rsid w:val="00DF4AD3"/>
    <w:rsid w:val="00DF4DDD"/>
    <w:rsid w:val="00DF52AB"/>
    <w:rsid w:val="00DF53CC"/>
    <w:rsid w:val="00DF553E"/>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10E"/>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C8E"/>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816"/>
    <w:rsid w:val="00E425DC"/>
    <w:rsid w:val="00E42696"/>
    <w:rsid w:val="00E4287B"/>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436"/>
    <w:rsid w:val="00E5694C"/>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1B4"/>
    <w:rsid w:val="00EB432C"/>
    <w:rsid w:val="00EB469B"/>
    <w:rsid w:val="00EB4A63"/>
    <w:rsid w:val="00EB504F"/>
    <w:rsid w:val="00EB5275"/>
    <w:rsid w:val="00EB5599"/>
    <w:rsid w:val="00EB55B7"/>
    <w:rsid w:val="00EB6069"/>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5DD9"/>
    <w:rsid w:val="00EE5ED8"/>
    <w:rsid w:val="00EE5F75"/>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6432"/>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736"/>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19"/>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50D"/>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163EE27-2A53-4FDB-A999-D520649D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FD6"/>
    <w:pPr>
      <w:spacing w:after="250" w:line="276" w:lineRule="auto"/>
      <w:jc w:val="both"/>
    </w:pPr>
    <w:rPr>
      <w:color w:val="181818" w:themeColor="background1" w:themeShade="1A"/>
      <w:sz w:val="22"/>
      <w:lang w:val="en-GB"/>
    </w:rPr>
  </w:style>
  <w:style w:type="paragraph" w:styleId="Titolo1">
    <w:name w:val="heading 1"/>
    <w:basedOn w:val="Normale"/>
    <w:next w:val="Normale"/>
    <w:link w:val="Titolo1Carattere"/>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olo2">
    <w:name w:val="heading 2"/>
    <w:basedOn w:val="Normale"/>
    <w:next w:val="Normale"/>
    <w:link w:val="Titolo2Carattere"/>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olo3">
    <w:name w:val="heading 3"/>
    <w:basedOn w:val="Normale"/>
    <w:next w:val="Normale"/>
    <w:link w:val="Titolo3Carattere"/>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olo4">
    <w:name w:val="heading 4"/>
    <w:basedOn w:val="Normale"/>
    <w:next w:val="Normale"/>
    <w:link w:val="Titolo4Carattere"/>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olo6">
    <w:name w:val="heading 6"/>
    <w:basedOn w:val="Normale"/>
    <w:next w:val="Normale"/>
    <w:link w:val="Titolo6Carattere"/>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olo7">
    <w:name w:val="heading 7"/>
    <w:basedOn w:val="Normale"/>
    <w:next w:val="Normale"/>
    <w:link w:val="Titolo7Carattere"/>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olo8">
    <w:name w:val="heading 8"/>
    <w:basedOn w:val="Normale"/>
    <w:next w:val="Normale"/>
    <w:link w:val="Titolo8Carattere"/>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olo9">
    <w:name w:val="heading 9"/>
    <w:basedOn w:val="Normale"/>
    <w:next w:val="Normale"/>
    <w:link w:val="Titolo9Carattere"/>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olo3Carattere">
    <w:name w:val="Titolo 3 Carattere"/>
    <w:basedOn w:val="Carpredefinitoparagrafo"/>
    <w:link w:val="Tito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olo1Carattere">
    <w:name w:val="Titolo 1 Carattere"/>
    <w:basedOn w:val="Carpredefinitoparagrafo"/>
    <w:link w:val="Titolo1"/>
    <w:uiPriority w:val="9"/>
    <w:rsid w:val="0082744A"/>
    <w:rPr>
      <w:rFonts w:asciiTheme="majorHAnsi" w:eastAsiaTheme="majorEastAsia" w:hAnsiTheme="majorHAnsi" w:cstheme="majorBidi"/>
      <w:b/>
      <w:color w:val="00379F" w:themeColor="text1"/>
      <w:sz w:val="32"/>
      <w:szCs w:val="32"/>
      <w:lang w:val="en-GB"/>
    </w:rPr>
  </w:style>
  <w:style w:type="character" w:customStyle="1" w:styleId="Titolo2Carattere">
    <w:name w:val="Titolo 2 Carattere"/>
    <w:basedOn w:val="Carpredefinitoparagrafo"/>
    <w:link w:val="Tito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qFormat/>
    <w:rsid w:val="00F205B9"/>
    <w:pPr>
      <w:numPr>
        <w:numId w:val="0"/>
      </w:numPr>
      <w:ind w:left="792" w:hanging="432"/>
    </w:pPr>
    <w:rPr>
      <w:b/>
      <w:color w:val="00379F" w:themeColor="text1"/>
      <w:sz w:val="28"/>
    </w:rPr>
  </w:style>
  <w:style w:type="character" w:customStyle="1" w:styleId="Title1Char">
    <w:name w:val="Title 1 Char"/>
    <w:basedOn w:val="Carpredefinitoparagrafo"/>
    <w:link w:val="Title1"/>
    <w:rsid w:val="00F205B9"/>
    <w:rPr>
      <w:rFonts w:asciiTheme="majorHAnsi" w:hAnsiTheme="majorHAnsi" w:cstheme="majorHAnsi"/>
      <w:b/>
      <w:color w:val="00379F" w:themeColor="text1"/>
      <w:sz w:val="28"/>
      <w:szCs w:val="22"/>
      <w:lang w:val="pt-PT"/>
    </w:rPr>
  </w:style>
  <w:style w:type="paragraph" w:styleId="Paragrafoelenco">
    <w:name w:val="List Paragraph"/>
    <w:aliases w:val="Paragraphe EI,Paragraphe de liste1,EC"/>
    <w:basedOn w:val="Normale"/>
    <w:link w:val="ParagrafoelencoCarattere"/>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foelenco"/>
    <w:link w:val="Title3Char"/>
    <w:autoRedefine/>
    <w:rsid w:val="00F205B9"/>
    <w:pPr>
      <w:numPr>
        <w:ilvl w:val="3"/>
        <w:numId w:val="4"/>
      </w:numPr>
    </w:pPr>
  </w:style>
  <w:style w:type="character" w:customStyle="1" w:styleId="Title3Char">
    <w:name w:val="Title 3 Char"/>
    <w:basedOn w:val="Carpredefinitoparagrafo"/>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e"/>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Carpredefinitoparagrafo"/>
    <w:link w:val="DocumentTitle"/>
    <w:rsid w:val="00563C1F"/>
    <w:rPr>
      <w:rFonts w:asciiTheme="majorHAnsi" w:hAnsiTheme="majorHAnsi"/>
      <w:b/>
      <w:color w:val="2D4190"/>
      <w:sz w:val="48"/>
      <w:lang w:val="en-GB"/>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olo">
    <w:name w:val="Title"/>
    <w:basedOn w:val="Normale"/>
    <w:next w:val="Normale"/>
    <w:link w:val="TitoloCarattere"/>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oloCarattere">
    <w:name w:val="Titolo Carattere"/>
    <w:basedOn w:val="Carpredefinitoparagrafo"/>
    <w:link w:val="Tito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ottotitolo">
    <w:name w:val="Subtitle"/>
    <w:basedOn w:val="Normale"/>
    <w:next w:val="Normale"/>
    <w:link w:val="SottotitoloCarattere"/>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ttotitoloCarattere">
    <w:name w:val="Sottotitolo Carattere"/>
    <w:basedOn w:val="Carpredefinitoparagrafo"/>
    <w:link w:val="Sottotitolo"/>
    <w:uiPriority w:val="11"/>
    <w:rsid w:val="0082744A"/>
    <w:rPr>
      <w:rFonts w:asciiTheme="majorHAnsi" w:eastAsiaTheme="majorEastAsia" w:hAnsiTheme="majorHAnsi" w:cstheme="majorBidi"/>
      <w:sz w:val="28"/>
      <w:szCs w:val="24"/>
      <w:lang w:val="en-GB"/>
    </w:rPr>
  </w:style>
  <w:style w:type="character" w:customStyle="1" w:styleId="Titolo7Carattere">
    <w:name w:val="Titolo 7 Carattere"/>
    <w:basedOn w:val="Carpredefinitoparagrafo"/>
    <w:link w:val="Tito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olo8Carattere">
    <w:name w:val="Titolo 8 Carattere"/>
    <w:basedOn w:val="Carpredefinitoparagrafo"/>
    <w:link w:val="Tito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olo9Carattere">
    <w:name w:val="Titolo 9 Carattere"/>
    <w:basedOn w:val="Carpredefinitoparagrafo"/>
    <w:link w:val="Titolo9"/>
    <w:uiPriority w:val="9"/>
    <w:semiHidden/>
    <w:rsid w:val="00AA054E"/>
    <w:rPr>
      <w:rFonts w:asciiTheme="majorHAnsi" w:eastAsiaTheme="majorEastAsia" w:hAnsiTheme="majorHAnsi" w:cstheme="majorBidi"/>
      <w:b/>
      <w:bCs/>
      <w:i/>
      <w:iCs/>
      <w:color w:val="007EFF" w:themeColor="text2"/>
      <w:sz w:val="22"/>
      <w:lang w:val="en-GB"/>
    </w:rPr>
  </w:style>
  <w:style w:type="paragraph" w:styleId="Didascalia">
    <w:name w:val="caption"/>
    <w:basedOn w:val="Normale"/>
    <w:next w:val="Normale"/>
    <w:uiPriority w:val="35"/>
    <w:semiHidden/>
    <w:unhideWhenUsed/>
    <w:qFormat/>
    <w:rsid w:val="00AA054E"/>
    <w:pPr>
      <w:spacing w:line="240" w:lineRule="auto"/>
    </w:pPr>
    <w:rPr>
      <w:b/>
      <w:bCs/>
      <w:smallCaps/>
      <w:color w:val="1A69FF"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0055F7" w:themeColor="text1" w:themeTint="BF"/>
    </w:rPr>
  </w:style>
  <w:style w:type="character" w:customStyle="1" w:styleId="CitazioneCarattere">
    <w:name w:val="Citazione Carattere"/>
    <w:basedOn w:val="Carpredefinitoparagrafo"/>
    <w:link w:val="Citazione"/>
    <w:uiPriority w:val="29"/>
    <w:rsid w:val="00AA054E"/>
    <w:rPr>
      <w:i/>
      <w:iCs/>
      <w:color w:val="0055F7"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34009F" w:themeColor="accent1"/>
      <w:sz w:val="28"/>
      <w:szCs w:val="28"/>
    </w:rPr>
  </w:style>
  <w:style w:type="character" w:styleId="Enfasidelicata">
    <w:name w:val="Subtle Emphasis"/>
    <w:basedOn w:val="Carpredefinitoparagrafo"/>
    <w:uiPriority w:val="19"/>
    <w:qFormat/>
    <w:rsid w:val="00AA054E"/>
    <w:rPr>
      <w:i/>
      <w:iCs/>
      <w:color w:val="0055F7" w:themeColor="text1" w:themeTint="BF"/>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0055F7" w:themeColor="text1" w:themeTint="BF"/>
      <w:u w:val="single" w:color="4E8BF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F205B9"/>
    <w:pPr>
      <w:numPr>
        <w:numId w:val="0"/>
      </w:num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IntestazioneCarattere">
    <w:name w:val="Intestazione Carattere"/>
    <w:basedOn w:val="Carpredefinitoparagrafo"/>
    <w:link w:val="Intestazione"/>
    <w:rsid w:val="00AF6B1E"/>
    <w:rPr>
      <w:color w:val="001B4F" w:themeColor="text1" w:themeShade="80"/>
      <w:sz w:val="16"/>
      <w:lang w:val="en-GB"/>
    </w:rPr>
  </w:style>
  <w:style w:type="paragraph" w:styleId="Pidipagina">
    <w:name w:val="footer"/>
    <w:basedOn w:val="Normale"/>
    <w:link w:val="PidipaginaCarattere"/>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dipaginaCarattere">
    <w:name w:val="Piè di pagina Carattere"/>
    <w:basedOn w:val="Carpredefinitoparagrafo"/>
    <w:link w:val="Pidipagina"/>
    <w:uiPriority w:val="99"/>
    <w:rsid w:val="004E5FF8"/>
    <w:rPr>
      <w:color w:val="001B4F" w:themeColor="text1" w:themeShade="80"/>
      <w:sz w:val="16"/>
      <w:lang w:val="en-GB"/>
    </w:rPr>
  </w:style>
  <w:style w:type="paragraph" w:customStyle="1" w:styleId="00aPagenumber">
    <w:name w:val="00a_Page number"/>
    <w:basedOn w:val="Normale"/>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e"/>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ommario1">
    <w:name w:val="toc 1"/>
    <w:basedOn w:val="Normale"/>
    <w:next w:val="Normale"/>
    <w:uiPriority w:val="39"/>
    <w:unhideWhenUsed/>
    <w:qFormat/>
    <w:rsid w:val="00F205B9"/>
    <w:pPr>
      <w:framePr w:hSpace="180" w:wrap="around" w:vAnchor="text" w:hAnchor="margin" w:y="115"/>
      <w:tabs>
        <w:tab w:val="left" w:pos="440"/>
        <w:tab w:val="right" w:leader="dot" w:pos="9062"/>
      </w:tabs>
      <w:spacing w:after="100"/>
    </w:pPr>
  </w:style>
  <w:style w:type="paragraph" w:styleId="Sommario2">
    <w:name w:val="toc 2"/>
    <w:basedOn w:val="Sommario1"/>
    <w:next w:val="Normale"/>
    <w:uiPriority w:val="39"/>
    <w:unhideWhenUsed/>
    <w:qFormat/>
    <w:rsid w:val="00F205B9"/>
    <w:pPr>
      <w:framePr w:wrap="around"/>
      <w:tabs>
        <w:tab w:val="right" w:leader="dot" w:pos="440"/>
      </w:tabs>
      <w:ind w:left="220"/>
    </w:pPr>
  </w:style>
  <w:style w:type="paragraph" w:styleId="Sommario3">
    <w:name w:val="toc 3"/>
    <w:basedOn w:val="Sommario1"/>
    <w:next w:val="Normale"/>
    <w:uiPriority w:val="39"/>
    <w:unhideWhenUsed/>
    <w:qFormat/>
    <w:rsid w:val="00AD0B10"/>
    <w:pPr>
      <w:framePr w:wrap="around"/>
      <w:ind w:left="442"/>
    </w:pPr>
  </w:style>
  <w:style w:type="character" w:styleId="Collegamentoipertestuale">
    <w:name w:val="Hyperlink"/>
    <w:basedOn w:val="Carpredefinitoparagrafo"/>
    <w:uiPriority w:val="99"/>
    <w:unhideWhenUsed/>
    <w:qFormat/>
    <w:rsid w:val="000C1E78"/>
    <w:rPr>
      <w:color w:val="005EBF" w:themeColor="text2" w:themeShade="BF"/>
      <w:u w:val="single"/>
    </w:rPr>
  </w:style>
  <w:style w:type="paragraph" w:customStyle="1" w:styleId="Questionstyle">
    <w:name w:val="Question style"/>
    <w:basedOn w:val="Normale"/>
    <w:next w:val="Normale"/>
    <w:link w:val="QuestionstyleChar"/>
    <w:autoRedefine/>
    <w:qFormat/>
    <w:rsid w:val="00C5469A"/>
    <w:pPr>
      <w:tabs>
        <w:tab w:val="left" w:pos="567"/>
      </w:tabs>
      <w:ind w:hanging="360"/>
      <w:contextualSpacing/>
    </w:pPr>
    <w:rPr>
      <w:b/>
    </w:rPr>
  </w:style>
  <w:style w:type="character" w:customStyle="1" w:styleId="QuestionstyleChar">
    <w:name w:val="Question style Char"/>
    <w:basedOn w:val="Carpredefinitoparagrafo"/>
    <w:link w:val="Questionstyle"/>
    <w:rsid w:val="00C5469A"/>
    <w:rPr>
      <w:b/>
      <w:color w:val="181818" w:themeColor="background1" w:themeShade="1A"/>
      <w:sz w:val="22"/>
      <w:lang w:val="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7A1A9D"/>
    <w:pPr>
      <w:spacing w:after="0" w:line="240" w:lineRule="auto"/>
    </w:pPr>
    <w:rPr>
      <w:sz w:val="16"/>
    </w:rPr>
  </w:style>
  <w:style w:type="character" w:customStyle="1" w:styleId="TestonotaapidipaginaCarattere">
    <w:name w:val="Testo nota a piè di pagina Carattere"/>
    <w:basedOn w:val="Carpredefinitoparagrafo"/>
    <w:link w:val="Testonotaapidipagina"/>
    <w:uiPriority w:val="99"/>
    <w:rsid w:val="007A1A9D"/>
    <w:rPr>
      <w:color w:val="181818" w:themeColor="background1" w:themeShade="1A"/>
      <w:sz w:val="16"/>
      <w:lang w:val="en-GB"/>
    </w:rPr>
  </w:style>
  <w:style w:type="character" w:styleId="Rimandonotaapidipagina">
    <w:name w:val="footnote reference"/>
    <w:basedOn w:val="Carpredefinitoparagrafo"/>
    <w:uiPriority w:val="99"/>
    <w:semiHidden/>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qFormat/>
    <w:rsid w:val="00672C04"/>
    <w:pPr>
      <w:ind w:left="454" w:hanging="454"/>
    </w:pPr>
    <w:rPr>
      <w:lang w:val="nl-BE"/>
    </w:rPr>
  </w:style>
  <w:style w:type="character" w:customStyle="1" w:styleId="FootnoteChar">
    <w:name w:val="Footnote Char"/>
    <w:basedOn w:val="TestonotaapidipaginaCarattere"/>
    <w:link w:val="Footnote"/>
    <w:rsid w:val="00672C04"/>
    <w:rPr>
      <w:color w:val="181818" w:themeColor="background1" w:themeShade="1A"/>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stofumetto">
    <w:name w:val="Balloon Text"/>
    <w:basedOn w:val="Normale"/>
    <w:link w:val="TestofumettoCarattere"/>
    <w:uiPriority w:val="99"/>
    <w:semiHidden/>
    <w:unhideWhenUsed/>
    <w:rsid w:val="007151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51BF"/>
    <w:rPr>
      <w:rFonts w:ascii="Tahoma" w:hAnsi="Tahoma" w:cs="Tahoma"/>
      <w:sz w:val="16"/>
      <w:szCs w:val="16"/>
      <w:lang w:val="en-GB"/>
    </w:rPr>
  </w:style>
  <w:style w:type="paragraph" w:styleId="Sommario4">
    <w:name w:val="toc 4"/>
    <w:basedOn w:val="Sommario1"/>
    <w:next w:val="Normale"/>
    <w:uiPriority w:val="39"/>
    <w:unhideWhenUsed/>
    <w:qFormat/>
    <w:rsid w:val="00F205B9"/>
    <w:pPr>
      <w:framePr w:wrap="around"/>
      <w:ind w:left="660"/>
    </w:pPr>
  </w:style>
  <w:style w:type="character" w:styleId="Rimandocommento">
    <w:name w:val="annotation reference"/>
    <w:basedOn w:val="Carpredefinitoparagrafo"/>
    <w:uiPriority w:val="99"/>
    <w:semiHidden/>
    <w:unhideWhenUsed/>
    <w:rsid w:val="00D33C31"/>
    <w:rPr>
      <w:sz w:val="16"/>
      <w:szCs w:val="16"/>
    </w:rPr>
  </w:style>
  <w:style w:type="paragraph" w:styleId="Testocommento">
    <w:name w:val="annotation text"/>
    <w:basedOn w:val="Normale"/>
    <w:link w:val="TestocommentoCarattere"/>
    <w:uiPriority w:val="99"/>
    <w:unhideWhenUsed/>
    <w:rsid w:val="00D33C31"/>
    <w:pPr>
      <w:spacing w:line="240" w:lineRule="auto"/>
    </w:pPr>
    <w:rPr>
      <w:sz w:val="20"/>
    </w:rPr>
  </w:style>
  <w:style w:type="character" w:customStyle="1" w:styleId="TestocommentoCarattere">
    <w:name w:val="Testo commento Carattere"/>
    <w:basedOn w:val="Carpredefinitoparagrafo"/>
    <w:link w:val="Testocommento"/>
    <w:uiPriority w:val="99"/>
    <w:rsid w:val="00D33C31"/>
    <w:rPr>
      <w:lang w:val="en-GB"/>
    </w:rPr>
  </w:style>
  <w:style w:type="paragraph" w:styleId="Soggettocommento">
    <w:name w:val="annotation subject"/>
    <w:basedOn w:val="Testocommento"/>
    <w:next w:val="Testocommento"/>
    <w:link w:val="SoggettocommentoCarattere"/>
    <w:uiPriority w:val="99"/>
    <w:semiHidden/>
    <w:unhideWhenUsed/>
    <w:rsid w:val="00D33C31"/>
    <w:rPr>
      <w:b/>
      <w:bCs/>
    </w:rPr>
  </w:style>
  <w:style w:type="character" w:customStyle="1" w:styleId="SoggettocommentoCarattere">
    <w:name w:val="Soggetto commento Carattere"/>
    <w:basedOn w:val="TestocommentoCarattere"/>
    <w:link w:val="Soggettocommento"/>
    <w:uiPriority w:val="99"/>
    <w:semiHidden/>
    <w:rsid w:val="00D33C31"/>
    <w:rPr>
      <w:b/>
      <w:bCs/>
      <w:lang w:val="en-GB"/>
    </w:rPr>
  </w:style>
  <w:style w:type="character" w:styleId="Menzionenonrisolta">
    <w:name w:val="Unresolved Mention"/>
    <w:basedOn w:val="Carpredefinitoparagrafo"/>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Enfasigrassetto"/>
    <w:uiPriority w:val="1"/>
    <w:qFormat/>
    <w:rsid w:val="008858FE"/>
    <w:rPr>
      <w:b w:val="0"/>
      <w:bCs/>
      <w:caps/>
      <w:smallCaps w:val="0"/>
      <w:color w:val="FF0000" w:themeColor="accent6"/>
      <w:sz w:val="22"/>
    </w:rPr>
  </w:style>
  <w:style w:type="paragraph" w:customStyle="1" w:styleId="Disclaimer">
    <w:name w:val="Disclaimer"/>
    <w:basedOn w:val="Normale"/>
    <w:qFormat/>
    <w:rsid w:val="00906D18"/>
    <w:rPr>
      <w:i/>
      <w:iCs/>
      <w:sz w:val="18"/>
      <w:szCs w:val="18"/>
    </w:rPr>
  </w:style>
  <w:style w:type="paragraph" w:customStyle="1" w:styleId="ESMAHeader">
    <w:name w:val="ESMA Header"/>
    <w:basedOn w:val="Intestazione"/>
    <w:qFormat/>
    <w:rsid w:val="00AF6B1E"/>
  </w:style>
  <w:style w:type="paragraph" w:customStyle="1" w:styleId="Pageheader">
    <w:name w:val="Page header"/>
    <w:basedOn w:val="Intestazione"/>
    <w:next w:val="Intestazion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e"/>
    <w:qFormat/>
    <w:rsid w:val="00F205B9"/>
    <w:rPr>
      <w:rFonts w:ascii="Arial" w:eastAsia="Times New Roman" w:hAnsi="Arial" w:cs="Arial"/>
      <w:sz w:val="18"/>
      <w:szCs w:val="18"/>
      <w:lang w:eastAsia="de-DE"/>
    </w:rPr>
  </w:style>
  <w:style w:type="paragraph" w:styleId="Sommario5">
    <w:name w:val="toc 5"/>
    <w:basedOn w:val="Normale"/>
    <w:next w:val="Normale"/>
    <w:uiPriority w:val="39"/>
    <w:semiHidden/>
    <w:unhideWhenUsed/>
    <w:qFormat/>
    <w:rsid w:val="00F205B9"/>
    <w:pPr>
      <w:spacing w:after="100"/>
      <w:ind w:left="880"/>
    </w:pPr>
  </w:style>
  <w:style w:type="paragraph" w:styleId="Sommario6">
    <w:name w:val="toc 6"/>
    <w:basedOn w:val="Normale"/>
    <w:next w:val="Normale"/>
    <w:uiPriority w:val="39"/>
    <w:semiHidden/>
    <w:unhideWhenUsed/>
    <w:qFormat/>
    <w:rsid w:val="00F205B9"/>
    <w:pPr>
      <w:spacing w:after="100"/>
      <w:ind w:left="1100"/>
    </w:pPr>
  </w:style>
  <w:style w:type="paragraph" w:styleId="Sommario7">
    <w:name w:val="toc 7"/>
    <w:basedOn w:val="Normale"/>
    <w:next w:val="Normale"/>
    <w:uiPriority w:val="39"/>
    <w:semiHidden/>
    <w:unhideWhenUsed/>
    <w:qFormat/>
    <w:rsid w:val="00F205B9"/>
    <w:pPr>
      <w:spacing w:after="100"/>
      <w:ind w:left="1320"/>
    </w:pPr>
  </w:style>
  <w:style w:type="paragraph" w:styleId="Sommario8">
    <w:name w:val="toc 8"/>
    <w:basedOn w:val="Normale"/>
    <w:next w:val="Normale"/>
    <w:uiPriority w:val="39"/>
    <w:semiHidden/>
    <w:unhideWhenUsed/>
    <w:qFormat/>
    <w:rsid w:val="00F205B9"/>
    <w:pPr>
      <w:spacing w:after="100"/>
      <w:ind w:left="1540"/>
    </w:pPr>
  </w:style>
  <w:style w:type="paragraph" w:styleId="Sommario9">
    <w:name w:val="toc 9"/>
    <w:basedOn w:val="Normale"/>
    <w:next w:val="Normale"/>
    <w:uiPriority w:val="39"/>
    <w:semiHidden/>
    <w:unhideWhenUsed/>
    <w:qFormat/>
    <w:rsid w:val="00F205B9"/>
    <w:pPr>
      <w:spacing w:after="100"/>
      <w:ind w:left="1760"/>
    </w:pPr>
  </w:style>
  <w:style w:type="character" w:styleId="Collegamentovisitato">
    <w:name w:val="FollowedHyperlink"/>
    <w:basedOn w:val="Carpredefinitoparagrafo"/>
    <w:uiPriority w:val="99"/>
    <w:semiHidden/>
    <w:unhideWhenUsed/>
    <w:rsid w:val="0043139E"/>
    <w:rPr>
      <w:color w:val="0174AF" w:themeColor="followedHyperlink"/>
      <w:u w:val="single"/>
    </w:rPr>
  </w:style>
  <w:style w:type="character" w:customStyle="1" w:styleId="ParagrafoelencoCarattere">
    <w:name w:val="Paragrafo elenco Carattere"/>
    <w:aliases w:val="Paragraphe EI Carattere,Paragraphe de liste1 Carattere,EC Carattere"/>
    <w:link w:val="Paragrafoelenco"/>
    <w:uiPriority w:val="34"/>
    <w:locked/>
    <w:rsid w:val="00EC6066"/>
    <w:rPr>
      <w:rFonts w:asciiTheme="majorHAnsi" w:hAnsiTheme="majorHAnsi" w:cstheme="majorHAnsi"/>
      <w:color w:val="181818" w:themeColor="background1" w:themeShade="1A"/>
      <w:sz w:val="22"/>
      <w:szCs w:val="22"/>
      <w:lang w:val="pt-PT"/>
    </w:rPr>
  </w:style>
  <w:style w:type="paragraph" w:styleId="Revision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e"/>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Carpredefinitoparagrafo"/>
    <w:rsid w:val="00061F32"/>
    <w:rPr>
      <w:rFonts w:ascii="Segoe UI" w:hAnsi="Segoe UI" w:cs="Segoe UI" w:hint="default"/>
      <w:sz w:val="18"/>
      <w:szCs w:val="18"/>
    </w:rPr>
  </w:style>
  <w:style w:type="character" w:customStyle="1" w:styleId="cf11">
    <w:name w:val="cf11"/>
    <w:basedOn w:val="Carpredefinitoparagrafo"/>
    <w:rsid w:val="00061F32"/>
    <w:rPr>
      <w:rFonts w:ascii="Segoe UI" w:hAnsi="Segoe UI" w:cs="Segoe UI" w:hint="default"/>
      <w:color w:val="333333"/>
      <w:sz w:val="18"/>
      <w:szCs w:val="18"/>
      <w:shd w:val="clear" w:color="auto" w:fill="FFFFFF"/>
    </w:rPr>
  </w:style>
  <w:style w:type="character" w:styleId="Menzione">
    <w:name w:val="Mention"/>
    <w:basedOn w:val="Carpredefinitoparagrafo"/>
    <w:uiPriority w:val="99"/>
    <w:unhideWhenUsed/>
    <w:rsid w:val="00251F26"/>
    <w:rPr>
      <w:color w:val="2B579A"/>
      <w:shd w:val="clear" w:color="auto" w:fill="E1DFDD"/>
    </w:rPr>
  </w:style>
  <w:style w:type="character" w:styleId="Testosegnaposto">
    <w:name w:val="Placeholder Text"/>
    <w:basedOn w:val="Carpredefinitoparagrafo"/>
    <w:uiPriority w:val="99"/>
    <w:semiHidden/>
    <w:rsid w:val="00635BCA"/>
    <w:rPr>
      <w:color w:val="808080"/>
    </w:rPr>
  </w:style>
  <w:style w:type="paragraph" w:customStyle="1" w:styleId="para">
    <w:name w:val="para"/>
    <w:basedOn w:val="Paragrafoelenco"/>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Carpredefinitoparagrafo"/>
    <w:link w:val="para"/>
    <w:rsid w:val="00641F03"/>
    <w:rPr>
      <w:bCs/>
      <w:iCs/>
      <w:color w:val="181818" w:themeColor="background1" w:themeShade="1A"/>
      <w:sz w:val="22"/>
      <w:lang w:val="en-GB"/>
    </w:rPr>
  </w:style>
  <w:style w:type="character" w:customStyle="1" w:styleId="normaltextrun">
    <w:name w:val="normaltextrun"/>
    <w:basedOn w:val="Carpredefinitoparagrafo"/>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6954E6" w:rsidP="006954E6">
          <w:pPr>
            <w:pStyle w:val="BB304192735D4F2E9B95179F2819F853"/>
          </w:pPr>
          <w:r w:rsidRPr="00DA1A90">
            <w:rPr>
              <w:rStyle w:val="Testosegnaposto"/>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6954E6" w:rsidP="006954E6">
          <w:pPr>
            <w:pStyle w:val="01EE1C7859204274A669423EC64EE100"/>
          </w:pPr>
          <w:r w:rsidRPr="00DA1A90">
            <w:rPr>
              <w:rStyle w:val="Testosegnaposto"/>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6954E6" w:rsidP="006954E6">
          <w:pPr>
            <w:pStyle w:val="D404D71EE61B44F68217F5015889DA12"/>
          </w:pPr>
          <w:r w:rsidRPr="00DA1A90">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A4F06"/>
    <w:rsid w:val="000B5175"/>
    <w:rsid w:val="000C0B68"/>
    <w:rsid w:val="00113F91"/>
    <w:rsid w:val="0015768C"/>
    <w:rsid w:val="002536E7"/>
    <w:rsid w:val="00254E75"/>
    <w:rsid w:val="002C0FAB"/>
    <w:rsid w:val="0034145D"/>
    <w:rsid w:val="00372212"/>
    <w:rsid w:val="00395720"/>
    <w:rsid w:val="004E4CF9"/>
    <w:rsid w:val="005D66AB"/>
    <w:rsid w:val="006954E6"/>
    <w:rsid w:val="006D3543"/>
    <w:rsid w:val="00701E25"/>
    <w:rsid w:val="00813189"/>
    <w:rsid w:val="008222A0"/>
    <w:rsid w:val="00836D47"/>
    <w:rsid w:val="008A011D"/>
    <w:rsid w:val="009B6B9C"/>
    <w:rsid w:val="00B07345"/>
    <w:rsid w:val="00B22006"/>
    <w:rsid w:val="00B46CAE"/>
    <w:rsid w:val="00D52831"/>
    <w:rsid w:val="00DA3D50"/>
    <w:rsid w:val="00DC3796"/>
    <w:rsid w:val="00DC4211"/>
    <w:rsid w:val="00EB6069"/>
    <w:rsid w:val="00EE3D34"/>
    <w:rsid w:val="00F81463"/>
    <w:rsid w:val="00F93CBF"/>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954E6"/>
    <w:rPr>
      <w:color w:val="808080"/>
    </w:rPr>
  </w:style>
  <w:style w:type="paragraph" w:customStyle="1" w:styleId="BB304192735D4F2E9B95179F2819F853">
    <w:name w:val="BB304192735D4F2E9B95179F2819F853"/>
    <w:rsid w:val="006954E6"/>
    <w:rPr>
      <w:kern w:val="2"/>
      <w14:ligatures w14:val="standardContextual"/>
    </w:rPr>
  </w:style>
  <w:style w:type="paragraph" w:customStyle="1" w:styleId="01EE1C7859204274A669423EC64EE100">
    <w:name w:val="01EE1C7859204274A669423EC64EE100"/>
    <w:rsid w:val="006954E6"/>
    <w:rPr>
      <w:kern w:val="2"/>
      <w14:ligatures w14:val="standardContextual"/>
    </w:rPr>
  </w:style>
  <w:style w:type="paragraph" w:customStyle="1" w:styleId="D404D71EE61B44F68217F5015889DA12">
    <w:name w:val="D404D71EE61B44F68217F5015889DA12"/>
    <w:rsid w:val="006954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9" ma:contentTypeDescription="" ma:contentTypeScope="" ma:versionID="73f7c2da696fa3c22950bf70c14e5c8d">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0cc192deb419d8a7e5a7b4a0753f9c30"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307</Value>
      <Value>282</Value>
      <Value>9</Value>
      <Value>296</Value>
    </TaxCatchAll>
    <_dlc_DocId xmlns="d0fb0f98-34f9-4d57-9559-eb8efd17aa5e">ESMA74-2119945925-2205</_dlc_DocId>
    <_dlc_DocIdUrl xmlns="d0fb0f98-34f9-4d57-9559-eb8efd17aa5e">
      <Url>https://securitiesandmarketsauth.sharepoint.com/sites/sherpa-trdu/_layouts/15/DocIdRedir.aspx?ID=ESMA74-2119945925-2205</Url>
      <Description>ESMA74-2119945925-2205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D02FA012-DAE9-4B61-B234-F71824270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37</Pages>
  <Words>8898</Words>
  <Characters>50722</Characters>
  <Application>Microsoft Office Word</Application>
  <DocSecurity>8</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59501</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Angeloni David</cp:lastModifiedBy>
  <cp:revision>70</cp:revision>
  <cp:lastPrinted>2023-09-09T09:53:00Z</cp:lastPrinted>
  <dcterms:created xsi:type="dcterms:W3CDTF">2025-04-10T19:25:00Z</dcterms:created>
  <dcterms:modified xsi:type="dcterms:W3CDTF">2025-04-14T13:47:00Z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d63460df-cf6d-4797-8d07-76b1b5190631</vt:lpwstr>
  </property>
  <property fmtid="{D5CDD505-2E9C-101B-9397-08002B2CF9AE}" pid="8" name="Topic">
    <vt:lpwstr>296</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MediaServiceImageTags">
    <vt:lpwstr/>
  </property>
  <property fmtid="{D5CDD505-2E9C-101B-9397-08002B2CF9AE}" pid="15" name="SubTopic">
    <vt:lpwstr>307</vt:lpwstr>
  </property>
</Properties>
</file>