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3B41FE3C" w14:textId="77777777" w:rsidR="00D465F8" w:rsidRDefault="00D465F8" w:rsidP="00F72D28">
          <w:pPr>
            <w:pStyle w:val="Tytu"/>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ytu"/>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ytu"/>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ytu"/>
          </w:pPr>
          <w:r>
            <w:t xml:space="preserve">Reply </w:t>
          </w:r>
          <w:r w:rsidR="00DD03DC">
            <w:t>F</w:t>
          </w:r>
          <w:r>
            <w:t>orm</w:t>
          </w:r>
        </w:p>
        <w:p w14:paraId="031F2108" w14:textId="42AAFBB0" w:rsidR="007E7997" w:rsidRPr="00C01571" w:rsidRDefault="00113E80" w:rsidP="00D77369">
          <w:pPr>
            <w:pStyle w:val="Podtytu"/>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241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Podtytu"/>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Akapitzlist"/>
            <w:rPr>
              <w:lang w:val="en-GB"/>
            </w:rPr>
          </w:pPr>
          <w:r w:rsidRPr="00DB2FD6">
            <w:rPr>
              <w:lang w:val="en-GB"/>
            </w:rPr>
            <w:t>respond to the question stated;</w:t>
          </w:r>
        </w:p>
        <w:p w14:paraId="72FD40F6" w14:textId="77777777" w:rsidR="002533FC" w:rsidRPr="00DB2FD6" w:rsidRDefault="002533FC" w:rsidP="00EC6066">
          <w:pPr>
            <w:pStyle w:val="Akapitzlist"/>
            <w:rPr>
              <w:lang w:val="en-GB"/>
            </w:rPr>
          </w:pPr>
          <w:r w:rsidRPr="00DB2FD6">
            <w:rPr>
              <w:lang w:val="en-GB"/>
            </w:rPr>
            <w:t>indicate the specific question to which the comment relates;</w:t>
          </w:r>
        </w:p>
        <w:p w14:paraId="78B206B7" w14:textId="77777777" w:rsidR="002533FC" w:rsidRPr="00E13D25" w:rsidRDefault="002533FC" w:rsidP="00EC6066">
          <w:pPr>
            <w:pStyle w:val="Akapitzlist"/>
          </w:pPr>
          <w:r w:rsidRPr="00E13D25">
            <w:t>contain a clear rationale; and</w:t>
          </w:r>
        </w:p>
        <w:p w14:paraId="60B8834E" w14:textId="77777777" w:rsidR="002533FC" w:rsidRPr="00DB2FD6" w:rsidRDefault="002533FC" w:rsidP="00EC6066">
          <w:pPr>
            <w:pStyle w:val="Akapitzlist"/>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ipercze"/>
              </w:rPr>
              <w:t>www.esma.europa.eu</w:t>
            </w:r>
          </w:hyperlink>
          <w:r w:rsidRPr="005B6B12">
            <w:t xml:space="preserve"> under the heading ‘Your input - Consultations’. </w:t>
          </w:r>
        </w:p>
        <w:p w14:paraId="5E44C845" w14:textId="77777777" w:rsidR="00EC6066" w:rsidRPr="0026459D" w:rsidRDefault="00EC6066" w:rsidP="00EC6066">
          <w:pPr>
            <w:pStyle w:val="Podtytu"/>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ipercze"/>
              </w:rPr>
              <w:t>www.esma.europa.eu</w:t>
            </w:r>
          </w:hyperlink>
          <w:r w:rsidRPr="005B6B12">
            <w:t xml:space="preserve"> under the heading </w:t>
          </w:r>
          <w:r w:rsidRPr="00025A7F">
            <w:rPr>
              <w:rStyle w:val="Hipercze"/>
            </w:rPr>
            <w:t>‘</w:t>
          </w:r>
          <w:hyperlink r:id="rId17" w:history="1">
            <w:r>
              <w:rPr>
                <w:rStyle w:val="Hipercze"/>
              </w:rPr>
              <w:t>Data protection</w:t>
            </w:r>
          </w:hyperlink>
          <w:r>
            <w:rPr>
              <w:rStyle w:val="Hipercze"/>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Nagwek1"/>
        <w:rPr>
          <w:lang w:val="fr-BE"/>
        </w:rPr>
      </w:pPr>
      <w:r>
        <w:rPr>
          <w:lang w:val="fr-BE"/>
        </w:rPr>
        <w:lastRenderedPageBreak/>
        <w:t xml:space="preserve">General information about </w:t>
      </w:r>
      <w:r w:rsidRPr="00501EF4">
        <w:t>respondent</w:t>
      </w:r>
    </w:p>
    <w:tbl>
      <w:tblPr>
        <w:tblStyle w:val="Tabela-Siatka"/>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EndPr/>
          <w:sdtContent>
            <w:tc>
              <w:tcPr>
                <w:tcW w:w="4531" w:type="dxa"/>
              </w:tcPr>
              <w:p w14:paraId="5C8A6928" w14:textId="2FF8E60D" w:rsidR="00E40D2C" w:rsidRPr="00557BD2" w:rsidRDefault="004B0372" w:rsidP="00743CD9">
                <w:r w:rsidRPr="004B0372">
                  <w:t>The Polish Bank Association</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22ECE1B6" w14:textId="11429D8B" w:rsidR="00E40D2C" w:rsidRDefault="004B0372" w:rsidP="00743CD9">
                <w:r>
                  <w:t>Credit institution</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permStart w:id="996560612" w:edGrp="everyone" w:displacedByCustomXml="prev"/>
            <w:tc>
              <w:tcPr>
                <w:tcW w:w="4531" w:type="dxa"/>
              </w:tcPr>
              <w:p w14:paraId="7AB9C082" w14:textId="177DD6D6" w:rsidR="00E40D2C" w:rsidRDefault="004B0372"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22924511" w:edGrp="everyone" w:displacedByCustomXml="prev"/>
            <w:tc>
              <w:tcPr>
                <w:tcW w:w="4531" w:type="dxa"/>
              </w:tcPr>
              <w:p w14:paraId="5BB12D35" w14:textId="26A33C01" w:rsidR="00E40D2C" w:rsidRPr="00557BD2" w:rsidRDefault="004B0372" w:rsidP="00743CD9">
                <w:r>
                  <w:t>Poland</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Nagwek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lastRenderedPageBreak/>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084BC187" w14:textId="51E0C45C" w:rsidR="001A127C" w:rsidRPr="001A127C" w:rsidRDefault="001A127C" w:rsidP="00113E80">
      <w:permStart w:id="495002546" w:edGrp="everyone"/>
      <w:r w:rsidRPr="001A127C">
        <w:t>We believe that the EU should follow a similar</w:t>
      </w:r>
      <w:r>
        <w:t xml:space="preserve"> approach</w:t>
      </w:r>
      <w:r w:rsidRPr="001A127C">
        <w:t xml:space="preserve"> </w:t>
      </w:r>
      <w:r>
        <w:t>as</w:t>
      </w:r>
      <w:r w:rsidRPr="001A127C">
        <w:t xml:space="preserve"> other markets </w:t>
      </w:r>
      <w:r>
        <w:t>(UK, US)</w:t>
      </w:r>
      <w:r w:rsidR="00E4191E">
        <w:t xml:space="preserve"> with unified deadline  by the end of the day</w:t>
      </w:r>
      <w:r>
        <w:t>.</w:t>
      </w:r>
    </w:p>
    <w:permEnd w:id="495002546"/>
    <w:p w14:paraId="4CCCDD62" w14:textId="55390A44" w:rsidR="00113E80" w:rsidRDefault="00113E80" w:rsidP="00113E80">
      <w:r>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t>&lt;ESMA_QUESTION_CSDC_2&gt;</w:t>
      </w:r>
    </w:p>
    <w:p w14:paraId="4138C2AE" w14:textId="03A765F6" w:rsidR="001A127C" w:rsidRPr="001A127C" w:rsidRDefault="001A127C" w:rsidP="00113E80">
      <w:permStart w:id="212869392" w:edGrp="everyone"/>
      <w:r w:rsidRPr="001A127C">
        <w:t>Additional requirement in CSDR is not necessary.</w:t>
      </w:r>
    </w:p>
    <w:permEnd w:id="212869392"/>
    <w:p w14:paraId="26E3DD7C" w14:textId="1FC770A2" w:rsidR="00113E80" w:rsidRDefault="00113E80" w:rsidP="00113E80">
      <w:r>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4CA0975D" w14:textId="77777777" w:rsidR="00D82ADE" w:rsidRDefault="00D82ADE" w:rsidP="00D82ADE">
      <w:permStart w:id="633560411" w:edGrp="everyone"/>
      <w:r>
        <w:t>TYPE YOUR TEXT HERE</w:t>
      </w:r>
    </w:p>
    <w:permEnd w:id="633560411"/>
    <w:p w14:paraId="02D5EFA9" w14:textId="77777777" w:rsidR="00113E80" w:rsidRDefault="00113E80" w:rsidP="00113E80">
      <w:r>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Should CDR 2018/1229 further specify the term ‘close of business’ for the purpose of Article 2(2)? If yes, how should this take into account the business day at CSD level?</w:t>
      </w:r>
    </w:p>
    <w:p w14:paraId="62CCDF3B" w14:textId="77777777" w:rsidR="00113E80" w:rsidRDefault="00113E80" w:rsidP="00113E80">
      <w:r>
        <w:t>&lt;ESMA_QUESTION_CSDC_4&gt;</w:t>
      </w:r>
    </w:p>
    <w:p w14:paraId="689CD504" w14:textId="1621C08D" w:rsidR="00113E80" w:rsidRDefault="001A127C" w:rsidP="00113E80">
      <w:permStart w:id="953572439" w:edGrp="everyone"/>
      <w:r>
        <w:t xml:space="preserve">Taking into account number of markets and their specificities we believe this should not be defined as </w:t>
      </w:r>
      <w:r w:rsidR="00E4191E">
        <w:t>it</w:t>
      </w:r>
      <w:r>
        <w:t xml:space="preserve"> may lead to additional complexities.</w:t>
      </w:r>
    </w:p>
    <w:permEnd w:id="953572439"/>
    <w:p w14:paraId="63A4DA96" w14:textId="77777777" w:rsidR="00113E80" w:rsidRDefault="00113E80" w:rsidP="00113E80">
      <w:r>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2EF677ED" w14:textId="45881312" w:rsidR="00113E80" w:rsidRDefault="001A127C" w:rsidP="00113E80">
      <w:permStart w:id="2044342554" w:edGrp="everyone"/>
      <w:r>
        <w:t>Submitting an instruction after the proposed deadline can still lead to proper settlement (last settlement batch in Poland is at 15:30 CET), hence such alignment brings no value added.</w:t>
      </w:r>
    </w:p>
    <w:permEnd w:id="2044342554"/>
    <w:p w14:paraId="40638694" w14:textId="77777777"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0D61F69D" w14:textId="77777777" w:rsidR="00113E80" w:rsidRDefault="00113E80" w:rsidP="00113E80">
      <w:r>
        <w:t>&lt;ESMA_QUESTION_CSDC_6&gt;</w:t>
      </w:r>
    </w:p>
    <w:p w14:paraId="518D1E75" w14:textId="77777777" w:rsidR="00D82ADE" w:rsidRDefault="00D82ADE" w:rsidP="00D82ADE">
      <w:permStart w:id="1632175159" w:edGrp="everyone"/>
      <w:r>
        <w:t>TYPE YOUR TEXT HERE</w:t>
      </w:r>
    </w:p>
    <w:permEnd w:id="1632175159"/>
    <w:p w14:paraId="3722C31D" w14:textId="77777777"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t>Do you agree to make the use of electronic and machine-readable format that allow for STP mandatory for written allocations?</w:t>
      </w:r>
    </w:p>
    <w:p w14:paraId="63B2FF30" w14:textId="77777777" w:rsidR="00113E80" w:rsidRDefault="00113E80" w:rsidP="00113E80">
      <w:r>
        <w:lastRenderedPageBreak/>
        <w:t>&lt;ESMA_QUESTION_CSDC_7&gt;</w:t>
      </w:r>
    </w:p>
    <w:p w14:paraId="490BEFEB" w14:textId="77777777" w:rsidR="00E4191E" w:rsidRDefault="009D7AC9" w:rsidP="00113E80">
      <w:permStart w:id="710046495" w:edGrp="everyone"/>
      <w:r>
        <w:t xml:space="preserve">We support mandatory use of electronic and machine-readable formats that allow STP and do not require human intervention processing. </w:t>
      </w:r>
    </w:p>
    <w:permEnd w:id="710046495"/>
    <w:p w14:paraId="1E8BB4E4" w14:textId="121BA169"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57B77AFE" w14:textId="4152016B" w:rsidR="00113E80" w:rsidRDefault="009D7AC9" w:rsidP="00113E80">
      <w:permStart w:id="1760119091" w:edGrp="everyone"/>
      <w:r>
        <w:t>With shorter timeframe for instruction processing introducing additional deadline for non-STP process would not be manageable.</w:t>
      </w:r>
    </w:p>
    <w:permEnd w:id="1760119091"/>
    <w:p w14:paraId="34F6524B" w14:textId="77777777"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t>Please provide quantitative evidence regarding the use of non-machine readable formats for written allocations and confirmations.</w:t>
      </w:r>
    </w:p>
    <w:p w14:paraId="7616CC2F" w14:textId="77777777" w:rsidR="00113E80" w:rsidRDefault="00113E80" w:rsidP="00113E80">
      <w:r>
        <w:t>&lt;ESMA_QUESTION_CSDC_9&gt;</w:t>
      </w:r>
    </w:p>
    <w:p w14:paraId="25FB9D2B" w14:textId="77777777" w:rsidR="00D82ADE" w:rsidRDefault="00D82ADE" w:rsidP="00D82ADE">
      <w:permStart w:id="310472498" w:edGrp="everyone"/>
      <w:r>
        <w:t>TYPE YOUR TEXT HERE</w:t>
      </w:r>
    </w:p>
    <w:permEnd w:id="310472498"/>
    <w:p w14:paraId="286A443C" w14:textId="77777777"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5ACF2AED" w14:textId="0E57312E" w:rsidR="00113E80" w:rsidRDefault="009D7AC9" w:rsidP="00113E80">
      <w:permStart w:id="2082210732" w:edGrp="everyone"/>
      <w:r>
        <w:t>Post-trade processing is almost fully automated, hence no.</w:t>
      </w:r>
    </w:p>
    <w:permEnd w:id="2082210732"/>
    <w:p w14:paraId="58AEA674" w14:textId="77777777"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r>
        <w:t xml:space="preserve"> </w:t>
      </w:r>
    </w:p>
    <w:p w14:paraId="30491CEE" w14:textId="77777777" w:rsidR="00113E80" w:rsidRDefault="00113E80" w:rsidP="00113E80">
      <w:r>
        <w:t>&lt;ESMA_QUESTION_CSDC_11&gt;</w:t>
      </w:r>
    </w:p>
    <w:p w14:paraId="50FB8AD7" w14:textId="77777777" w:rsidR="00D82ADE" w:rsidRDefault="00D82ADE" w:rsidP="00D82ADE">
      <w:permStart w:id="121250484" w:edGrp="everyone"/>
      <w:r>
        <w:t>TYPE YOUR TEXT HERE</w:t>
      </w:r>
    </w:p>
    <w:permEnd w:id="121250484"/>
    <w:p w14:paraId="745B030D" w14:textId="77777777" w:rsidR="00113E80" w:rsidRDefault="00113E80" w:rsidP="00113E80">
      <w:r>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093421E3" w14:textId="07235734" w:rsidR="009D7AC9" w:rsidRPr="009D7AC9" w:rsidRDefault="009D7AC9" w:rsidP="00113E80">
      <w:permStart w:id="1944546360" w:edGrp="everyone"/>
      <w:r w:rsidRPr="009D7AC9">
        <w:t xml:space="preserve">Priority should be given to the transition to T+1, hence the requirements should not disrupt any existing efficient solutions that </w:t>
      </w:r>
      <w:r>
        <w:t>are already in place. Such mandatory change could place additional burden on some market participants.</w:t>
      </w:r>
    </w:p>
    <w:permEnd w:id="1944546360"/>
    <w:p w14:paraId="60F41B74" w14:textId="6E6A9071"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14054D82" w14:textId="77777777" w:rsidR="00113E80" w:rsidRDefault="00113E80" w:rsidP="00113E80">
      <w:r>
        <w:t>&lt;ESMA_QUESTION_CSDC_13&gt;</w:t>
      </w:r>
    </w:p>
    <w:p w14:paraId="2A7B2D66" w14:textId="38ECF906" w:rsidR="00113E80" w:rsidRDefault="0095725D" w:rsidP="00113E80">
      <w:pPr>
        <w:rPr>
          <w:lang w:val="en-US"/>
        </w:rPr>
      </w:pPr>
      <w:permStart w:id="368068282" w:edGrp="everyone"/>
      <w:r>
        <w:t>I</w:t>
      </w:r>
      <w:r w:rsidR="009D7AC9">
        <w:t xml:space="preserve">ntroducing mandatory </w:t>
      </w:r>
      <w:r>
        <w:t xml:space="preserve">ISO20022 </w:t>
      </w:r>
      <w:r w:rsidR="009D7AC9">
        <w:t>standard is not a priority</w:t>
      </w:r>
      <w:r>
        <w:t xml:space="preserve"> at the moment. </w:t>
      </w:r>
      <w:r w:rsidRPr="0095725D">
        <w:rPr>
          <w:lang w:val="en-US"/>
        </w:rPr>
        <w:t>Market participants effectively communicate using IS</w:t>
      </w:r>
      <w:r>
        <w:rPr>
          <w:lang w:val="en-US"/>
        </w:rPr>
        <w:t xml:space="preserve">O15022, XML messaging, hence it will not facilitate the upcoming move to T+1 and will put additional implementation effort on them. It is crucial to </w:t>
      </w:r>
      <w:r>
        <w:t>work on standardisation of key data fields that need to be exchanged (more specifically the ones that lead to instruction mismatch), such as SSI.</w:t>
      </w:r>
    </w:p>
    <w:p w14:paraId="741FEAC2" w14:textId="0C6CA6B4" w:rsidR="0095725D" w:rsidRPr="0095725D" w:rsidRDefault="0095725D" w:rsidP="00113E80">
      <w:pPr>
        <w:rPr>
          <w:lang w:val="en-US"/>
        </w:rPr>
      </w:pPr>
      <w:r w:rsidRPr="0095725D">
        <w:rPr>
          <w:lang w:val="en-US"/>
        </w:rPr>
        <w:lastRenderedPageBreak/>
        <w:t xml:space="preserve">Given the </w:t>
      </w:r>
      <w:r>
        <w:rPr>
          <w:lang w:val="en-US"/>
        </w:rPr>
        <w:t xml:space="preserve">complexity of migration towards ISO20022 the timeframe is hard to estimate, however such project should only be launched once </w:t>
      </w:r>
      <w:r w:rsidR="00DC6ABB">
        <w:rPr>
          <w:lang w:val="en-US"/>
        </w:rPr>
        <w:t xml:space="preserve">any </w:t>
      </w:r>
      <w:r>
        <w:rPr>
          <w:lang w:val="en-US"/>
        </w:rPr>
        <w:t xml:space="preserve">development backlog is </w:t>
      </w:r>
      <w:r w:rsidR="00DC6ABB">
        <w:rPr>
          <w:lang w:val="en-US"/>
        </w:rPr>
        <w:t>delivered by software vendors</w:t>
      </w:r>
      <w:r>
        <w:rPr>
          <w:lang w:val="en-US"/>
        </w:rPr>
        <w:t xml:space="preserve"> (T+1 introduction might put other projects on hold).</w:t>
      </w:r>
    </w:p>
    <w:permEnd w:id="368068282"/>
    <w:p w14:paraId="52896C3C" w14:textId="77777777"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t>&lt;ESMA_QUESTION_CSDC_14&gt;</w:t>
      </w:r>
    </w:p>
    <w:p w14:paraId="7FD66BA8" w14:textId="77777777" w:rsidR="00D82ADE" w:rsidRDefault="00D82ADE" w:rsidP="00D82ADE">
      <w:permStart w:id="1359430245" w:edGrp="everyone"/>
      <w:r>
        <w:t>TYPE YOUR TEXT HERE</w:t>
      </w:r>
    </w:p>
    <w:permEnd w:id="1359430245"/>
    <w:p w14:paraId="7CC9348F" w14:textId="77777777" w:rsidR="00113E80" w:rsidRDefault="00113E80" w:rsidP="00113E80">
      <w:r>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40D04BB3" w14:textId="77777777" w:rsidR="00113E80" w:rsidRDefault="00113E80" w:rsidP="00113E80">
      <w:r>
        <w:t>&lt;ESMA_QUESTION_CSDC_15&gt;</w:t>
      </w:r>
    </w:p>
    <w:p w14:paraId="11F4DC22" w14:textId="557C7B38" w:rsidR="00113E80" w:rsidRDefault="0095725D" w:rsidP="00113E80">
      <w:permStart w:id="145703960" w:edGrp="everyone"/>
      <w:r>
        <w:t>We support this proposal.</w:t>
      </w:r>
    </w:p>
    <w:permEnd w:id="145703960"/>
    <w:p w14:paraId="79ADD07A" w14:textId="77777777"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t>&lt;ESMA_QUESTION_CSDC_16&gt;</w:t>
      </w:r>
    </w:p>
    <w:p w14:paraId="6861D475" w14:textId="77777777" w:rsidR="00D82ADE" w:rsidRDefault="00D82ADE" w:rsidP="00D82ADE">
      <w:permStart w:id="1663978526" w:edGrp="everyone"/>
      <w:r>
        <w:t>TYPE YOUR TEXT HERE</w:t>
      </w:r>
    </w:p>
    <w:permEnd w:id="1663978526"/>
    <w:p w14:paraId="6AFF20B1" w14:textId="77777777" w:rsidR="00113E80" w:rsidRDefault="00113E80" w:rsidP="00113E80">
      <w:r>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t>&lt;ESMA_QUESTION_CSDC_17&gt;</w:t>
      </w:r>
    </w:p>
    <w:p w14:paraId="0502D66B" w14:textId="50AC55B8" w:rsidR="00113E80" w:rsidRDefault="0095725D" w:rsidP="00113E80">
      <w:permStart w:id="1657810091" w:edGrp="everyone"/>
      <w:r>
        <w:t xml:space="preserve">We believe </w:t>
      </w:r>
      <w:r w:rsidR="00C67B8E">
        <w:t>this should be achieve through market best practices, rather than a regulation. In the long run, electronic SSI repository</w:t>
      </w:r>
      <w:r w:rsidR="00DC6ABB">
        <w:t xml:space="preserve"> or interoperable SSI repositories (with harmonized taxonomy)</w:t>
      </w:r>
      <w:r w:rsidR="00C67B8E">
        <w:t xml:space="preserve"> seem to be the most effective solution.</w:t>
      </w:r>
    </w:p>
    <w:permEnd w:id="1657810091"/>
    <w:p w14:paraId="58E885CF" w14:textId="77777777"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2E441683" w14:textId="77777777" w:rsidR="00113E80" w:rsidRDefault="00113E80" w:rsidP="00113E80">
      <w:r>
        <w:t>&lt;ESMA_QUESTION_CSDC_18&gt;</w:t>
      </w:r>
    </w:p>
    <w:p w14:paraId="25AD9B64" w14:textId="77777777" w:rsidR="00D82ADE" w:rsidRDefault="00D82ADE" w:rsidP="00D82ADE">
      <w:permStart w:id="693599968" w:edGrp="everyone"/>
      <w:r>
        <w:t>TYPE YOUR TEXT HERE</w:t>
      </w:r>
    </w:p>
    <w:permEnd w:id="693599968"/>
    <w:p w14:paraId="499765DE" w14:textId="77777777" w:rsidR="00113E80" w:rsidRDefault="00113E80" w:rsidP="00113E80">
      <w:r>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t>&lt;ESMA_QUESTION_CSDC_19&gt;</w:t>
      </w:r>
    </w:p>
    <w:p w14:paraId="3FD709E8" w14:textId="1385A7C1" w:rsidR="00C67B8E" w:rsidRDefault="00C67B8E" w:rsidP="00113E80">
      <w:permStart w:id="628694048" w:edGrp="everyone"/>
      <w:r>
        <w:t xml:space="preserve">At present partial settlement is obligatory for CCP transactions and optional for OTC ones. Due to this fact number of partials is sufficiently lower for the latter. Aligning this process and introducing obligatory partial settlement with a pre-defined threshold at the level of CSD will increase efficiency and timely settlement of transactions, providing a uniform </w:t>
      </w:r>
      <w:r w:rsidR="00DC6ABB">
        <w:t xml:space="preserve">approach </w:t>
      </w:r>
      <w:r>
        <w:t>across the settlement chain.</w:t>
      </w:r>
    </w:p>
    <w:p w14:paraId="6F9C27CC" w14:textId="5A354AD1" w:rsidR="00F82792" w:rsidRPr="00F82792" w:rsidRDefault="00F82792" w:rsidP="00113E80">
      <w:pPr>
        <w:rPr>
          <w:lang w:val="en-US"/>
        </w:rPr>
      </w:pPr>
      <w:r>
        <w:rPr>
          <w:lang w:val="en-US"/>
        </w:rPr>
        <w:lastRenderedPageBreak/>
        <w:t xml:space="preserve">Potential </w:t>
      </w:r>
      <w:r w:rsidR="00E27778">
        <w:rPr>
          <w:lang w:val="en-US"/>
        </w:rPr>
        <w:t>‘</w:t>
      </w:r>
      <w:r w:rsidRPr="00F82792">
        <w:rPr>
          <w:lang w:val="en-US"/>
        </w:rPr>
        <w:t>NPAR</w:t>
      </w:r>
      <w:r w:rsidR="00E27778">
        <w:rPr>
          <w:lang w:val="en-US"/>
        </w:rPr>
        <w:t>’ flag</w:t>
      </w:r>
      <w:r w:rsidRPr="00F82792">
        <w:rPr>
          <w:lang w:val="en-US"/>
        </w:rPr>
        <w:t xml:space="preserve"> usage for bo</w:t>
      </w:r>
      <w:r>
        <w:rPr>
          <w:lang w:val="en-US"/>
        </w:rPr>
        <w:t xml:space="preserve">th sides of transaction </w:t>
      </w:r>
      <w:r w:rsidR="00267EFB">
        <w:rPr>
          <w:lang w:val="en-US"/>
        </w:rPr>
        <w:t>should</w:t>
      </w:r>
      <w:r>
        <w:rPr>
          <w:lang w:val="en-US"/>
        </w:rPr>
        <w:t xml:space="preserve"> be further discussed</w:t>
      </w:r>
      <w:r w:rsidR="00E27778">
        <w:rPr>
          <w:lang w:val="en-US"/>
        </w:rPr>
        <w:t>, however this should not lead to partial settlement indicator flag becoming a matching criterion</w:t>
      </w:r>
      <w:r>
        <w:rPr>
          <w:lang w:val="en-US"/>
        </w:rPr>
        <w:t>.</w:t>
      </w:r>
    </w:p>
    <w:permEnd w:id="628694048"/>
    <w:p w14:paraId="47C78033" w14:textId="77777777" w:rsidR="00113E80" w:rsidRDefault="00113E80" w:rsidP="00113E80">
      <w:r>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3825A92C" w14:textId="37AB3124" w:rsidR="00113E80" w:rsidRDefault="00C67B8E" w:rsidP="00113E80">
      <w:permStart w:id="272843166" w:edGrp="everyone"/>
      <w:r>
        <w:t>We support this change.</w:t>
      </w:r>
    </w:p>
    <w:permEnd w:id="272843166"/>
    <w:p w14:paraId="17D7BC3A" w14:textId="77777777"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t>Do you have other suggestions to incentivise partial settlement? If yes, please elaborate.</w:t>
      </w:r>
    </w:p>
    <w:p w14:paraId="4E4F0DBD" w14:textId="77777777" w:rsidR="00113E80" w:rsidRDefault="00113E80" w:rsidP="00113E80">
      <w:r>
        <w:t>&lt;ESMA_QUESTION_CSDC_21&gt;</w:t>
      </w:r>
    </w:p>
    <w:p w14:paraId="49CEEDF7" w14:textId="0F2F605D" w:rsidR="00113E80" w:rsidRDefault="00C67B8E" w:rsidP="00113E80">
      <w:permStart w:id="117865647" w:edGrp="everyone"/>
      <w:r>
        <w:t xml:space="preserve">CSDs should </w:t>
      </w:r>
      <w:r w:rsidR="00FC3160">
        <w:t>introduce</w:t>
      </w:r>
      <w:r>
        <w:t xml:space="preserve"> a continuous scale fee for partially settled transactions, where current rate is applied</w:t>
      </w:r>
      <w:r w:rsidR="00FC3160">
        <w:t xml:space="preserve"> to the first partial, with others in the chain being charged sufficiently lower, </w:t>
      </w:r>
      <w:r w:rsidR="00EF153C">
        <w:t xml:space="preserve">this way </w:t>
      </w:r>
      <w:r w:rsidR="00FC3160">
        <w:t xml:space="preserve">participants’ costs linked with </w:t>
      </w:r>
      <w:r w:rsidR="00EF153C">
        <w:t>partial settlement charge are being limited</w:t>
      </w:r>
      <w:r w:rsidR="00FC3160">
        <w:t>.</w:t>
      </w:r>
      <w:r w:rsidR="00F82792">
        <w:t xml:space="preserve"> </w:t>
      </w:r>
      <w:r w:rsidR="00EF153C">
        <w:t xml:space="preserve">Such mechanism should </w:t>
      </w:r>
      <w:r w:rsidR="00F82792">
        <w:t>not</w:t>
      </w:r>
      <w:r w:rsidR="00EF153C">
        <w:t xml:space="preserve"> be</w:t>
      </w:r>
      <w:r w:rsidR="00F82792">
        <w:t xml:space="preserve"> </w:t>
      </w:r>
      <w:r w:rsidR="00EF153C">
        <w:t>too complex so that</w:t>
      </w:r>
      <w:r w:rsidR="00F82792">
        <w:t xml:space="preserve"> custodians </w:t>
      </w:r>
      <w:r w:rsidR="00EF153C">
        <w:t xml:space="preserve">are in position to pass-on the </w:t>
      </w:r>
      <w:r w:rsidR="00F82792">
        <w:t>fee</w:t>
      </w:r>
      <w:r w:rsidR="00EF153C">
        <w:t>. Apart from that, in order to limit any unintended consequences, a cap should be introduced (at least at the beginning of T+1 introduction).</w:t>
      </w:r>
    </w:p>
    <w:p w14:paraId="7AA38A53" w14:textId="2AB477EA" w:rsidR="00EF153C" w:rsidRDefault="00EF153C" w:rsidP="00113E80">
      <w:r>
        <w:t>Thresholds for both CCP and OTC (if partial is introduced) flows need to be revised. Currently, there is no threshold for CCP transactions, creating inefficiencies, as low value partials are putting additional cost and processing burden on participants, with little value added.</w:t>
      </w:r>
    </w:p>
    <w:permEnd w:id="117865647"/>
    <w:p w14:paraId="228C028F" w14:textId="77777777"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1496D4CE" w14:textId="1C145BFD" w:rsidR="00113E80" w:rsidRPr="000905E4" w:rsidRDefault="000905E4" w:rsidP="00113E80">
      <w:pPr>
        <w:rPr>
          <w:lang w:val="en-US"/>
        </w:rPr>
      </w:pPr>
      <w:permStart w:id="591729658" w:edGrp="everyone"/>
      <w:r w:rsidRPr="000905E4">
        <w:rPr>
          <w:lang w:val="en-US"/>
        </w:rPr>
        <w:lastRenderedPageBreak/>
        <w:t xml:space="preserve">Due to the </w:t>
      </w:r>
      <w:r w:rsidR="00EF153C">
        <w:rPr>
          <w:lang w:val="en-US"/>
        </w:rPr>
        <w:t>complexity</w:t>
      </w:r>
      <w:r w:rsidRPr="000905E4">
        <w:rPr>
          <w:lang w:val="en-US"/>
        </w:rPr>
        <w:t xml:space="preserve"> o</w:t>
      </w:r>
      <w:r>
        <w:rPr>
          <w:lang w:val="en-US"/>
        </w:rPr>
        <w:t xml:space="preserve">f transactions, we believe </w:t>
      </w:r>
      <w:r w:rsidR="00EF153C">
        <w:rPr>
          <w:lang w:val="en-US"/>
        </w:rPr>
        <w:t>securities financing transactions and collateral related ones should be descoped. Apart from that</w:t>
      </w:r>
      <w:r>
        <w:rPr>
          <w:lang w:val="en-US"/>
        </w:rPr>
        <w:t>, portfolio transfers should not be subject to partial settlement</w:t>
      </w:r>
      <w:r w:rsidR="00EF153C">
        <w:rPr>
          <w:lang w:val="en-US"/>
        </w:rPr>
        <w:t xml:space="preserve"> (no change of beneficiary, not subject to CSDR)</w:t>
      </w:r>
      <w:r>
        <w:rPr>
          <w:lang w:val="en-US"/>
        </w:rPr>
        <w:t>.</w:t>
      </w:r>
    </w:p>
    <w:permEnd w:id="591729658"/>
    <w:p w14:paraId="796EAD16" w14:textId="77777777"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t>&lt;ESMA_QUESTION_CSDC_23&gt;</w:t>
      </w:r>
    </w:p>
    <w:p w14:paraId="6FA3CA1D" w14:textId="03D3DBD4" w:rsidR="00113E80" w:rsidRDefault="00F82792" w:rsidP="00113E80">
      <w:permStart w:id="367345271" w:edGrp="everyone"/>
      <w:r>
        <w:t>KDPW</w:t>
      </w:r>
      <w:r w:rsidR="00853B70">
        <w:t xml:space="preserve"> does not have a banking licence, hence such provisions would not be in line with </w:t>
      </w:r>
      <w:r w:rsidR="00790893">
        <w:t xml:space="preserve">Polish </w:t>
      </w:r>
      <w:r w:rsidR="00853B70">
        <w:t>banking law.</w:t>
      </w:r>
    </w:p>
    <w:permEnd w:id="367345271"/>
    <w:p w14:paraId="798DB0C5" w14:textId="77777777"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33EEF07E" w14:textId="77777777" w:rsidR="00D82ADE" w:rsidRDefault="00D82ADE" w:rsidP="00D82ADE">
      <w:permStart w:id="1759915737" w:edGrp="everyone"/>
      <w:r>
        <w:t>TYPE YOUR TEXT HERE</w:t>
      </w:r>
    </w:p>
    <w:permEnd w:id="1759915737"/>
    <w:p w14:paraId="5797DE5C" w14:textId="77777777" w:rsidR="00113E80" w:rsidRDefault="00113E80" w:rsidP="00113E80">
      <w:r>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2D626454" w14:textId="77777777" w:rsidR="00113E80" w:rsidRDefault="00113E80" w:rsidP="00113E80">
      <w:r>
        <w:lastRenderedPageBreak/>
        <w:t>&lt;ESMA_QUESTION_CSDC_25&gt;</w:t>
      </w:r>
    </w:p>
    <w:p w14:paraId="32AFB811" w14:textId="1A0527ED" w:rsidR="00113E80" w:rsidRDefault="000905E4" w:rsidP="00113E80">
      <w:permStart w:id="1900937655" w:edGrp="everyone"/>
      <w:r>
        <w:t xml:space="preserve">We support this change. RTGS </w:t>
      </w:r>
      <w:r w:rsidRPr="000905E4">
        <w:t xml:space="preserve">being available in all CSDs for a certain </w:t>
      </w:r>
      <w:r>
        <w:t xml:space="preserve">time </w:t>
      </w:r>
      <w:r w:rsidRPr="000905E4">
        <w:t>window</w:t>
      </w:r>
      <w:r>
        <w:t xml:space="preserve"> would optimize cross-border settlement.</w:t>
      </w:r>
    </w:p>
    <w:permEnd w:id="1900937655"/>
    <w:p w14:paraId="1A353DF1" w14:textId="77777777" w:rsidR="00113E80" w:rsidRDefault="00113E80" w:rsidP="00113E80">
      <w:r>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t>&lt;ESMA_QUESTION_CSDC_26&gt;</w:t>
      </w:r>
    </w:p>
    <w:p w14:paraId="0D9EB499" w14:textId="3B261DDF" w:rsidR="00113E80" w:rsidRDefault="000905E4" w:rsidP="00113E80">
      <w:permStart w:id="151126903" w:edGrp="everyone"/>
      <w:r>
        <w:t xml:space="preserve">Aligned timetable for RTGS and a minimum of one </w:t>
      </w:r>
      <w:r w:rsidR="00DC6ABB">
        <w:t>nighttime</w:t>
      </w:r>
      <w:r>
        <w:t xml:space="preserve"> batch </w:t>
      </w:r>
      <w:r w:rsidR="00F82792">
        <w:t xml:space="preserve">(where night processing applies) </w:t>
      </w:r>
      <w:r>
        <w:t>and one day time batch.</w:t>
      </w:r>
    </w:p>
    <w:permEnd w:id="151126903"/>
    <w:p w14:paraId="1C830BCE" w14:textId="77777777" w:rsidR="00113E80" w:rsidRDefault="00113E80" w:rsidP="00113E80">
      <w:r>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4780E30E" w14:textId="77777777" w:rsidR="00D82ADE" w:rsidRDefault="00D82ADE" w:rsidP="00D82ADE">
      <w:permStart w:id="1363037524" w:edGrp="everyone"/>
      <w:r>
        <w:t>TYPE YOUR TEXT HERE</w:t>
      </w:r>
    </w:p>
    <w:permEnd w:id="1363037524"/>
    <w:p w14:paraId="2D842D79" w14:textId="77777777"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 of CDR 2018/1229? If not, please elaborate.</w:t>
      </w:r>
    </w:p>
    <w:p w14:paraId="0C9564AA" w14:textId="77777777" w:rsidR="00113E80" w:rsidRDefault="00113E80" w:rsidP="00113E80">
      <w:r>
        <w:t>&lt;ESMA_QUESTION_CSDC_28&gt;</w:t>
      </w:r>
    </w:p>
    <w:p w14:paraId="5A4397DC" w14:textId="70ADC9FE" w:rsidR="00113E80" w:rsidRDefault="000905E4" w:rsidP="00113E80">
      <w:permStart w:id="556666167" w:edGrp="everyone"/>
      <w:r>
        <w:t>We support the proposed amendment.</w:t>
      </w:r>
    </w:p>
    <w:permEnd w:id="556666167"/>
    <w:p w14:paraId="6E25C569" w14:textId="77777777" w:rsidR="00113E80" w:rsidRDefault="00113E80" w:rsidP="00113E80">
      <w:r>
        <w:lastRenderedPageBreak/>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t>&lt;ESMA_QUESTION_CSDC_29&gt;</w:t>
      </w:r>
    </w:p>
    <w:p w14:paraId="7A2A414F" w14:textId="77777777" w:rsidR="000905E4" w:rsidRDefault="000905E4" w:rsidP="000905E4">
      <w:permStart w:id="219745450" w:edGrp="everyone"/>
      <w:r>
        <w:t>We support the proposed amendment.</w:t>
      </w:r>
    </w:p>
    <w:permEnd w:id="219745450"/>
    <w:p w14:paraId="7F5E65F3" w14:textId="77777777" w:rsidR="00113E80" w:rsidRDefault="00113E80" w:rsidP="00113E80">
      <w:r>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7F0C0494" w14:textId="77777777" w:rsidR="00D82ADE" w:rsidRDefault="00D82ADE" w:rsidP="00D82ADE">
      <w:permStart w:id="1283796359" w:edGrp="everyone"/>
      <w:r>
        <w:t>TYPE YOUR TEXT HERE</w:t>
      </w:r>
    </w:p>
    <w:permEnd w:id="1283796359"/>
    <w:p w14:paraId="4282D8EA" w14:textId="77777777"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t>&lt;ESMA_QUESTION_CSDC_31&gt;</w:t>
      </w:r>
    </w:p>
    <w:p w14:paraId="668128E5" w14:textId="4260130B" w:rsidR="00113E80" w:rsidRPr="000905E4" w:rsidRDefault="000905E4" w:rsidP="00113E80">
      <w:pPr>
        <w:rPr>
          <w:lang w:val="en-US"/>
        </w:rPr>
      </w:pPr>
      <w:permStart w:id="970873259" w:edGrp="everyone"/>
      <w:r w:rsidRPr="000905E4">
        <w:rPr>
          <w:lang w:val="en-US"/>
        </w:rPr>
        <w:t>CSD participants do not h</w:t>
      </w:r>
      <w:r>
        <w:rPr>
          <w:lang w:val="en-US"/>
        </w:rPr>
        <w:t>ave such visibility as the problem with failing transaction often originates at the level of intermediary, client; as such this requirement cannot be met.</w:t>
      </w:r>
    </w:p>
    <w:permEnd w:id="970873259"/>
    <w:p w14:paraId="040AD67A" w14:textId="77777777" w:rsidR="00113E80" w:rsidRDefault="00113E80" w:rsidP="00113E80">
      <w:r>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lastRenderedPageBreak/>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1F469DC4" w14:textId="10483B2B" w:rsidR="00113E80" w:rsidRDefault="0007622C" w:rsidP="00113E80">
      <w:permStart w:id="228340192" w:edGrp="everyone"/>
      <w:r>
        <w:t xml:space="preserve">Lack of securities, SSI data quality, </w:t>
      </w:r>
      <w:r w:rsidR="00F82792">
        <w:t xml:space="preserve">instructions </w:t>
      </w:r>
      <w:r w:rsidR="00790893">
        <w:t>o</w:t>
      </w:r>
      <w:r w:rsidR="00F82792">
        <w:t xml:space="preserve">n hold, </w:t>
      </w:r>
      <w:r w:rsidR="00790893">
        <w:t xml:space="preserve">instruction </w:t>
      </w:r>
      <w:r w:rsidR="00F82792">
        <w:t xml:space="preserve">linkage, </w:t>
      </w:r>
      <w:r w:rsidR="003C07DC">
        <w:t xml:space="preserve">transaction type qualifier, </w:t>
      </w:r>
      <w:r>
        <w:t>not harmonized settlement batches between CSDs.</w:t>
      </w:r>
    </w:p>
    <w:permEnd w:id="228340192"/>
    <w:p w14:paraId="731F3228" w14:textId="77777777" w:rsidR="00113E80" w:rsidRDefault="00113E80" w:rsidP="00113E80">
      <w:r>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t>&lt;ESMA_QUESTION_CSDC_33&gt;</w:t>
      </w:r>
    </w:p>
    <w:p w14:paraId="5EA62061" w14:textId="592C0352" w:rsidR="00113E80" w:rsidRDefault="0007622C" w:rsidP="00113E80">
      <w:permStart w:id="1495876337" w:edGrp="everyone"/>
      <w:r>
        <w:t>As per response in Q31, such provision cannot be effectively met.</w:t>
      </w:r>
    </w:p>
    <w:permEnd w:id="1495876337"/>
    <w:p w14:paraId="2635252C" w14:textId="77777777"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3A37A6EB" w14:textId="539E31DF" w:rsidR="00113E80" w:rsidRDefault="0007622C" w:rsidP="00113E80">
      <w:permStart w:id="641089610" w:edGrp="everyone"/>
      <w:r>
        <w:t>We support this change.</w:t>
      </w:r>
    </w:p>
    <w:permEnd w:id="641089610"/>
    <w:p w14:paraId="040B68F4" w14:textId="77777777"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t>Do you think that CSDs should publish additional information on settlement fails? If yes, please specify.</w:t>
      </w:r>
    </w:p>
    <w:p w14:paraId="7B0B0203" w14:textId="77777777" w:rsidR="00113E80" w:rsidRDefault="00113E80" w:rsidP="00113E80">
      <w:r>
        <w:t>&lt;ESMA_QUESTION_CSDC_35&gt;</w:t>
      </w:r>
    </w:p>
    <w:p w14:paraId="705921E7" w14:textId="6C803E1F" w:rsidR="00113E80" w:rsidRDefault="0007622C" w:rsidP="00113E80">
      <w:permStart w:id="497168460" w:edGrp="everyone"/>
      <w:r>
        <w:t>Duration of fail, fail reason, breakdown of settlement instructions by late matching vs settlement fail.</w:t>
      </w:r>
    </w:p>
    <w:permEnd w:id="497168460"/>
    <w:p w14:paraId="26767BA7" w14:textId="77777777" w:rsidR="00113E80" w:rsidRDefault="00113E80" w:rsidP="00113E80">
      <w:r>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t>Should the frequency of publication of settlement fails data by CSDs increase? Which should be the right frequency?</w:t>
      </w:r>
    </w:p>
    <w:p w14:paraId="134E4FF0" w14:textId="77777777" w:rsidR="00113E80" w:rsidRDefault="00113E80" w:rsidP="00113E80">
      <w:r>
        <w:t>&lt;ESMA_QUESTION_CSDC_36&gt;</w:t>
      </w:r>
    </w:p>
    <w:p w14:paraId="3E5D653B" w14:textId="2BDC0023" w:rsidR="00113E80" w:rsidRDefault="0007622C" w:rsidP="00113E80">
      <w:permStart w:id="114362908" w:edGrp="everyone"/>
      <w:r>
        <w:t>We believe monthly frequency is the right one.</w:t>
      </w:r>
    </w:p>
    <w:permEnd w:id="114362908"/>
    <w:p w14:paraId="70E7604E" w14:textId="5F32BB1F" w:rsidR="00113E80" w:rsidRDefault="00113E80" w:rsidP="00113E80">
      <w:r>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use of UTI should not be made mandatory through a regulatory change?</w:t>
      </w:r>
    </w:p>
    <w:p w14:paraId="32F224D5" w14:textId="77777777" w:rsidR="00113E80" w:rsidRDefault="00113E80" w:rsidP="00113E80">
      <w:r>
        <w:t>&lt;ESMA_QUESTION_CSDC_37&gt;</w:t>
      </w:r>
    </w:p>
    <w:p w14:paraId="0E7BC8E3" w14:textId="7DC75471" w:rsidR="00113E80" w:rsidRDefault="0007622C" w:rsidP="00113E80">
      <w:permStart w:id="1185494481" w:edGrp="everyone"/>
      <w:r>
        <w:t>At present there is not enough evidence UTI would increase settlement efficiency to support this change and enforce it beyond reporting.</w:t>
      </w:r>
    </w:p>
    <w:permEnd w:id="1185494481"/>
    <w:p w14:paraId="3DD66736" w14:textId="77777777" w:rsidR="00113E80" w:rsidRDefault="00113E80" w:rsidP="00113E80">
      <w:r>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t>What are your views on the use of UTI in general and in the case of netted transactions specifically?</w:t>
      </w:r>
    </w:p>
    <w:p w14:paraId="25DEC6FA" w14:textId="77777777" w:rsidR="00113E80" w:rsidRDefault="00113E80" w:rsidP="00113E80">
      <w:r>
        <w:lastRenderedPageBreak/>
        <w:t>&lt;ESMA_QUESTION_CSDC_38&gt;</w:t>
      </w:r>
    </w:p>
    <w:p w14:paraId="1006CADC" w14:textId="77777777" w:rsidR="00D82ADE" w:rsidRDefault="00D82ADE" w:rsidP="00D82ADE">
      <w:permStart w:id="409142589" w:edGrp="everyone"/>
      <w:r>
        <w:t>TYPE YOUR TEXT HERE</w:t>
      </w:r>
    </w:p>
    <w:permEnd w:id="409142589"/>
    <w:p w14:paraId="60D51D0A" w14:textId="77777777" w:rsidR="00113E80" w:rsidRDefault="00113E80" w:rsidP="00113E80">
      <w:r>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6612EF6B" w14:textId="77777777" w:rsidR="00113E80" w:rsidRDefault="00113E80" w:rsidP="00113E80">
      <w:r>
        <w:t>&lt;ESMA_QUESTION_CSDC_39&gt;</w:t>
      </w:r>
    </w:p>
    <w:p w14:paraId="7F77CF68" w14:textId="2FF928F2" w:rsidR="00113E80" w:rsidRDefault="00936A26" w:rsidP="00113E80">
      <w:permStart w:id="2044474510" w:edGrp="everyone"/>
      <w:r>
        <w:t>Baseline regulatory framework would prove beneficial with access and exchange of machine-readable data.</w:t>
      </w:r>
    </w:p>
    <w:permEnd w:id="2044474510"/>
    <w:p w14:paraId="325CCC6E" w14:textId="77777777"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04A4CB9D" w14:textId="52F2439B" w:rsidR="00113E80" w:rsidRDefault="00936A26" w:rsidP="00113E80">
      <w:permStart w:id="260911590" w:edGrp="everyone"/>
      <w:r>
        <w:t>N/A, please refer to Q42</w:t>
      </w:r>
    </w:p>
    <w:permEnd w:id="260911590"/>
    <w:p w14:paraId="4123F35E" w14:textId="77777777" w:rsidR="00113E80" w:rsidRDefault="00113E80" w:rsidP="00113E80">
      <w:r>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7356C287" w14:textId="77777777" w:rsidR="00113E80" w:rsidRDefault="00113E80" w:rsidP="00113E80">
      <w:r>
        <w:lastRenderedPageBreak/>
        <w:t>&lt;ESMA_QUESTION_CSDC_41&gt;</w:t>
      </w:r>
    </w:p>
    <w:p w14:paraId="6271BB8A" w14:textId="2393B517" w:rsidR="00113E80" w:rsidRDefault="00936A26" w:rsidP="00113E80">
      <w:permStart w:id="610287984" w:edGrp="everyone"/>
      <w:r>
        <w:t>We support this change.</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t>Do you agree that the decision to use the PSAF and the PSET in the settlement instructions should be left to the industry?</w:t>
      </w:r>
    </w:p>
    <w:p w14:paraId="1E889B55" w14:textId="77777777" w:rsidR="00113E80" w:rsidRDefault="00113E80" w:rsidP="00113E80">
      <w:r>
        <w:t>&lt;ESMA_QUESTION_CSDC_42&gt;</w:t>
      </w:r>
    </w:p>
    <w:p w14:paraId="79BBCFD6" w14:textId="19DF552F" w:rsidR="00113E80" w:rsidRDefault="00936A26" w:rsidP="00113E80">
      <w:permStart w:id="1084698351" w:edGrp="everyone"/>
      <w:r>
        <w:t>PSET is already a mandatory field, whereas PSAF is not being used. We would like such set-up to remain unchanged/</w:t>
      </w:r>
      <w:r w:rsidR="00EE0E48">
        <w:t>industry driven</w:t>
      </w:r>
      <w:r>
        <w:t>.</w:t>
      </w:r>
    </w:p>
    <w:permEnd w:id="1084698351"/>
    <w:p w14:paraId="35213B48" w14:textId="77777777" w:rsidR="00113E80" w:rsidRDefault="00113E80" w:rsidP="00113E80">
      <w:r>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1CB53ADF" w14:textId="77777777" w:rsidR="00D82ADE" w:rsidRDefault="00D82ADE" w:rsidP="00D82ADE">
      <w:permStart w:id="198186485" w:edGrp="everyone"/>
      <w:r>
        <w:t>TYPE YOUR TEXT HERE</w:t>
      </w:r>
    </w:p>
    <w:permEnd w:id="198186485"/>
    <w:p w14:paraId="5C0078D9" w14:textId="77777777"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t>Do you agree that the transaction type should not become a mandatory matching field under Article 5(4) of CDR 2018/1229?</w:t>
      </w:r>
    </w:p>
    <w:p w14:paraId="7F94DE8B" w14:textId="77777777" w:rsidR="00113E80" w:rsidRDefault="00113E80" w:rsidP="00113E80">
      <w:r>
        <w:t>&lt;ESMA_QUESTION_CSDC_44&gt;</w:t>
      </w:r>
    </w:p>
    <w:p w14:paraId="2452518A" w14:textId="75DB5716" w:rsidR="0053749E" w:rsidRPr="0053749E" w:rsidRDefault="0053749E" w:rsidP="0053749E">
      <w:pPr>
        <w:divId w:val="1800882678"/>
        <w:rPr>
          <w:i/>
          <w:iCs/>
          <w:lang w:val="en-US"/>
        </w:rPr>
      </w:pPr>
      <w:permStart w:id="1475766194" w:edGrp="everyone"/>
      <w:r w:rsidRPr="0053749E">
        <w:rPr>
          <w:i/>
          <w:iCs/>
          <w:lang w:val="en-US"/>
        </w:rPr>
        <w:t>As per Art 5 point 3 and 4 of RTS:</w:t>
      </w:r>
    </w:p>
    <w:p w14:paraId="050EF1AE" w14:textId="77777777" w:rsidR="0053749E" w:rsidRPr="0053749E" w:rsidRDefault="0053749E" w:rsidP="0053749E">
      <w:pPr>
        <w:divId w:val="1800882678"/>
        <w:rPr>
          <w:i/>
          <w:iCs/>
          <w:lang w:val="en-US"/>
        </w:rPr>
      </w:pPr>
      <w:r w:rsidRPr="0053749E">
        <w:rPr>
          <w:i/>
          <w:iCs/>
          <w:lang w:val="en-US"/>
        </w:rPr>
        <w:lastRenderedPageBreak/>
        <w:t>3. CSDs shall require participants to use the following matching fields in their settlement instructions for the matching of settlement instructions: (a) the type of settlement instruction, as referred to in point (g) of Article 13(1); (b) the intended settlement date of the settlement instruction; (c) the trade date; (d) the currency, except in the case of FoP settlement instructions; (e) the settlement amount, except in the case of FoP settlement instructions; (f) the nominal value for debt instruments, or the quantity for other financial instruments; (g) the delivery or receipt of the financial instruments or cash; (h) the ISIN of the financial instrument; (i) the identifier of the participant that delivers the financial instruments or cash; (j) the identifier of the participant that receives the financial instruments or cash; (k) the identifier of the CSD of the participant's counterparty, in the case of CSDs that use a common settlement infrastructure, including in the circumstances referred to in Article 30(5) of Regulation (EU) No 909/2014; (l) other matching fields required by the CSD for facilitating the settlement of transactions.</w:t>
      </w:r>
    </w:p>
    <w:p w14:paraId="295A62D3" w14:textId="77777777" w:rsidR="0053749E" w:rsidRPr="0053749E" w:rsidRDefault="0053749E" w:rsidP="0053749E">
      <w:pPr>
        <w:divId w:val="1800882678"/>
        <w:rPr>
          <w:i/>
          <w:iCs/>
          <w:lang w:val="en-US"/>
        </w:rPr>
      </w:pPr>
    </w:p>
    <w:p w14:paraId="0B8DFE7D" w14:textId="77777777" w:rsidR="0053749E" w:rsidRPr="0053749E" w:rsidRDefault="0053749E" w:rsidP="0053749E">
      <w:pPr>
        <w:divId w:val="1800882678"/>
        <w:rPr>
          <w:i/>
          <w:iCs/>
          <w:lang w:val="en-US"/>
        </w:rPr>
      </w:pPr>
      <w:r w:rsidRPr="0053749E">
        <w:rPr>
          <w:i/>
          <w:iCs/>
          <w:lang w:val="en-US"/>
        </w:rPr>
        <w:t>4. In addition to the fields referred to in paragraph 3, CSDs shall require their participants to use a field indicating the transaction type in their settlement instructions based on the following taxonomy: (a) purchase or sale of securities; (b) collateral management operations; (c) securities lending/borrowing operations; (d) repurchase transactions; (e) other transactions (which can be identified by more granular ISO codes as provided by the CSD</w:t>
      </w:r>
    </w:p>
    <w:p w14:paraId="6168BFF9" w14:textId="77777777" w:rsidR="0053749E" w:rsidRPr="0053749E" w:rsidRDefault="0053749E" w:rsidP="0053749E">
      <w:pPr>
        <w:divId w:val="1800882678"/>
        <w:rPr>
          <w:lang w:val="en-US"/>
        </w:rPr>
      </w:pPr>
    </w:p>
    <w:p w14:paraId="0A99A700" w14:textId="77777777" w:rsidR="0053749E" w:rsidRPr="0053749E" w:rsidRDefault="0053749E" w:rsidP="0053749E">
      <w:pPr>
        <w:divId w:val="1800882678"/>
        <w:rPr>
          <w:lang w:val="en-US"/>
        </w:rPr>
      </w:pPr>
      <w:r w:rsidRPr="0053749E">
        <w:rPr>
          <w:lang w:val="en-US"/>
        </w:rPr>
        <w:t>If we remove point 4 but keep point 3 the wording in point (l), then e.g. CSDs may use this as way to keep transaction type being still mandatory matching field which is not something should happen. This means rewriting of point is required to avoid CSD still using wording in point 3 to keep existing process e.g:</w:t>
      </w:r>
    </w:p>
    <w:p w14:paraId="43A861EC" w14:textId="77777777" w:rsidR="0053749E" w:rsidRPr="0053749E" w:rsidRDefault="0053749E" w:rsidP="0053749E">
      <w:pPr>
        <w:divId w:val="1800882678"/>
        <w:rPr>
          <w:lang w:val="en-US"/>
        </w:rPr>
      </w:pPr>
    </w:p>
    <w:p w14:paraId="2DC17A0B" w14:textId="77777777" w:rsidR="0053749E" w:rsidRPr="0053749E" w:rsidRDefault="0053749E" w:rsidP="0053749E">
      <w:pPr>
        <w:divId w:val="1800882678"/>
        <w:rPr>
          <w:i/>
          <w:iCs/>
          <w:lang w:val="en-US"/>
        </w:rPr>
      </w:pPr>
      <w:r w:rsidRPr="0053749E">
        <w:rPr>
          <w:i/>
          <w:iCs/>
          <w:lang w:val="en-US"/>
        </w:rPr>
        <w:t xml:space="preserve">4. CSDs </w:t>
      </w:r>
      <w:r w:rsidRPr="0053749E">
        <w:rPr>
          <w:b/>
          <w:bCs/>
          <w:i/>
          <w:iCs/>
          <w:u w:val="single"/>
          <w:lang w:val="en-US"/>
        </w:rPr>
        <w:t>shall not</w:t>
      </w:r>
      <w:r w:rsidRPr="0053749E">
        <w:rPr>
          <w:i/>
          <w:iCs/>
          <w:lang w:val="en-US"/>
        </w:rPr>
        <w:t xml:space="preserve"> require their participants to use a field indicating the transaction type in their settlement instructions based on the following taxonomy: (a) purchase or sale of securities; (b) collateral management operations; (c) securities lending/borrowing operations; (d) repurchase transactions; (e) other transactions (which can be identified by more granular ISO codes as provided by the CSD</w:t>
      </w:r>
    </w:p>
    <w:p w14:paraId="7273D3A1" w14:textId="77777777" w:rsidR="0053749E" w:rsidRPr="0053749E" w:rsidRDefault="0053749E" w:rsidP="0053749E">
      <w:pPr>
        <w:divId w:val="1800882678"/>
        <w:rPr>
          <w:lang w:val="en-US"/>
        </w:rPr>
      </w:pPr>
    </w:p>
    <w:p w14:paraId="3BF9A380" w14:textId="77777777" w:rsidR="0053749E" w:rsidRDefault="0053749E" w:rsidP="00113E80">
      <w:pPr>
        <w:rPr>
          <w:lang w:val="en-US"/>
        </w:rPr>
      </w:pPr>
      <w:r w:rsidRPr="0053749E">
        <w:rPr>
          <w:lang w:val="en-US"/>
        </w:rPr>
        <w:t xml:space="preserve">The other option is to remove wording in point 3 item (l). </w:t>
      </w:r>
    </w:p>
    <w:p w14:paraId="3958B1DD" w14:textId="77777777" w:rsidR="0053749E" w:rsidRDefault="0053749E" w:rsidP="00113E80">
      <w:pPr>
        <w:rPr>
          <w:lang w:val="en-US"/>
        </w:rPr>
      </w:pPr>
    </w:p>
    <w:p w14:paraId="30420754" w14:textId="2B9F6330" w:rsidR="00113E80" w:rsidRDefault="0053749E" w:rsidP="00113E80">
      <w:r>
        <w:rPr>
          <w:lang w:val="en-US"/>
        </w:rPr>
        <w:lastRenderedPageBreak/>
        <w:t>It needs to be noted that current regulatory reporting in Poland towards the CSD and NCB</w:t>
      </w:r>
      <w:r w:rsidR="00B21EAE">
        <w:rPr>
          <w:lang w:val="en-US"/>
        </w:rPr>
        <w:t xml:space="preserve"> (SHS)</w:t>
      </w:r>
      <w:r>
        <w:rPr>
          <w:lang w:val="en-US"/>
        </w:rPr>
        <w:t xml:space="preserve"> is based on transaction type. Introduction of optionality in this aspect without change in the reporting obligations would become problematic, as custodians would report different type of data, leading to breaks in reconciliation on both CSD and NCB sides. </w:t>
      </w:r>
      <w:permEnd w:id="1475766194"/>
      <w:r w:rsidR="00113E80">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t>Do you think the lists mentioned in Article 2(1)(a) and Article 5(4) of CDR 2018/1229 should be updated? If yes, please specify.</w:t>
      </w:r>
    </w:p>
    <w:p w14:paraId="222120E2" w14:textId="77777777" w:rsidR="00113E80" w:rsidRDefault="00113E80" w:rsidP="00113E80">
      <w:r>
        <w:t>&lt;ESMA_QUESTION_CSDC_45&gt;</w:t>
      </w:r>
    </w:p>
    <w:p w14:paraId="6BF743EF" w14:textId="15DF12BB" w:rsidR="00113E80" w:rsidRDefault="00D976A2" w:rsidP="00113E80">
      <w:permStart w:id="961432849" w:edGrp="everyone"/>
      <w:r>
        <w:t xml:space="preserve">Further harmonisation </w:t>
      </w:r>
      <w:r w:rsidR="00FE5234">
        <w:t>since last taxonomy in both articles leaves too much room for interpretation and inconsistency across markets.</w:t>
      </w:r>
    </w:p>
    <w:permEnd w:id="961432849"/>
    <w:p w14:paraId="07F60CC2" w14:textId="7777777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6D5FE34C" w14:textId="6AE66E36" w:rsidR="00113E80" w:rsidRDefault="00FE5234" w:rsidP="00113E80">
      <w:permStart w:id="904798664" w:edGrp="everyone"/>
      <w:r>
        <w:t>With shortening of the settlement cycle it is crucial to send instructions for matching on a real-time basis to receive status updates. This facilitates detection of any possible breaks and grants more to market participants to resolve them.</w:t>
      </w:r>
    </w:p>
    <w:permEnd w:id="904798664"/>
    <w:p w14:paraId="129FDCEA" w14:textId="77777777"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7A4E313A" w14:textId="77777777" w:rsidR="00113E80" w:rsidRDefault="00113E80" w:rsidP="00113E80">
      <w:r>
        <w:t>&lt;ESMA_QUESTION_CSDC_47&gt;</w:t>
      </w:r>
    </w:p>
    <w:p w14:paraId="24C3810C" w14:textId="1A90D3E5" w:rsidR="00113E80" w:rsidRDefault="00FE5234" w:rsidP="00113E80">
      <w:permStart w:id="355869798" w:edGrp="everyone"/>
      <w:r>
        <w:lastRenderedPageBreak/>
        <w:t>We do not support introducing regulatory deadline. Process optimization should be left to the industry.</w:t>
      </w:r>
    </w:p>
    <w:permEnd w:id="355869798"/>
    <w:p w14:paraId="7B3A7050" w14:textId="77777777" w:rsidR="00113E80" w:rsidRDefault="00113E80" w:rsidP="00113E80">
      <w:r>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t>&lt;ESMA_QUESTION_CSDC_48&gt;</w:t>
      </w:r>
    </w:p>
    <w:p w14:paraId="63FBC321" w14:textId="153A2A29" w:rsidR="00113E80" w:rsidRDefault="0048407F" w:rsidP="00113E80">
      <w:permStart w:id="1531868113" w:edGrp="everyone"/>
      <w:r>
        <w:t>Yes, we agree this should be determined by the industry.</w:t>
      </w:r>
    </w:p>
    <w:permEnd w:id="1531868113"/>
    <w:p w14:paraId="4C79A334" w14:textId="77777777" w:rsidR="00113E80" w:rsidRDefault="00113E80" w:rsidP="00113E80">
      <w:r>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45CF7E70" w14:textId="7DD2E053" w:rsidR="00113E80" w:rsidRDefault="00B21EAE" w:rsidP="00113E80">
      <w:permStart w:id="150763568" w:edGrp="everyone"/>
      <w:r>
        <w:t>We believe there should be a certain degree of alignment between the CSDs, especially when it comes to RTGS cut-off times, whereas some aspects may remain CSD-specific, such as number of settlement batches and theirs timing.</w:t>
      </w:r>
    </w:p>
    <w:permEnd w:id="150763568"/>
    <w:p w14:paraId="44326574" w14:textId="77777777" w:rsidR="00113E80" w:rsidRDefault="00113E80" w:rsidP="00113E80">
      <w:r>
        <w:t>&lt;ESMA_QUESTION_CSDC_49&gt;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shaping should be adopted as best practice? If you do not agree and believe that it should be adopted as regulatory change, please </w:t>
      </w:r>
      <w:r>
        <w:rPr>
          <w:bCs/>
        </w:rPr>
        <w:lastRenderedPageBreak/>
        <w:t xml:space="preserve">indicate which should be the most adequate size to shape transactions per type of financial instrument. </w:t>
      </w:r>
    </w:p>
    <w:p w14:paraId="00DEE5ED" w14:textId="77777777" w:rsidR="00113E80" w:rsidRDefault="00113E80" w:rsidP="00113E80">
      <w:r>
        <w:t>&lt;ESMA_QUESTION_CSDC_50&gt;</w:t>
      </w:r>
    </w:p>
    <w:p w14:paraId="022777CA" w14:textId="10BBAF3B" w:rsidR="00113E80" w:rsidRDefault="0048407F" w:rsidP="00113E80">
      <w:permStart w:id="457271116" w:edGrp="everyone"/>
      <w:r>
        <w:t xml:space="preserve">We </w:t>
      </w:r>
      <w:r w:rsidR="00B40018">
        <w:t>c</w:t>
      </w:r>
      <w:r>
        <w:t xml:space="preserve">onsider </w:t>
      </w:r>
      <w:r w:rsidR="00B40018">
        <w:t>this</w:t>
      </w:r>
      <w:r>
        <w:t xml:space="preserve"> to </w:t>
      </w:r>
      <w:r w:rsidR="00B40018">
        <w:t>be subject to market best practices.</w:t>
      </w:r>
    </w:p>
    <w:permEnd w:id="457271116"/>
    <w:p w14:paraId="3F2B26D3" w14:textId="77777777" w:rsidR="00113E80" w:rsidRDefault="00113E80" w:rsidP="00113E80">
      <w:r>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t>&lt;ESMA_QUESTION_CSDC_51&gt;</w:t>
      </w:r>
    </w:p>
    <w:p w14:paraId="4F9916BD" w14:textId="7983913D" w:rsidR="00113E80" w:rsidRDefault="00B40018" w:rsidP="00113E80">
      <w:permStart w:id="1535070435" w:edGrp="everyone"/>
      <w:r>
        <w:t>Any regulatory change at this stage is not necessary.</w:t>
      </w:r>
    </w:p>
    <w:permEnd w:id="1535070435"/>
    <w:p w14:paraId="3F0A2AF3" w14:textId="77777777" w:rsidR="00113E80" w:rsidRDefault="00113E80" w:rsidP="00113E80">
      <w:r>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2E581B92" w14:textId="77777777" w:rsidR="00D82ADE" w:rsidRDefault="00D82ADE" w:rsidP="00D82ADE">
      <w:permStart w:id="517953238" w:edGrp="everyone"/>
      <w:r>
        <w:t>TYPE YOUR TEXT HERE</w:t>
      </w:r>
    </w:p>
    <w:permEnd w:id="517953238"/>
    <w:p w14:paraId="4660DEF1" w14:textId="77777777"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w:t>
      </w:r>
      <w:r w:rsidR="004F5A02">
        <w:rPr>
          <w:bCs/>
        </w:rPr>
        <w:t xml:space="preserve"> </w:t>
      </w:r>
      <w:r>
        <w:rPr>
          <w:bCs/>
        </w:rPr>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t>Compliance costs:</w:t>
            </w:r>
          </w:p>
          <w:p w14:paraId="3A66C74C" w14:textId="77777777" w:rsidR="00D93D74" w:rsidRPr="007F665A" w:rsidRDefault="00D93D74" w:rsidP="002853FF">
            <w:pPr>
              <w:rPr>
                <w:lang w:val="nl-BE"/>
              </w:rPr>
            </w:pPr>
            <w:r w:rsidRPr="007F665A">
              <w:rPr>
                <w:b/>
                <w:bCs/>
                <w:lang w:val="nl-BE"/>
              </w:rPr>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t>&lt;ESMA_QUESTION_CSDC_53&gt;</w:t>
      </w:r>
    </w:p>
    <w:p w14:paraId="09F7E008" w14:textId="07B1B8C2" w:rsidR="00113E80" w:rsidRDefault="00B21EAE" w:rsidP="00113E80">
      <w:permStart w:id="857702025" w:edGrp="everyone"/>
      <w:r>
        <w:t xml:space="preserve">We are not in position to quantify such changes. </w:t>
      </w:r>
      <w:r w:rsidR="00E75292">
        <w:t>From qualitative point of view, if given changes take effect, we may outline:</w:t>
      </w:r>
    </w:p>
    <w:p w14:paraId="344827F3" w14:textId="78876B45" w:rsidR="00E75292" w:rsidRDefault="00E75292" w:rsidP="00E75292">
      <w:pPr>
        <w:pStyle w:val="Akapitzlist"/>
        <w:numPr>
          <w:ilvl w:val="0"/>
          <w:numId w:val="17"/>
        </w:numPr>
      </w:pPr>
      <w:r>
        <w:t>Benefits – reduction in processing errors, market interoperability, lower counterparty risk and capital requirement;</w:t>
      </w:r>
    </w:p>
    <w:p w14:paraId="5935992D" w14:textId="58E44D15" w:rsidR="00E75292" w:rsidRDefault="00E75292" w:rsidP="00E75292">
      <w:pPr>
        <w:pStyle w:val="Akapitzlist"/>
        <w:numPr>
          <w:ilvl w:val="0"/>
          <w:numId w:val="17"/>
        </w:numPr>
      </w:pPr>
      <w:r>
        <w:t>Costs -  changes is regulatory reporting, higher number of partials, system upgrades.</w:t>
      </w:r>
    </w:p>
    <w:permEnd w:id="857702025"/>
    <w:p w14:paraId="055A4F61" w14:textId="77777777"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BB763" w14:textId="77777777" w:rsidR="005715C7" w:rsidRDefault="005715C7" w:rsidP="007E7997">
      <w:pPr>
        <w:spacing w:line="240" w:lineRule="auto"/>
      </w:pPr>
      <w:r>
        <w:separator/>
      </w:r>
    </w:p>
  </w:endnote>
  <w:endnote w:type="continuationSeparator" w:id="0">
    <w:p w14:paraId="19DFEA4A" w14:textId="77777777" w:rsidR="005715C7" w:rsidRDefault="005715C7" w:rsidP="007E7997">
      <w:pPr>
        <w:spacing w:line="240" w:lineRule="auto"/>
      </w:pPr>
      <w:r>
        <w:continuationSeparator/>
      </w:r>
    </w:p>
  </w:endnote>
  <w:endnote w:type="continuationNotice" w:id="1">
    <w:p w14:paraId="34A170AF" w14:textId="77777777" w:rsidR="005715C7" w:rsidRDefault="00571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Stopk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D152E" w14:textId="77777777" w:rsidR="005715C7" w:rsidRDefault="005715C7" w:rsidP="007E7997">
      <w:pPr>
        <w:spacing w:line="240" w:lineRule="auto"/>
      </w:pPr>
      <w:r>
        <w:separator/>
      </w:r>
    </w:p>
  </w:footnote>
  <w:footnote w:type="continuationSeparator" w:id="0">
    <w:p w14:paraId="5FD441FE" w14:textId="77777777" w:rsidR="005715C7" w:rsidRDefault="005715C7" w:rsidP="007E7997">
      <w:pPr>
        <w:spacing w:line="240" w:lineRule="auto"/>
      </w:pPr>
      <w:r>
        <w:continuationSeparator/>
      </w:r>
    </w:p>
  </w:footnote>
  <w:footnote w:type="continuationNotice" w:id="1">
    <w:p w14:paraId="7F7F6C35" w14:textId="77777777" w:rsidR="005715C7" w:rsidRDefault="00571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784A7CEE" w:rsidR="00D77369" w:rsidRPr="00DB2FD6" w:rsidRDefault="00D77369" w:rsidP="008858FE">
    <w:pPr>
      <w:pStyle w:val="Nagwek"/>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Nagwek"/>
    </w:pPr>
  </w:p>
  <w:p w14:paraId="76D78551" w14:textId="45227A06" w:rsidR="00AD0B10" w:rsidRDefault="00AD0B10" w:rsidP="00AD0B10">
    <w:pPr>
      <w:pStyle w:val="Nagwek"/>
    </w:pPr>
  </w:p>
  <w:p w14:paraId="56B00CEC" w14:textId="77777777" w:rsidR="00AD0B10" w:rsidRPr="0043139E" w:rsidRDefault="00AD0B10" w:rsidP="00AD0B10">
    <w:pPr>
      <w:pStyle w:val="Nagwek"/>
    </w:pPr>
  </w:p>
  <w:p w14:paraId="68227DE6" w14:textId="77777777" w:rsidR="00AD0B10" w:rsidRPr="0043139E" w:rsidRDefault="00AD0B10" w:rsidP="00AD0B10">
    <w:pPr>
      <w:pStyle w:val="Nagwek"/>
    </w:pPr>
  </w:p>
  <w:p w14:paraId="0E44DBD1" w14:textId="77777777" w:rsidR="00AD0B10" w:rsidRPr="0043139E" w:rsidRDefault="00AD0B10" w:rsidP="00AD0B10">
    <w:pPr>
      <w:pStyle w:val="Nagwek"/>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Nagwek"/>
    </w:pPr>
  </w:p>
  <w:p w14:paraId="706EF268" w14:textId="77777777" w:rsidR="00AD0B10" w:rsidRPr="0043139E" w:rsidRDefault="00AD0B10" w:rsidP="00AD0B10">
    <w:pPr>
      <w:pStyle w:val="Nagwek"/>
    </w:pPr>
  </w:p>
  <w:p w14:paraId="6B568202" w14:textId="77777777" w:rsidR="00AD0B10" w:rsidRPr="0043139E" w:rsidRDefault="00AD0B10" w:rsidP="00AD0B10">
    <w:pPr>
      <w:pStyle w:val="Nagwek"/>
    </w:pPr>
  </w:p>
  <w:p w14:paraId="70C66BCD" w14:textId="77777777" w:rsidR="00AD0B10" w:rsidRPr="0043139E" w:rsidRDefault="00AD0B10" w:rsidP="00AD0B10">
    <w:pPr>
      <w:pStyle w:val="Nagwek"/>
    </w:pPr>
  </w:p>
  <w:p w14:paraId="07229907" w14:textId="77777777" w:rsidR="00AD0B10" w:rsidRPr="0043139E" w:rsidRDefault="00AD0B10" w:rsidP="00AD0B10">
    <w:pPr>
      <w:pStyle w:val="Nagwek"/>
    </w:pPr>
  </w:p>
  <w:p w14:paraId="55555744" w14:textId="77777777" w:rsidR="00AD0B10" w:rsidRPr="0043139E" w:rsidRDefault="00AD0B10" w:rsidP="00AD0B10">
    <w:pPr>
      <w:pStyle w:val="Nagwek"/>
    </w:pPr>
  </w:p>
  <w:p w14:paraId="4601AE9C" w14:textId="77777777" w:rsidR="00AD0B10" w:rsidRDefault="00AD0B10" w:rsidP="00AD0B10">
    <w:pPr>
      <w:pStyle w:val="Nagwek"/>
    </w:pPr>
  </w:p>
  <w:p w14:paraId="49946785" w14:textId="77777777" w:rsidR="00AD0B10" w:rsidRPr="0043139E" w:rsidRDefault="00AD0B10" w:rsidP="00AD0B10">
    <w:pPr>
      <w:pStyle w:val="Nagwek"/>
    </w:pPr>
  </w:p>
  <w:p w14:paraId="72BAD19F" w14:textId="77777777" w:rsidR="008858FE" w:rsidRPr="00AD0B10" w:rsidRDefault="008858FE" w:rsidP="00AD0B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74253"/>
    <w:multiLevelType w:val="hybridMultilevel"/>
    <w:tmpl w:val="331C288E"/>
    <w:lvl w:ilvl="0" w:tplc="A02099C2">
      <w:numFmt w:val="bullet"/>
      <w:lvlText w:val="-"/>
      <w:lvlJc w:val="left"/>
      <w:pPr>
        <w:ind w:left="720" w:hanging="360"/>
      </w:pPr>
      <w:rPr>
        <w:rFonts w:ascii="Arial" w:eastAsiaTheme="minorEastAs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Nagwe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Akapitzlis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Nagwek1"/>
      <w:lvlText w:val="%1"/>
      <w:lvlJc w:val="left"/>
      <w:pPr>
        <w:ind w:left="4686" w:hanging="432"/>
      </w:pPr>
    </w:lvl>
    <w:lvl w:ilvl="1">
      <w:start w:val="1"/>
      <w:numFmt w:val="decimal"/>
      <w:pStyle w:val="Nagwek2"/>
      <w:lvlText w:val="%1.%2"/>
      <w:lvlJc w:val="left"/>
      <w:pPr>
        <w:ind w:left="8230"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5"/>
  </w:num>
  <w:num w:numId="3" w16cid:durableId="1675497260">
    <w:abstractNumId w:val="10"/>
  </w:num>
  <w:num w:numId="4" w16cid:durableId="1146706333">
    <w:abstractNumId w:val="4"/>
  </w:num>
  <w:num w:numId="5" w16cid:durableId="1502348752">
    <w:abstractNumId w:val="0"/>
  </w:num>
  <w:num w:numId="6" w16cid:durableId="1544101585">
    <w:abstractNumId w:val="6"/>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39343679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PVppZDZbproL8gIHXPbY+bprNoRQuExDjsY3FxyK+rC2NlIiJ2bWo0WSnEW7lIw/ryNwdY7XTUwECheG+i4w==" w:salt="xZZpdlmbdbb0bl1VQh9b6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A3E"/>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BA3"/>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22C"/>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5E4"/>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3B"/>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7C"/>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EFB"/>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3526"/>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07DC"/>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07F"/>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372"/>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3749E"/>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893"/>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3B70"/>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A26"/>
    <w:rsid w:val="00936BBF"/>
    <w:rsid w:val="00937290"/>
    <w:rsid w:val="00937301"/>
    <w:rsid w:val="00937342"/>
    <w:rsid w:val="00937390"/>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25D"/>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0F3"/>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C9"/>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1EAE"/>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018"/>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56C2"/>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67B8E"/>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2ADE"/>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6A2"/>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ABB"/>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778"/>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191E"/>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3C6"/>
    <w:rsid w:val="00E73A09"/>
    <w:rsid w:val="00E73A0E"/>
    <w:rsid w:val="00E73B9F"/>
    <w:rsid w:val="00E741D2"/>
    <w:rsid w:val="00E743CF"/>
    <w:rsid w:val="00E74804"/>
    <w:rsid w:val="00E74D2A"/>
    <w:rsid w:val="00E74E7D"/>
    <w:rsid w:val="00E74E8C"/>
    <w:rsid w:val="00E75292"/>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0E48"/>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3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566"/>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79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60"/>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C32"/>
    <w:rsid w:val="00FE4207"/>
    <w:rsid w:val="00FE4306"/>
    <w:rsid w:val="00FE4A62"/>
    <w:rsid w:val="00FE4BCA"/>
    <w:rsid w:val="00FE5234"/>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2FD6"/>
    <w:pPr>
      <w:spacing w:after="250" w:line="276" w:lineRule="auto"/>
      <w:jc w:val="both"/>
    </w:pPr>
    <w:rPr>
      <w:color w:val="181818" w:themeColor="background1" w:themeShade="1A"/>
      <w:sz w:val="22"/>
      <w:lang w:val="en-GB"/>
    </w:rPr>
  </w:style>
  <w:style w:type="paragraph" w:styleId="Nagwek1">
    <w:name w:val="heading 1"/>
    <w:basedOn w:val="Normalny"/>
    <w:next w:val="Normalny"/>
    <w:link w:val="Nagwek1Znak"/>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Nagwek2">
    <w:name w:val="heading 2"/>
    <w:basedOn w:val="Normalny"/>
    <w:next w:val="Normalny"/>
    <w:link w:val="Nagwek2Znak"/>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Nagwek3">
    <w:name w:val="heading 3"/>
    <w:basedOn w:val="Normalny"/>
    <w:next w:val="Normalny"/>
    <w:link w:val="Nagwek3Znak"/>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Nagwek4">
    <w:name w:val="heading 4"/>
    <w:basedOn w:val="Normalny"/>
    <w:next w:val="Normalny"/>
    <w:link w:val="Nagwek4Znak"/>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Nagwek5">
    <w:name w:val="heading 5"/>
    <w:basedOn w:val="Normalny"/>
    <w:next w:val="Normalny"/>
    <w:link w:val="Nagwek5Znak"/>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Nagwek6">
    <w:name w:val="heading 6"/>
    <w:basedOn w:val="Normalny"/>
    <w:next w:val="Normalny"/>
    <w:link w:val="Nagwek6Znak"/>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Nagwek7">
    <w:name w:val="heading 7"/>
    <w:basedOn w:val="Normalny"/>
    <w:next w:val="Normalny"/>
    <w:link w:val="Nagwek7Znak"/>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Nagwek8">
    <w:name w:val="heading 8"/>
    <w:basedOn w:val="Normalny"/>
    <w:next w:val="Normalny"/>
    <w:link w:val="Nagwek8Znak"/>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Nagwek9">
    <w:name w:val="heading 9"/>
    <w:basedOn w:val="Normalny"/>
    <w:next w:val="Normalny"/>
    <w:link w:val="Nagwek9Znak"/>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5B6B12"/>
    <w:pPr>
      <w:spacing w:after="0" w:line="240" w:lineRule="auto"/>
    </w:pPr>
    <w:rPr>
      <w:lang w:val="en-GB"/>
    </w:rPr>
  </w:style>
  <w:style w:type="character" w:customStyle="1" w:styleId="Nagwek4Znak">
    <w:name w:val="Nagłówek 4 Znak"/>
    <w:basedOn w:val="Domylnaczcionkaakapitu"/>
    <w:link w:val="Nagwek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Nagwek3Znak">
    <w:name w:val="Nagłówek 3 Znak"/>
    <w:basedOn w:val="Domylnaczcionkaakapitu"/>
    <w:link w:val="Nagwek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Nagwek1Znak">
    <w:name w:val="Nagłówek 1 Znak"/>
    <w:basedOn w:val="Domylnaczcionkaakapitu"/>
    <w:link w:val="Nagwek1"/>
    <w:uiPriority w:val="9"/>
    <w:rsid w:val="0082744A"/>
    <w:rPr>
      <w:rFonts w:asciiTheme="majorHAnsi" w:eastAsiaTheme="majorEastAsia" w:hAnsiTheme="majorHAnsi" w:cstheme="majorBidi"/>
      <w:b/>
      <w:color w:val="00379F" w:themeColor="text1"/>
      <w:sz w:val="32"/>
      <w:szCs w:val="32"/>
      <w:lang w:val="en-GB"/>
    </w:rPr>
  </w:style>
  <w:style w:type="character" w:customStyle="1" w:styleId="Nagwek2Znak">
    <w:name w:val="Nagłówek 2 Znak"/>
    <w:basedOn w:val="Domylnaczcionkaakapitu"/>
    <w:link w:val="Nagwek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ny"/>
    <w:link w:val="Subtitle1Char"/>
    <w:autoRedefine/>
    <w:rsid w:val="003C4EB5"/>
    <w:pPr>
      <w:tabs>
        <w:tab w:val="left" w:pos="414"/>
      </w:tabs>
    </w:pPr>
    <w:rPr>
      <w:b/>
    </w:rPr>
  </w:style>
  <w:style w:type="character" w:customStyle="1" w:styleId="Subtitle1Char">
    <w:name w:val="Subtitle1 Char"/>
    <w:basedOn w:val="Domylnaczcionkaakapitu"/>
    <w:link w:val="Subtitle1"/>
    <w:rsid w:val="003C4EB5"/>
    <w:rPr>
      <w:rFonts w:cs="Times New Roman"/>
      <w:b/>
      <w:sz w:val="20"/>
      <w:szCs w:val="24"/>
      <w:lang w:val="en-GB" w:eastAsia="de-DE"/>
    </w:rPr>
  </w:style>
  <w:style w:type="paragraph" w:customStyle="1" w:styleId="Title1">
    <w:name w:val="Title 1"/>
    <w:basedOn w:val="Akapitzlist"/>
    <w:link w:val="Title1Char"/>
    <w:qFormat/>
    <w:rsid w:val="00F205B9"/>
    <w:pPr>
      <w:numPr>
        <w:numId w:val="0"/>
      </w:numPr>
      <w:ind w:left="792" w:hanging="432"/>
    </w:pPr>
    <w:rPr>
      <w:b/>
      <w:color w:val="00379F" w:themeColor="text1"/>
      <w:sz w:val="28"/>
    </w:rPr>
  </w:style>
  <w:style w:type="character" w:customStyle="1" w:styleId="Title1Char">
    <w:name w:val="Title 1 Char"/>
    <w:basedOn w:val="Domylnaczcionkaakapitu"/>
    <w:link w:val="Title1"/>
    <w:rsid w:val="00F205B9"/>
    <w:rPr>
      <w:rFonts w:asciiTheme="majorHAnsi" w:hAnsiTheme="majorHAnsi" w:cstheme="majorHAnsi"/>
      <w:b/>
      <w:color w:val="00379F" w:themeColor="text1"/>
      <w:sz w:val="28"/>
      <w:szCs w:val="22"/>
      <w:lang w:val="pt-PT"/>
    </w:rPr>
  </w:style>
  <w:style w:type="paragraph" w:styleId="Akapitzlist">
    <w:name w:val="List Paragraph"/>
    <w:aliases w:val="Paragraphe EI,Paragraphe de liste1,EC"/>
    <w:basedOn w:val="Normalny"/>
    <w:link w:val="AkapitzlistZnak"/>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Akapitzlist"/>
    <w:link w:val="Title3Char"/>
    <w:autoRedefine/>
    <w:rsid w:val="00F205B9"/>
    <w:pPr>
      <w:numPr>
        <w:ilvl w:val="3"/>
        <w:numId w:val="4"/>
      </w:numPr>
    </w:pPr>
  </w:style>
  <w:style w:type="character" w:customStyle="1" w:styleId="Title3Char">
    <w:name w:val="Title 3 Char"/>
    <w:basedOn w:val="Domylnaczcionkaakapitu"/>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ny"/>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omylnaczcionkaakapitu"/>
    <w:link w:val="DocumentTitle"/>
    <w:rsid w:val="00563C1F"/>
    <w:rPr>
      <w:rFonts w:asciiTheme="majorHAnsi" w:hAnsiTheme="majorHAnsi"/>
      <w:b/>
      <w:color w:val="2D4190"/>
      <w:sz w:val="48"/>
      <w:lang w:val="en-GB"/>
    </w:rPr>
  </w:style>
  <w:style w:type="paragraph" w:customStyle="1" w:styleId="DocumentSubtitle">
    <w:name w:val="Document Subtitle"/>
    <w:basedOn w:val="Normalny"/>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omylnaczcionkaakapitu"/>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ny"/>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omylnaczcionkaakapitu"/>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ny"/>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omylnaczcionkaakapitu"/>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ny"/>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omylnaczcionkaakapitu"/>
    <w:link w:val="Introductionheading"/>
    <w:rsid w:val="00044C5A"/>
    <w:rPr>
      <w:rFonts w:ascii="Arial" w:eastAsia="Times New Roman" w:hAnsi="Arial" w:cs="Times New Roman"/>
      <w:b/>
      <w:sz w:val="28"/>
      <w:szCs w:val="24"/>
      <w:lang w:val="en-GB" w:eastAsia="de-DE"/>
    </w:rPr>
  </w:style>
  <w:style w:type="character" w:customStyle="1" w:styleId="Nagwek5Znak">
    <w:name w:val="Nagłówek 5 Znak"/>
    <w:basedOn w:val="Domylnaczcionkaakapitu"/>
    <w:link w:val="Nagwek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kstpodstawowy">
    <w:name w:val="Body Text"/>
    <w:basedOn w:val="Normalny"/>
    <w:link w:val="TekstpodstawowyZnak"/>
    <w:uiPriority w:val="99"/>
    <w:semiHidden/>
    <w:unhideWhenUsed/>
    <w:rsid w:val="00044C5A"/>
  </w:style>
  <w:style w:type="character" w:customStyle="1" w:styleId="TekstpodstawowyZnak">
    <w:name w:val="Tekst podstawowy Znak"/>
    <w:basedOn w:val="Domylnaczcionkaakapitu"/>
    <w:link w:val="Tekstpodstawowy"/>
    <w:uiPriority w:val="99"/>
    <w:semiHidden/>
    <w:rsid w:val="00044C5A"/>
    <w:rPr>
      <w:rFonts w:ascii="Arial" w:eastAsiaTheme="minorEastAsia" w:hAnsi="Arial"/>
    </w:rPr>
  </w:style>
  <w:style w:type="paragraph" w:styleId="Tekstpodstawowyzwciciem">
    <w:name w:val="Body Text First Indent"/>
    <w:basedOn w:val="Tekstpodstawowy"/>
    <w:link w:val="TekstpodstawowyzwciciemZnak"/>
    <w:uiPriority w:val="99"/>
    <w:semiHidden/>
    <w:unhideWhenUsed/>
    <w:rsid w:val="00044C5A"/>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044C5A"/>
    <w:rPr>
      <w:rFonts w:ascii="Arial" w:eastAsiaTheme="minorEastAsia" w:hAnsi="Arial"/>
    </w:rPr>
  </w:style>
  <w:style w:type="character" w:customStyle="1" w:styleId="Nagwek6Znak">
    <w:name w:val="Nagłówek 6 Znak"/>
    <w:basedOn w:val="Domylnaczcionkaakapitu"/>
    <w:link w:val="Nagwek6"/>
    <w:uiPriority w:val="9"/>
    <w:semiHidden/>
    <w:rsid w:val="00AA054E"/>
    <w:rPr>
      <w:rFonts w:asciiTheme="majorHAnsi" w:eastAsiaTheme="majorEastAsia" w:hAnsiTheme="majorHAnsi" w:cstheme="majorBidi"/>
      <w:i/>
      <w:iCs/>
      <w:color w:val="007EFF" w:themeColor="text2"/>
      <w:sz w:val="21"/>
      <w:szCs w:val="21"/>
      <w:lang w:val="en-GB"/>
    </w:rPr>
  </w:style>
  <w:style w:type="paragraph" w:styleId="Tytu">
    <w:name w:val="Title"/>
    <w:basedOn w:val="Normalny"/>
    <w:next w:val="Normalny"/>
    <w:link w:val="TytuZnak"/>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ytuZnak">
    <w:name w:val="Tytuł Znak"/>
    <w:basedOn w:val="Domylnaczcionkaakapitu"/>
    <w:link w:val="Tytu"/>
    <w:uiPriority w:val="10"/>
    <w:rsid w:val="00516CBA"/>
    <w:rPr>
      <w:rFonts w:asciiTheme="majorHAnsi" w:eastAsiaTheme="majorEastAsia" w:hAnsiTheme="majorHAnsi" w:cstheme="majorBidi"/>
      <w:b/>
      <w:color w:val="00379F" w:themeColor="text1"/>
      <w:spacing w:val="-10"/>
      <w:sz w:val="56"/>
      <w:szCs w:val="56"/>
      <w:lang w:val="en-GB"/>
    </w:rPr>
  </w:style>
  <w:style w:type="paragraph" w:styleId="Podtytu">
    <w:name w:val="Subtitle"/>
    <w:basedOn w:val="Normalny"/>
    <w:next w:val="Normalny"/>
    <w:link w:val="PodtytuZnak"/>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PodtytuZnak">
    <w:name w:val="Podtytuł Znak"/>
    <w:basedOn w:val="Domylnaczcionkaakapitu"/>
    <w:link w:val="Podtytu"/>
    <w:uiPriority w:val="11"/>
    <w:rsid w:val="0082744A"/>
    <w:rPr>
      <w:rFonts w:asciiTheme="majorHAnsi" w:eastAsiaTheme="majorEastAsia" w:hAnsiTheme="majorHAnsi" w:cstheme="majorBidi"/>
      <w:sz w:val="28"/>
      <w:szCs w:val="24"/>
      <w:lang w:val="en-GB"/>
    </w:rPr>
  </w:style>
  <w:style w:type="character" w:customStyle="1" w:styleId="Nagwek7Znak">
    <w:name w:val="Nagłówek 7 Znak"/>
    <w:basedOn w:val="Domylnaczcionkaakapitu"/>
    <w:link w:val="Nagwek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Nagwek8Znak">
    <w:name w:val="Nagłówek 8 Znak"/>
    <w:basedOn w:val="Domylnaczcionkaakapitu"/>
    <w:link w:val="Nagwek8"/>
    <w:uiPriority w:val="9"/>
    <w:semiHidden/>
    <w:rsid w:val="00AA054E"/>
    <w:rPr>
      <w:rFonts w:asciiTheme="majorHAnsi" w:eastAsiaTheme="majorEastAsia" w:hAnsiTheme="majorHAnsi" w:cstheme="majorBidi"/>
      <w:b/>
      <w:bCs/>
      <w:color w:val="007EFF" w:themeColor="text2"/>
      <w:sz w:val="22"/>
      <w:lang w:val="en-GB"/>
    </w:rPr>
  </w:style>
  <w:style w:type="character" w:customStyle="1" w:styleId="Nagwek9Znak">
    <w:name w:val="Nagłówek 9 Znak"/>
    <w:basedOn w:val="Domylnaczcionkaakapitu"/>
    <w:link w:val="Nagwek9"/>
    <w:uiPriority w:val="9"/>
    <w:semiHidden/>
    <w:rsid w:val="00AA054E"/>
    <w:rPr>
      <w:rFonts w:asciiTheme="majorHAnsi" w:eastAsiaTheme="majorEastAsia" w:hAnsiTheme="majorHAnsi" w:cstheme="majorBidi"/>
      <w:b/>
      <w:bCs/>
      <w:i/>
      <w:iCs/>
      <w:color w:val="007EFF" w:themeColor="text2"/>
      <w:sz w:val="22"/>
      <w:lang w:val="en-GB"/>
    </w:rPr>
  </w:style>
  <w:style w:type="paragraph" w:styleId="Legenda">
    <w:name w:val="caption"/>
    <w:basedOn w:val="Normalny"/>
    <w:next w:val="Normalny"/>
    <w:uiPriority w:val="35"/>
    <w:semiHidden/>
    <w:unhideWhenUsed/>
    <w:qFormat/>
    <w:rsid w:val="00AA054E"/>
    <w:pPr>
      <w:spacing w:line="240" w:lineRule="auto"/>
    </w:pPr>
    <w:rPr>
      <w:b/>
      <w:bCs/>
      <w:smallCaps/>
      <w:color w:val="1A69FF" w:themeColor="text1" w:themeTint="A6"/>
      <w:spacing w:val="6"/>
    </w:rPr>
  </w:style>
  <w:style w:type="character" w:styleId="Pogrubienie">
    <w:name w:val="Strong"/>
    <w:basedOn w:val="Domylnaczcionkaakapitu"/>
    <w:uiPriority w:val="22"/>
    <w:qFormat/>
    <w:rsid w:val="00AA054E"/>
    <w:rPr>
      <w:b/>
      <w:bCs/>
    </w:rPr>
  </w:style>
  <w:style w:type="character" w:styleId="Uwydatnienie">
    <w:name w:val="Emphasis"/>
    <w:basedOn w:val="Domylnaczcionkaakapitu"/>
    <w:uiPriority w:val="20"/>
    <w:qFormat/>
    <w:rsid w:val="00AA054E"/>
    <w:rPr>
      <w:i/>
      <w:iCs/>
    </w:rPr>
  </w:style>
  <w:style w:type="paragraph" w:styleId="Cytat">
    <w:name w:val="Quote"/>
    <w:basedOn w:val="Normalny"/>
    <w:next w:val="Normalny"/>
    <w:link w:val="CytatZnak"/>
    <w:uiPriority w:val="29"/>
    <w:qFormat/>
    <w:rsid w:val="00AA054E"/>
    <w:pPr>
      <w:spacing w:before="160"/>
      <w:ind w:left="720" w:right="720"/>
    </w:pPr>
    <w:rPr>
      <w:i/>
      <w:iCs/>
      <w:color w:val="0055F7" w:themeColor="text1" w:themeTint="BF"/>
    </w:rPr>
  </w:style>
  <w:style w:type="character" w:customStyle="1" w:styleId="CytatZnak">
    <w:name w:val="Cytat Znak"/>
    <w:basedOn w:val="Domylnaczcionkaakapitu"/>
    <w:link w:val="Cytat"/>
    <w:uiPriority w:val="29"/>
    <w:rsid w:val="00AA054E"/>
    <w:rPr>
      <w:i/>
      <w:iCs/>
      <w:color w:val="0055F7" w:themeColor="text1" w:themeTint="BF"/>
    </w:rPr>
  </w:style>
  <w:style w:type="paragraph" w:styleId="Cytatintensywny">
    <w:name w:val="Intense Quote"/>
    <w:basedOn w:val="Normalny"/>
    <w:next w:val="Normalny"/>
    <w:link w:val="CytatintensywnyZnak"/>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ytatintensywnyZnak">
    <w:name w:val="Cytat intensywny Znak"/>
    <w:basedOn w:val="Domylnaczcionkaakapitu"/>
    <w:link w:val="Cytatintensywny"/>
    <w:uiPriority w:val="30"/>
    <w:rsid w:val="00AA054E"/>
    <w:rPr>
      <w:rFonts w:asciiTheme="majorHAnsi" w:eastAsiaTheme="majorEastAsia" w:hAnsiTheme="majorHAnsi" w:cstheme="majorBidi"/>
      <w:color w:val="34009F" w:themeColor="accent1"/>
      <w:sz w:val="28"/>
      <w:szCs w:val="28"/>
    </w:rPr>
  </w:style>
  <w:style w:type="character" w:styleId="Wyrnieniedelikatne">
    <w:name w:val="Subtle Emphasis"/>
    <w:basedOn w:val="Domylnaczcionkaakapitu"/>
    <w:uiPriority w:val="19"/>
    <w:qFormat/>
    <w:rsid w:val="00AA054E"/>
    <w:rPr>
      <w:i/>
      <w:iCs/>
      <w:color w:val="0055F7" w:themeColor="text1" w:themeTint="BF"/>
    </w:rPr>
  </w:style>
  <w:style w:type="character" w:styleId="Wyrnienieintensywne">
    <w:name w:val="Intense Emphasis"/>
    <w:basedOn w:val="Domylnaczcionkaakapitu"/>
    <w:uiPriority w:val="21"/>
    <w:qFormat/>
    <w:rsid w:val="00AA054E"/>
    <w:rPr>
      <w:b/>
      <w:bCs/>
      <w:i/>
      <w:iCs/>
    </w:rPr>
  </w:style>
  <w:style w:type="character" w:styleId="Odwoaniedelikatne">
    <w:name w:val="Subtle Reference"/>
    <w:basedOn w:val="Domylnaczcionkaakapitu"/>
    <w:uiPriority w:val="31"/>
    <w:qFormat/>
    <w:rsid w:val="00AA054E"/>
    <w:rPr>
      <w:smallCaps/>
      <w:color w:val="0055F7" w:themeColor="text1" w:themeTint="BF"/>
      <w:u w:val="single" w:color="4E8BFF" w:themeColor="text1" w:themeTint="80"/>
    </w:rPr>
  </w:style>
  <w:style w:type="character" w:styleId="Odwoanieintensywne">
    <w:name w:val="Intense Reference"/>
    <w:basedOn w:val="Domylnaczcionkaakapitu"/>
    <w:uiPriority w:val="32"/>
    <w:qFormat/>
    <w:rsid w:val="00AA054E"/>
    <w:rPr>
      <w:b/>
      <w:bCs/>
      <w:smallCaps/>
      <w:spacing w:val="5"/>
      <w:u w:val="single"/>
    </w:rPr>
  </w:style>
  <w:style w:type="character" w:styleId="Tytuksiki">
    <w:name w:val="Book Title"/>
    <w:basedOn w:val="Domylnaczcionkaakapitu"/>
    <w:uiPriority w:val="33"/>
    <w:qFormat/>
    <w:rsid w:val="00AA054E"/>
    <w:rPr>
      <w:b/>
      <w:bCs/>
      <w:smallCaps/>
    </w:rPr>
  </w:style>
  <w:style w:type="paragraph" w:styleId="Nagwekspisutreci">
    <w:name w:val="TOC Heading"/>
    <w:basedOn w:val="Nagwek1"/>
    <w:next w:val="Normalny"/>
    <w:uiPriority w:val="39"/>
    <w:unhideWhenUsed/>
    <w:qFormat/>
    <w:rsid w:val="00F205B9"/>
    <w:pPr>
      <w:numPr>
        <w:numId w:val="0"/>
      </w:numPr>
      <w:outlineLvl w:val="9"/>
    </w:pPr>
  </w:style>
  <w:style w:type="character" w:customStyle="1" w:styleId="BezodstpwZnak">
    <w:name w:val="Bez odstępów Znak"/>
    <w:basedOn w:val="Domylnaczcionkaakapitu"/>
    <w:link w:val="Bezodstpw"/>
    <w:uiPriority w:val="1"/>
    <w:rsid w:val="005B6B12"/>
    <w:rPr>
      <w:lang w:val="en-GB"/>
    </w:rPr>
  </w:style>
  <w:style w:type="paragraph" w:styleId="Nagwek">
    <w:name w:val="header"/>
    <w:basedOn w:val="Normalny"/>
    <w:link w:val="NagwekZnak"/>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NagwekZnak">
    <w:name w:val="Nagłówek Znak"/>
    <w:basedOn w:val="Domylnaczcionkaakapitu"/>
    <w:link w:val="Nagwek"/>
    <w:rsid w:val="00AF6B1E"/>
    <w:rPr>
      <w:color w:val="001B4F" w:themeColor="text1" w:themeShade="80"/>
      <w:sz w:val="16"/>
      <w:lang w:val="en-GB"/>
    </w:rPr>
  </w:style>
  <w:style w:type="paragraph" w:styleId="Stopka">
    <w:name w:val="footer"/>
    <w:basedOn w:val="Normalny"/>
    <w:link w:val="StopkaZnak"/>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StopkaZnak">
    <w:name w:val="Stopka Znak"/>
    <w:basedOn w:val="Domylnaczcionkaakapitu"/>
    <w:link w:val="Stopka"/>
    <w:uiPriority w:val="99"/>
    <w:rsid w:val="004E5FF8"/>
    <w:rPr>
      <w:color w:val="001B4F" w:themeColor="text1" w:themeShade="80"/>
      <w:sz w:val="16"/>
      <w:lang w:val="en-GB"/>
    </w:rPr>
  </w:style>
  <w:style w:type="paragraph" w:customStyle="1" w:styleId="00aPagenumber">
    <w:name w:val="00a_Page number"/>
    <w:basedOn w:val="Normalny"/>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ny"/>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Spistreci1">
    <w:name w:val="toc 1"/>
    <w:basedOn w:val="Normalny"/>
    <w:next w:val="Normalny"/>
    <w:uiPriority w:val="39"/>
    <w:unhideWhenUsed/>
    <w:qFormat/>
    <w:rsid w:val="00F205B9"/>
    <w:pPr>
      <w:framePr w:hSpace="180" w:wrap="around" w:vAnchor="text" w:hAnchor="margin" w:y="115"/>
      <w:tabs>
        <w:tab w:val="left" w:pos="440"/>
        <w:tab w:val="right" w:leader="dot" w:pos="9062"/>
      </w:tabs>
      <w:spacing w:after="100"/>
    </w:pPr>
  </w:style>
  <w:style w:type="paragraph" w:styleId="Spistreci2">
    <w:name w:val="toc 2"/>
    <w:basedOn w:val="Spistreci1"/>
    <w:next w:val="Normalny"/>
    <w:uiPriority w:val="39"/>
    <w:unhideWhenUsed/>
    <w:qFormat/>
    <w:rsid w:val="00F205B9"/>
    <w:pPr>
      <w:framePr w:wrap="around"/>
      <w:tabs>
        <w:tab w:val="right" w:leader="dot" w:pos="440"/>
      </w:tabs>
      <w:ind w:left="220"/>
    </w:pPr>
  </w:style>
  <w:style w:type="paragraph" w:styleId="Spistreci3">
    <w:name w:val="toc 3"/>
    <w:basedOn w:val="Spistreci1"/>
    <w:next w:val="Normalny"/>
    <w:uiPriority w:val="39"/>
    <w:unhideWhenUsed/>
    <w:qFormat/>
    <w:rsid w:val="00AD0B10"/>
    <w:pPr>
      <w:framePr w:wrap="around"/>
      <w:ind w:left="442"/>
    </w:pPr>
  </w:style>
  <w:style w:type="character" w:styleId="Hipercze">
    <w:name w:val="Hyperlink"/>
    <w:basedOn w:val="Domylnaczcionkaakapitu"/>
    <w:uiPriority w:val="99"/>
    <w:unhideWhenUsed/>
    <w:qFormat/>
    <w:rsid w:val="000C1E78"/>
    <w:rPr>
      <w:color w:val="005EBF" w:themeColor="text2" w:themeShade="BF"/>
      <w:u w:val="single"/>
    </w:rPr>
  </w:style>
  <w:style w:type="paragraph" w:customStyle="1" w:styleId="Questionstyle">
    <w:name w:val="Question style"/>
    <w:basedOn w:val="Normalny"/>
    <w:next w:val="Normalny"/>
    <w:link w:val="QuestionstyleChar"/>
    <w:autoRedefine/>
    <w:qFormat/>
    <w:rsid w:val="00C5469A"/>
    <w:pPr>
      <w:tabs>
        <w:tab w:val="left" w:pos="567"/>
      </w:tabs>
      <w:ind w:hanging="360"/>
      <w:contextualSpacing/>
    </w:pPr>
    <w:rPr>
      <w:b/>
    </w:rPr>
  </w:style>
  <w:style w:type="character" w:customStyle="1" w:styleId="QuestionstyleChar">
    <w:name w:val="Question style Char"/>
    <w:basedOn w:val="Domylnaczcionkaakapitu"/>
    <w:link w:val="Questionstyle"/>
    <w:rsid w:val="00C5469A"/>
    <w:rPr>
      <w:b/>
      <w:color w:val="181818" w:themeColor="background1" w:themeShade="1A"/>
      <w:sz w:val="22"/>
      <w:lang w:val="en-GB"/>
    </w:rPr>
  </w:style>
  <w:style w:type="paragraph" w:customStyle="1" w:styleId="Listing2">
    <w:name w:val="Listing2"/>
    <w:basedOn w:val="Normalny"/>
    <w:link w:val="Listing2Char"/>
    <w:autoRedefine/>
    <w:rsid w:val="00DF3785"/>
  </w:style>
  <w:style w:type="character" w:customStyle="1" w:styleId="Listing2Char">
    <w:name w:val="Listing2 Char"/>
    <w:basedOn w:val="Domylnaczcionkaakapitu"/>
    <w:link w:val="Listing2"/>
    <w:rsid w:val="00DF3785"/>
    <w:rPr>
      <w:lang w:val="en-GB"/>
    </w:rPr>
  </w:style>
  <w:style w:type="table" w:styleId="Tabela-Siatka">
    <w:name w:val="Table Grid"/>
    <w:basedOn w:val="Standardowy"/>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0534"/>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B50534"/>
    <w:rPr>
      <w:lang w:val="en-GB"/>
    </w:rPr>
  </w:style>
  <w:style w:type="character" w:styleId="Odwoanieprzypisukocowego">
    <w:name w:val="endnote reference"/>
    <w:basedOn w:val="Domylnaczcionkaakapitu"/>
    <w:uiPriority w:val="99"/>
    <w:semiHidden/>
    <w:unhideWhenUsed/>
    <w:rsid w:val="00B50534"/>
    <w:rPr>
      <w:vertAlign w:val="superscript"/>
    </w:rPr>
  </w:style>
  <w:style w:type="paragraph" w:styleId="Tekstprzypisudolnego">
    <w:name w:val="footnote text"/>
    <w:basedOn w:val="Normalny"/>
    <w:link w:val="TekstprzypisudolnegoZnak"/>
    <w:autoRedefine/>
    <w:uiPriority w:val="99"/>
    <w:unhideWhenUsed/>
    <w:qFormat/>
    <w:rsid w:val="007A1A9D"/>
    <w:pPr>
      <w:spacing w:after="0" w:line="240" w:lineRule="auto"/>
    </w:pPr>
    <w:rPr>
      <w:sz w:val="16"/>
    </w:rPr>
  </w:style>
  <w:style w:type="character" w:customStyle="1" w:styleId="TekstprzypisudolnegoZnak">
    <w:name w:val="Tekst przypisu dolnego Znak"/>
    <w:basedOn w:val="Domylnaczcionkaakapitu"/>
    <w:link w:val="Tekstprzypisudolnego"/>
    <w:uiPriority w:val="99"/>
    <w:rsid w:val="007A1A9D"/>
    <w:rPr>
      <w:color w:val="181818" w:themeColor="background1" w:themeShade="1A"/>
      <w:sz w:val="16"/>
      <w:lang w:val="en-GB"/>
    </w:rPr>
  </w:style>
  <w:style w:type="character" w:styleId="Odwoanieprzypisudolnego">
    <w:name w:val="footnote reference"/>
    <w:basedOn w:val="Domylnaczcionkaakapitu"/>
    <w:uiPriority w:val="99"/>
    <w:semiHidden/>
    <w:unhideWhenUsed/>
    <w:qFormat/>
    <w:rsid w:val="00A91D91"/>
    <w:rPr>
      <w:rFonts w:asciiTheme="majorHAnsi" w:hAnsiTheme="majorHAnsi"/>
      <w:sz w:val="16"/>
      <w:vertAlign w:val="superscript"/>
    </w:rPr>
  </w:style>
  <w:style w:type="paragraph" w:customStyle="1" w:styleId="Footnote">
    <w:name w:val="Footnote"/>
    <w:basedOn w:val="Tekstprzypisudolnego"/>
    <w:link w:val="FootnoteChar"/>
    <w:qFormat/>
    <w:rsid w:val="00672C04"/>
    <w:pPr>
      <w:ind w:left="454" w:hanging="454"/>
    </w:pPr>
    <w:rPr>
      <w:lang w:val="nl-BE"/>
    </w:rPr>
  </w:style>
  <w:style w:type="character" w:customStyle="1" w:styleId="FootnoteChar">
    <w:name w:val="Footnote Char"/>
    <w:basedOn w:val="TekstprzypisudolnegoZnak"/>
    <w:link w:val="Footnote"/>
    <w:rsid w:val="00672C04"/>
    <w:rPr>
      <w:color w:val="181818" w:themeColor="background1" w:themeShade="1A"/>
      <w:sz w:val="16"/>
      <w:lang w:val="en-GB"/>
    </w:rPr>
  </w:style>
  <w:style w:type="table" w:customStyle="1" w:styleId="GridTable4-Accent11">
    <w:name w:val="Grid Table 4 - Accent 11"/>
    <w:basedOn w:val="Standardowy"/>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kstdymka">
    <w:name w:val="Balloon Text"/>
    <w:basedOn w:val="Normalny"/>
    <w:link w:val="TekstdymkaZnak"/>
    <w:uiPriority w:val="99"/>
    <w:semiHidden/>
    <w:unhideWhenUsed/>
    <w:rsid w:val="007151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51BF"/>
    <w:rPr>
      <w:rFonts w:ascii="Tahoma" w:hAnsi="Tahoma" w:cs="Tahoma"/>
      <w:sz w:val="16"/>
      <w:szCs w:val="16"/>
      <w:lang w:val="en-GB"/>
    </w:rPr>
  </w:style>
  <w:style w:type="paragraph" w:styleId="Spistreci4">
    <w:name w:val="toc 4"/>
    <w:basedOn w:val="Spistreci1"/>
    <w:next w:val="Normalny"/>
    <w:uiPriority w:val="39"/>
    <w:unhideWhenUsed/>
    <w:qFormat/>
    <w:rsid w:val="00F205B9"/>
    <w:pPr>
      <w:framePr w:wrap="around"/>
      <w:ind w:left="660"/>
    </w:pPr>
  </w:style>
  <w:style w:type="character" w:styleId="Odwoaniedokomentarza">
    <w:name w:val="annotation reference"/>
    <w:basedOn w:val="Domylnaczcionkaakapitu"/>
    <w:uiPriority w:val="99"/>
    <w:semiHidden/>
    <w:unhideWhenUsed/>
    <w:rsid w:val="00D33C31"/>
    <w:rPr>
      <w:sz w:val="16"/>
      <w:szCs w:val="16"/>
    </w:rPr>
  </w:style>
  <w:style w:type="paragraph" w:styleId="Tekstkomentarza">
    <w:name w:val="annotation text"/>
    <w:basedOn w:val="Normalny"/>
    <w:link w:val="TekstkomentarzaZnak"/>
    <w:uiPriority w:val="99"/>
    <w:unhideWhenUsed/>
    <w:rsid w:val="00D33C31"/>
    <w:pPr>
      <w:spacing w:line="240" w:lineRule="auto"/>
    </w:pPr>
    <w:rPr>
      <w:sz w:val="20"/>
    </w:rPr>
  </w:style>
  <w:style w:type="character" w:customStyle="1" w:styleId="TekstkomentarzaZnak">
    <w:name w:val="Tekst komentarza Znak"/>
    <w:basedOn w:val="Domylnaczcionkaakapitu"/>
    <w:link w:val="Tekstkomentarza"/>
    <w:uiPriority w:val="99"/>
    <w:rsid w:val="00D33C31"/>
    <w:rPr>
      <w:lang w:val="en-GB"/>
    </w:rPr>
  </w:style>
  <w:style w:type="paragraph" w:styleId="Tematkomentarza">
    <w:name w:val="annotation subject"/>
    <w:basedOn w:val="Tekstkomentarza"/>
    <w:next w:val="Tekstkomentarza"/>
    <w:link w:val="TematkomentarzaZnak"/>
    <w:uiPriority w:val="99"/>
    <w:semiHidden/>
    <w:unhideWhenUsed/>
    <w:rsid w:val="00D33C31"/>
    <w:rPr>
      <w:b/>
      <w:bCs/>
    </w:rPr>
  </w:style>
  <w:style w:type="character" w:customStyle="1" w:styleId="TematkomentarzaZnak">
    <w:name w:val="Temat komentarza Znak"/>
    <w:basedOn w:val="TekstkomentarzaZnak"/>
    <w:link w:val="Tematkomentarza"/>
    <w:uiPriority w:val="99"/>
    <w:semiHidden/>
    <w:rsid w:val="00D33C31"/>
    <w:rPr>
      <w:b/>
      <w:bCs/>
      <w:lang w:val="en-GB"/>
    </w:rPr>
  </w:style>
  <w:style w:type="character" w:styleId="Nierozpoznanawzmianka">
    <w:name w:val="Unresolved Mention"/>
    <w:basedOn w:val="Domylnaczcionkaakapitu"/>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Pogrubienie"/>
    <w:uiPriority w:val="1"/>
    <w:qFormat/>
    <w:rsid w:val="008858FE"/>
    <w:rPr>
      <w:b w:val="0"/>
      <w:bCs/>
      <w:caps/>
      <w:smallCaps w:val="0"/>
      <w:color w:val="FF0000" w:themeColor="accent6"/>
      <w:sz w:val="22"/>
    </w:rPr>
  </w:style>
  <w:style w:type="paragraph" w:customStyle="1" w:styleId="Disclaimer">
    <w:name w:val="Disclaimer"/>
    <w:basedOn w:val="Normalny"/>
    <w:qFormat/>
    <w:rsid w:val="00906D18"/>
    <w:rPr>
      <w:i/>
      <w:iCs/>
      <w:sz w:val="18"/>
      <w:szCs w:val="18"/>
    </w:rPr>
  </w:style>
  <w:style w:type="paragraph" w:customStyle="1" w:styleId="ESMAHeader">
    <w:name w:val="ESMA Header"/>
    <w:basedOn w:val="Nagwek"/>
    <w:qFormat/>
    <w:rsid w:val="00AF6B1E"/>
  </w:style>
  <w:style w:type="paragraph" w:customStyle="1" w:styleId="Pageheader">
    <w:name w:val="Page header"/>
    <w:basedOn w:val="Nagwek"/>
    <w:next w:val="Nagwek"/>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ny"/>
    <w:qFormat/>
    <w:rsid w:val="00F205B9"/>
    <w:rPr>
      <w:rFonts w:ascii="Arial" w:eastAsia="Times New Roman" w:hAnsi="Arial" w:cs="Arial"/>
      <w:sz w:val="18"/>
      <w:szCs w:val="18"/>
      <w:lang w:eastAsia="de-DE"/>
    </w:rPr>
  </w:style>
  <w:style w:type="paragraph" w:styleId="Spistreci5">
    <w:name w:val="toc 5"/>
    <w:basedOn w:val="Normalny"/>
    <w:next w:val="Normalny"/>
    <w:uiPriority w:val="39"/>
    <w:semiHidden/>
    <w:unhideWhenUsed/>
    <w:qFormat/>
    <w:rsid w:val="00F205B9"/>
    <w:pPr>
      <w:spacing w:after="100"/>
      <w:ind w:left="880"/>
    </w:pPr>
  </w:style>
  <w:style w:type="paragraph" w:styleId="Spistreci6">
    <w:name w:val="toc 6"/>
    <w:basedOn w:val="Normalny"/>
    <w:next w:val="Normalny"/>
    <w:uiPriority w:val="39"/>
    <w:semiHidden/>
    <w:unhideWhenUsed/>
    <w:qFormat/>
    <w:rsid w:val="00F205B9"/>
    <w:pPr>
      <w:spacing w:after="100"/>
      <w:ind w:left="1100"/>
    </w:pPr>
  </w:style>
  <w:style w:type="paragraph" w:styleId="Spistreci7">
    <w:name w:val="toc 7"/>
    <w:basedOn w:val="Normalny"/>
    <w:next w:val="Normalny"/>
    <w:uiPriority w:val="39"/>
    <w:semiHidden/>
    <w:unhideWhenUsed/>
    <w:qFormat/>
    <w:rsid w:val="00F205B9"/>
    <w:pPr>
      <w:spacing w:after="100"/>
      <w:ind w:left="1320"/>
    </w:pPr>
  </w:style>
  <w:style w:type="paragraph" w:styleId="Spistreci8">
    <w:name w:val="toc 8"/>
    <w:basedOn w:val="Normalny"/>
    <w:next w:val="Normalny"/>
    <w:uiPriority w:val="39"/>
    <w:semiHidden/>
    <w:unhideWhenUsed/>
    <w:qFormat/>
    <w:rsid w:val="00F205B9"/>
    <w:pPr>
      <w:spacing w:after="100"/>
      <w:ind w:left="1540"/>
    </w:pPr>
  </w:style>
  <w:style w:type="paragraph" w:styleId="Spistreci9">
    <w:name w:val="toc 9"/>
    <w:basedOn w:val="Normalny"/>
    <w:next w:val="Normalny"/>
    <w:uiPriority w:val="39"/>
    <w:semiHidden/>
    <w:unhideWhenUsed/>
    <w:qFormat/>
    <w:rsid w:val="00F205B9"/>
    <w:pPr>
      <w:spacing w:after="100"/>
      <w:ind w:left="1760"/>
    </w:pPr>
  </w:style>
  <w:style w:type="character" w:styleId="UyteHipercze">
    <w:name w:val="FollowedHyperlink"/>
    <w:basedOn w:val="Domylnaczcionkaakapitu"/>
    <w:uiPriority w:val="99"/>
    <w:semiHidden/>
    <w:unhideWhenUsed/>
    <w:rsid w:val="0043139E"/>
    <w:rPr>
      <w:color w:val="0174AF" w:themeColor="followedHyperlink"/>
      <w:u w:val="single"/>
    </w:rPr>
  </w:style>
  <w:style w:type="character" w:customStyle="1" w:styleId="AkapitzlistZnak">
    <w:name w:val="Akapit z listą Znak"/>
    <w:aliases w:val="Paragraphe EI Znak,Paragraphe de liste1 Znak,EC Znak"/>
    <w:link w:val="Akapitzlist"/>
    <w:uiPriority w:val="34"/>
    <w:locked/>
    <w:rsid w:val="00EC6066"/>
    <w:rPr>
      <w:rFonts w:asciiTheme="majorHAnsi" w:hAnsiTheme="majorHAnsi" w:cstheme="majorHAnsi"/>
      <w:color w:val="181818" w:themeColor="background1" w:themeShade="1A"/>
      <w:sz w:val="22"/>
      <w:szCs w:val="22"/>
      <w:lang w:val="pt-PT"/>
    </w:rPr>
  </w:style>
  <w:style w:type="paragraph" w:styleId="Poprawka">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ny"/>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omylnaczcionkaakapitu"/>
    <w:rsid w:val="00061F32"/>
    <w:rPr>
      <w:rFonts w:ascii="Segoe UI" w:hAnsi="Segoe UI" w:cs="Segoe UI" w:hint="default"/>
      <w:sz w:val="18"/>
      <w:szCs w:val="18"/>
    </w:rPr>
  </w:style>
  <w:style w:type="character" w:customStyle="1" w:styleId="cf11">
    <w:name w:val="cf11"/>
    <w:basedOn w:val="Domylnaczcionkaakapitu"/>
    <w:rsid w:val="00061F32"/>
    <w:rPr>
      <w:rFonts w:ascii="Segoe UI" w:hAnsi="Segoe UI" w:cs="Segoe UI" w:hint="default"/>
      <w:color w:val="333333"/>
      <w:sz w:val="18"/>
      <w:szCs w:val="18"/>
      <w:shd w:val="clear" w:color="auto" w:fill="FFFFFF"/>
    </w:rPr>
  </w:style>
  <w:style w:type="character" w:styleId="Wzmianka">
    <w:name w:val="Mention"/>
    <w:basedOn w:val="Domylnaczcionkaakapitu"/>
    <w:uiPriority w:val="99"/>
    <w:unhideWhenUsed/>
    <w:rsid w:val="00251F26"/>
    <w:rPr>
      <w:color w:val="2B579A"/>
      <w:shd w:val="clear" w:color="auto" w:fill="E1DFDD"/>
    </w:rPr>
  </w:style>
  <w:style w:type="character" w:styleId="Tekstzastpczy">
    <w:name w:val="Placeholder Text"/>
    <w:basedOn w:val="Domylnaczcionkaakapitu"/>
    <w:uiPriority w:val="99"/>
    <w:semiHidden/>
    <w:rsid w:val="00635BCA"/>
    <w:rPr>
      <w:color w:val="808080"/>
    </w:rPr>
  </w:style>
  <w:style w:type="paragraph" w:customStyle="1" w:styleId="para">
    <w:name w:val="para"/>
    <w:basedOn w:val="Akapitzlist"/>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omylnaczcionkaakapitu"/>
    <w:link w:val="para"/>
    <w:rsid w:val="00641F03"/>
    <w:rPr>
      <w:bCs/>
      <w:iCs/>
      <w:color w:val="181818" w:themeColor="background1" w:themeShade="1A"/>
      <w:sz w:val="22"/>
      <w:lang w:val="en-GB"/>
    </w:rPr>
  </w:style>
  <w:style w:type="character" w:customStyle="1" w:styleId="normaltextrun">
    <w:name w:val="normaltextrun"/>
    <w:basedOn w:val="Domylnaczcionkaakapitu"/>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69296145">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32231876">
      <w:bodyDiv w:val="1"/>
      <w:marLeft w:val="0"/>
      <w:marRight w:val="0"/>
      <w:marTop w:val="0"/>
      <w:marBottom w:val="0"/>
      <w:divBdr>
        <w:top w:val="none" w:sz="0" w:space="0" w:color="auto"/>
        <w:left w:val="none" w:sz="0" w:space="0" w:color="auto"/>
        <w:bottom w:val="none" w:sz="0" w:space="0" w:color="auto"/>
        <w:right w:val="none" w:sz="0" w:space="0" w:color="auto"/>
      </w:divBdr>
    </w:div>
    <w:div w:id="1307124495">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16601432">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00882678">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21173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Tekstzastpczy"/>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Tekstzastpczy"/>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02A3E"/>
    <w:rsid w:val="000B163B"/>
    <w:rsid w:val="000B5175"/>
    <w:rsid w:val="000C0B68"/>
    <w:rsid w:val="0015768C"/>
    <w:rsid w:val="002536E7"/>
    <w:rsid w:val="00254E75"/>
    <w:rsid w:val="0034145D"/>
    <w:rsid w:val="00372212"/>
    <w:rsid w:val="004E4CF9"/>
    <w:rsid w:val="005D66AB"/>
    <w:rsid w:val="006954E6"/>
    <w:rsid w:val="006D3543"/>
    <w:rsid w:val="00701E25"/>
    <w:rsid w:val="00813189"/>
    <w:rsid w:val="008222A0"/>
    <w:rsid w:val="00836D47"/>
    <w:rsid w:val="009B6B9C"/>
    <w:rsid w:val="00B07345"/>
    <w:rsid w:val="00B22006"/>
    <w:rsid w:val="00B46CAE"/>
    <w:rsid w:val="00D52831"/>
    <w:rsid w:val="00DC3796"/>
    <w:rsid w:val="00DC4211"/>
    <w:rsid w:val="00EE3D34"/>
    <w:rsid w:val="00F66566"/>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9" ma:contentTypeDescription="" ma:contentTypeScope="" ma:versionID="73f7c2da696fa3c22950bf70c14e5c8d">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0cc192deb419d8a7e5a7b4a0753f9c30"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307</Value>
      <Value>282</Value>
      <Value>9</Value>
      <Value>296</Value>
    </TaxCatchAll>
    <_dlc_DocId xmlns="d0fb0f98-34f9-4d57-9559-eb8efd17aa5e">ESMA74-2119945925-2205</_dlc_DocId>
    <_dlc_DocIdUrl xmlns="d0fb0f98-34f9-4d57-9559-eb8efd17aa5e">
      <Url>https://securitiesandmarketsauth.sharepoint.com/sites/sherpa-trdu/_layouts/15/DocIdRedir.aspx?ID=ESMA74-2119945925-2205</Url>
      <Description>ESMA74-2119945925-2205</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2FA012-DAE9-4B61-B234-F71824270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6ee69ee-eb04-4cc4-8631-12658645af0f"/>
    <ds:schemaRef ds:uri="d0fb0f98-34f9-4d57-9559-eb8efd17aa5e"/>
  </ds:schemaRefs>
</ds:datastoreItem>
</file>

<file path=customXml/itemProps4.xml><?xml version="1.0" encoding="utf-8"?>
<ds:datastoreItem xmlns:ds="http://schemas.openxmlformats.org/officeDocument/2006/customXml" ds:itemID="{92F8F2DF-DA9D-4E3B-AF8A-ABDFC913518A}">
  <ds:schemaRefs>
    <ds:schemaRef ds:uri="http://schemas.microsoft.com/sharepoint/v3/contenttype/forms"/>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3698</Words>
  <Characters>22188</Characters>
  <Application>Microsoft Office Word</Application>
  <DocSecurity>8</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Wicha Agnieszka</cp:lastModifiedBy>
  <cp:revision>3</cp:revision>
  <cp:lastPrinted>2023-09-09T00:53:00Z</cp:lastPrinted>
  <dcterms:created xsi:type="dcterms:W3CDTF">2025-04-14T11:14:00Z</dcterms:created>
  <dcterms:modified xsi:type="dcterms:W3CDTF">2025-04-14T11:17:00Z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d63460df-cf6d-4797-8d07-76b1b5190631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y fmtid="{D5CDD505-2E9C-101B-9397-08002B2CF9AE}" pid="16" name="MSIP_Label_48ed5431-0ab7-4c1b-98f4-d4e50f674d02_Enabled">
    <vt:lpwstr>true</vt:lpwstr>
  </property>
  <property fmtid="{D5CDD505-2E9C-101B-9397-08002B2CF9AE}" pid="17" name="MSIP_Label_48ed5431-0ab7-4c1b-98f4-d4e50f674d02_SetDate">
    <vt:lpwstr>2025-04-10T14:28:32Z</vt:lpwstr>
  </property>
  <property fmtid="{D5CDD505-2E9C-101B-9397-08002B2CF9AE}" pid="18" name="MSIP_Label_48ed5431-0ab7-4c1b-98f4-d4e50f674d02_Method">
    <vt:lpwstr>Privileged</vt:lpwstr>
  </property>
  <property fmtid="{D5CDD505-2E9C-101B-9397-08002B2CF9AE}" pid="19" name="MSIP_Label_48ed5431-0ab7-4c1b-98f4-d4e50f674d02_Name">
    <vt:lpwstr>48ed5431-0ab7-4c1b-98f4-d4e50f674d02</vt:lpwstr>
  </property>
  <property fmtid="{D5CDD505-2E9C-101B-9397-08002B2CF9AE}" pid="20" name="MSIP_Label_48ed5431-0ab7-4c1b-98f4-d4e50f674d02_SiteId">
    <vt:lpwstr>614f9c25-bffa-42c7-86d8-964101f55fa2</vt:lpwstr>
  </property>
  <property fmtid="{D5CDD505-2E9C-101B-9397-08002B2CF9AE}" pid="21" name="MSIP_Label_48ed5431-0ab7-4c1b-98f4-d4e50f674d02_ActionId">
    <vt:lpwstr>0919a98b-adc1-4578-805f-bcf01f6fede3</vt:lpwstr>
  </property>
  <property fmtid="{D5CDD505-2E9C-101B-9397-08002B2CF9AE}" pid="22" name="MSIP_Label_48ed5431-0ab7-4c1b-98f4-d4e50f674d02_ContentBits">
    <vt:lpwstr>0</vt:lpwstr>
  </property>
  <property fmtid="{D5CDD505-2E9C-101B-9397-08002B2CF9AE}" pid="23" name="MSIP_Label_48ed5431-0ab7-4c1b-98f4-d4e50f674d02_Tag">
    <vt:lpwstr>10, 0, 1, 1</vt:lpwstr>
  </property>
</Properties>
</file>