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spacing w:val="0"/>
          <w:kern w:val="0"/>
          <w:sz w:val="28"/>
          <w:szCs w:val="28"/>
        </w:rPr>
        <w:id w:val="-973058580"/>
        <w:docPartObj>
          <w:docPartGallery w:val="Cover Pages"/>
          <w:docPartUnique/>
        </w:docPartObj>
      </w:sdtPr>
      <w:sdtEndPr>
        <w:rPr>
          <w:b w:val="0"/>
        </w:rPr>
      </w:sdtEndPr>
      <w:sdtContent>
        <w:p w14:paraId="0DAAF6D3" w14:textId="77777777" w:rsidR="00420D18" w:rsidRDefault="00420D18" w:rsidP="00420D18">
          <w:pPr>
            <w:pStyle w:val="Titel"/>
            <w:rPr>
              <w:rFonts w:asciiTheme="minorHAnsi" w:eastAsiaTheme="minorEastAsia" w:hAnsiTheme="minorHAnsi" w:cstheme="minorBidi"/>
              <w:b/>
              <w:spacing w:val="0"/>
              <w:sz w:val="28"/>
              <w:szCs w:val="28"/>
            </w:rPr>
          </w:pPr>
        </w:p>
        <w:p w14:paraId="72CBB4D9" w14:textId="77777777" w:rsidR="00420D18" w:rsidRDefault="00420D18" w:rsidP="00420D18">
          <w:pPr>
            <w:pStyle w:val="Titel"/>
            <w:rPr>
              <w:rFonts w:asciiTheme="minorHAnsi" w:eastAsiaTheme="minorEastAsia" w:hAnsiTheme="minorHAnsi" w:cstheme="minorBidi"/>
              <w:b/>
              <w:spacing w:val="0"/>
              <w:sz w:val="28"/>
              <w:szCs w:val="28"/>
            </w:rPr>
          </w:pPr>
        </w:p>
        <w:p w14:paraId="0BE5CB84" w14:textId="77777777" w:rsidR="00420D18" w:rsidRDefault="00420D18" w:rsidP="00420D18">
          <w:pPr>
            <w:pStyle w:val="Titel"/>
            <w:rPr>
              <w:rFonts w:asciiTheme="minorHAnsi" w:eastAsiaTheme="minorEastAsia" w:hAnsiTheme="minorHAnsi" w:cstheme="minorBidi"/>
              <w:b/>
              <w:spacing w:val="0"/>
              <w:sz w:val="28"/>
              <w:szCs w:val="28"/>
            </w:rPr>
          </w:pPr>
        </w:p>
        <w:p w14:paraId="09BD42F9" w14:textId="77777777" w:rsidR="00420D18" w:rsidRDefault="00420D18" w:rsidP="00420D18">
          <w:pPr>
            <w:pStyle w:val="Titel"/>
          </w:pPr>
          <w:r>
            <w:t>Reply Form</w:t>
          </w:r>
        </w:p>
        <w:p w14:paraId="3CBF10E4" w14:textId="77777777" w:rsidR="00420D18" w:rsidRPr="00C01571" w:rsidRDefault="00420D18" w:rsidP="00420D18">
          <w:pPr>
            <w:pStyle w:val="Untertitel"/>
            <w:rPr>
              <w:rFonts w:cs="Arial"/>
              <w:sz w:val="36"/>
              <w:szCs w:val="36"/>
            </w:rPr>
          </w:pPr>
          <w:r>
            <w:rPr>
              <w:rStyle w:val="normaltextrun"/>
              <w:rFonts w:ascii="Arial" w:hAnsi="Arial" w:cs="Arial"/>
              <w:color w:val="181818"/>
              <w:bdr w:val="none" w:sz="0" w:space="0" w:color="auto" w:frame="1"/>
            </w:rPr>
            <w:t xml:space="preserve">Consultation Paper on the Amendments to the RTS on Settlement Discipline </w:t>
          </w:r>
          <w:r w:rsidRPr="00C01571">
            <w:rPr>
              <w:noProof/>
              <w:sz w:val="36"/>
              <w:szCs w:val="36"/>
            </w:rPr>
            <mc:AlternateContent>
              <mc:Choice Requires="wps">
                <w:drawing>
                  <wp:anchor distT="0" distB="0" distL="114300" distR="114300" simplePos="0" relativeHeight="251659264" behindDoc="1" locked="1" layoutInCell="1" allowOverlap="0" wp14:anchorId="253C910A" wp14:editId="1F94F9E3">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35AFBD8"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08F7CAC8" w14:textId="77777777" w:rsidR="00420D18" w:rsidRDefault="00420D18" w:rsidP="00420D18"/>
        <w:p w14:paraId="252B06DE" w14:textId="77777777" w:rsidR="00420D18" w:rsidRPr="00D77369" w:rsidRDefault="00420D18" w:rsidP="00420D18">
          <w:pPr>
            <w:sectPr w:rsidR="00420D18" w:rsidRPr="00D77369" w:rsidSect="00420D18">
              <w:headerReference w:type="first" r:id="rId10"/>
              <w:pgSz w:w="11906" w:h="16838"/>
              <w:pgMar w:top="1417" w:right="1417" w:bottom="1417" w:left="1417" w:header="862" w:footer="708" w:gutter="0"/>
              <w:pgNumType w:start="0"/>
              <w:cols w:space="708"/>
              <w:titlePg/>
              <w:docGrid w:linePitch="360"/>
            </w:sectPr>
          </w:pPr>
        </w:p>
        <w:p w14:paraId="7EB32C91" w14:textId="77777777" w:rsidR="00420D18" w:rsidRPr="005B6B12" w:rsidRDefault="00420D18" w:rsidP="00420D18">
          <w:pPr>
            <w:pStyle w:val="Untertitel"/>
          </w:pPr>
          <w:r w:rsidRPr="005B6B12">
            <w:lastRenderedPageBreak/>
            <w:t xml:space="preserve">Responding to this </w:t>
          </w:r>
          <w:r>
            <w:t>Consultation P</w:t>
          </w:r>
          <w:r w:rsidRPr="005B6B12">
            <w:t xml:space="preserve">aper </w:t>
          </w:r>
        </w:p>
        <w:p w14:paraId="3AC1A02D" w14:textId="77777777" w:rsidR="00420D18" w:rsidRPr="005B6B12" w:rsidRDefault="00420D18" w:rsidP="00420D18">
          <w:r w:rsidRPr="005B6B12">
            <w:t xml:space="preserve">ESMA invites comments on all matters in this </w:t>
          </w:r>
          <w:r>
            <w:t>Consultation P</w:t>
          </w:r>
          <w:r w:rsidRPr="005B6B12">
            <w:t xml:space="preserve">aper and </w:t>
          </w:r>
          <w:proofErr w:type="gramStart"/>
          <w:r w:rsidRPr="005B6B12">
            <w:t xml:space="preserve">in particular </w:t>
          </w:r>
          <w:r>
            <w:t>on</w:t>
          </w:r>
          <w:proofErr w:type="gramEnd"/>
          <w:r>
            <w:t xml:space="preserve"> the specific questions summa</w:t>
          </w:r>
          <w:r w:rsidRPr="005B6B12">
            <w:t>rised in Annex 1. Comments are most helpful if they:</w:t>
          </w:r>
        </w:p>
        <w:p w14:paraId="312AAE99" w14:textId="77777777" w:rsidR="00420D18" w:rsidRPr="00DB2FD6" w:rsidRDefault="00420D18" w:rsidP="00420D18">
          <w:pPr>
            <w:pStyle w:val="Listenabsatz"/>
            <w:ind w:left="1070" w:hanging="360"/>
            <w:contextualSpacing w:val="0"/>
          </w:pPr>
          <w:r w:rsidRPr="00DB2FD6">
            <w:t xml:space="preserve">respond to the question </w:t>
          </w:r>
          <w:proofErr w:type="gramStart"/>
          <w:r w:rsidRPr="00DB2FD6">
            <w:t>stated;</w:t>
          </w:r>
          <w:proofErr w:type="gramEnd"/>
        </w:p>
        <w:p w14:paraId="4D78EBAA" w14:textId="77777777" w:rsidR="00420D18" w:rsidRPr="00DB2FD6" w:rsidRDefault="00420D18" w:rsidP="00420D18">
          <w:pPr>
            <w:pStyle w:val="Listenabsatz"/>
            <w:ind w:left="1070" w:hanging="360"/>
            <w:contextualSpacing w:val="0"/>
          </w:pPr>
          <w:r w:rsidRPr="00DB2FD6">
            <w:t xml:space="preserve">indicate the specific question to which the comment </w:t>
          </w:r>
          <w:proofErr w:type="gramStart"/>
          <w:r w:rsidRPr="00DB2FD6">
            <w:t>relates;</w:t>
          </w:r>
          <w:proofErr w:type="gramEnd"/>
        </w:p>
        <w:p w14:paraId="32F5A88F" w14:textId="77777777" w:rsidR="00420D18" w:rsidRPr="00E13D25" w:rsidRDefault="00420D18" w:rsidP="00420D18">
          <w:pPr>
            <w:pStyle w:val="Listenabsatz"/>
            <w:ind w:left="1070" w:hanging="360"/>
            <w:contextualSpacing w:val="0"/>
          </w:pPr>
          <w:r w:rsidRPr="00E13D25">
            <w:t>contain a clear rationale; and</w:t>
          </w:r>
        </w:p>
        <w:p w14:paraId="15503A96" w14:textId="77777777" w:rsidR="00420D18" w:rsidRPr="00DB2FD6" w:rsidRDefault="00420D18" w:rsidP="00420D18">
          <w:pPr>
            <w:pStyle w:val="Listenabsatz"/>
            <w:ind w:left="1070" w:hanging="360"/>
            <w:contextualSpacing w:val="0"/>
          </w:pPr>
          <w:r w:rsidRPr="00DB2FD6">
            <w:t>describe any alternatives ESMA should consider.</w:t>
          </w:r>
        </w:p>
        <w:p w14:paraId="41E44EA7" w14:textId="77777777" w:rsidR="00420D18" w:rsidRPr="005B6B12" w:rsidRDefault="00420D18" w:rsidP="00420D18">
          <w:r w:rsidRPr="005B6B12">
            <w:t xml:space="preserve">ESMA will consider all comments received by </w:t>
          </w:r>
          <w:r>
            <w:rPr>
              <w:b/>
            </w:rPr>
            <w:t>14 April 2025</w:t>
          </w:r>
          <w:r w:rsidRPr="005B6B12">
            <w:rPr>
              <w:b/>
            </w:rPr>
            <w:t xml:space="preserve">. </w:t>
          </w:r>
        </w:p>
        <w:p w14:paraId="6EAA456A" w14:textId="77777777" w:rsidR="00420D18" w:rsidRDefault="00420D18" w:rsidP="00420D18">
          <w:r w:rsidRPr="005B6B12">
            <w:t xml:space="preserve">All contributions should be submitted online at </w:t>
          </w:r>
          <w:hyperlink r:id="rId11" w:history="1">
            <w:r w:rsidRPr="005B6B12">
              <w:rPr>
                <w:rStyle w:val="Hyperlink"/>
              </w:rPr>
              <w:t>www.esma.europa.eu</w:t>
            </w:r>
          </w:hyperlink>
          <w:r w:rsidRPr="005B6B12">
            <w:t xml:space="preserve"> under the heading ‘Your input - Consultations’. </w:t>
          </w:r>
        </w:p>
        <w:p w14:paraId="1535F12A" w14:textId="77777777" w:rsidR="00420D18" w:rsidRPr="0026459D" w:rsidRDefault="00420D18" w:rsidP="00420D18">
          <w:pPr>
            <w:pStyle w:val="Untertitel"/>
            <w:rPr>
              <w:b/>
              <w:sz w:val="24"/>
              <w:szCs w:val="22"/>
            </w:rPr>
          </w:pPr>
          <w:r w:rsidRPr="00013CA1">
            <w:t>Instructions</w:t>
          </w:r>
        </w:p>
        <w:p w14:paraId="5171A343" w14:textId="77777777" w:rsidR="00420D18" w:rsidRPr="0026459D" w:rsidRDefault="00420D18" w:rsidP="00420D18">
          <w:pPr>
            <w:rPr>
              <w:bCs/>
            </w:rPr>
          </w:pPr>
          <w:proofErr w:type="gramStart"/>
          <w:r w:rsidRPr="0026459D">
            <w:rPr>
              <w:bCs/>
            </w:rPr>
            <w:t>In order to</w:t>
          </w:r>
          <w:proofErr w:type="gramEnd"/>
          <w:r w:rsidRPr="0026459D">
            <w:rPr>
              <w:bCs/>
            </w:rPr>
            <w:t xml:space="preserve"> facilitate analysis of responses to the Consultation Paper, respondents are requested to follow the below steps when preparing and submitting their response:</w:t>
          </w:r>
        </w:p>
        <w:p w14:paraId="0F91145D" w14:textId="77777777" w:rsidR="00420D18" w:rsidRPr="0026459D" w:rsidRDefault="00420D18" w:rsidP="00420D18">
          <w:pPr>
            <w:ind w:left="142"/>
            <w:rPr>
              <w:bCs/>
            </w:rPr>
          </w:pPr>
          <w:r w:rsidRPr="0026459D">
            <w:rPr>
              <w:bCs/>
            </w:rPr>
            <w:t>•</w:t>
          </w:r>
          <w:r w:rsidRPr="0026459D">
            <w:rPr>
              <w:bCs/>
            </w:rPr>
            <w:tab/>
            <w:t xml:space="preserve">Insert your responses to the questions in the Consultation Paper in this reply form. </w:t>
          </w:r>
        </w:p>
        <w:p w14:paraId="4BC6F127" w14:textId="77777777" w:rsidR="00420D18" w:rsidRPr="00C5469A" w:rsidRDefault="00420D18" w:rsidP="00420D18">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Pr>
              <w:bCs/>
            </w:rPr>
            <w:t>_CSDC_</w:t>
          </w:r>
          <w:r w:rsidRPr="00C5469A">
            <w:rPr>
              <w:bCs/>
            </w:rPr>
            <w:t xml:space="preserve">0&gt;. Your response </w:t>
          </w:r>
          <w:r w:rsidRPr="00C5469A">
            <w:rPr>
              <w:bCs/>
            </w:rPr>
            <w:tab/>
            <w:t xml:space="preserve">to each question </w:t>
          </w:r>
          <w:proofErr w:type="gramStart"/>
          <w:r w:rsidRPr="00C5469A">
            <w:rPr>
              <w:bCs/>
            </w:rPr>
            <w:t>has to</w:t>
          </w:r>
          <w:proofErr w:type="gramEnd"/>
          <w:r w:rsidRPr="00C5469A">
            <w:rPr>
              <w:bCs/>
            </w:rPr>
            <w:t xml:space="preserve"> be framed by the two tags corresponding to the question.</w:t>
          </w:r>
        </w:p>
        <w:p w14:paraId="2A1E35F1" w14:textId="77777777" w:rsidR="00420D18" w:rsidRPr="00C5469A" w:rsidRDefault="00420D18" w:rsidP="00420D18">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6408310C" w14:textId="77777777" w:rsidR="00420D18" w:rsidRPr="00C5469A" w:rsidRDefault="00420D18" w:rsidP="00420D18">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Pr="00DB2FD6">
            <w:rPr>
              <w:bCs/>
            </w:rPr>
            <w:t xml:space="preserve"> </w:t>
          </w:r>
          <w:proofErr w:type="spellStart"/>
          <w:r>
            <w:rPr>
              <w:bCs/>
            </w:rPr>
            <w:t>CSDC</w:t>
          </w:r>
          <w:r w:rsidRPr="00C5469A">
            <w:rPr>
              <w:bCs/>
            </w:rPr>
            <w:t>_nameofrespondent</w:t>
          </w:r>
          <w:proofErr w:type="spellEnd"/>
          <w:r w:rsidRPr="00C5469A">
            <w:rPr>
              <w:bCs/>
            </w:rPr>
            <w:t xml:space="preserve">. </w:t>
          </w:r>
        </w:p>
        <w:p w14:paraId="294E72AD" w14:textId="77777777" w:rsidR="00420D18" w:rsidRPr="0026459D" w:rsidRDefault="00420D18" w:rsidP="00420D18">
          <w:pPr>
            <w:ind w:left="142"/>
            <w:rPr>
              <w:bCs/>
            </w:rPr>
          </w:pPr>
          <w:r w:rsidRPr="00C5469A">
            <w:rPr>
              <w:bCs/>
            </w:rPr>
            <w:tab/>
            <w:t xml:space="preserve">For example, for a respondent named ABCD, the reply form would be saved with the </w:t>
          </w:r>
          <w:r w:rsidRPr="00C5469A">
            <w:rPr>
              <w:bCs/>
            </w:rPr>
            <w:tab/>
            <w:t>following name: ESMA_CP1_</w:t>
          </w:r>
          <w:r w:rsidRPr="00DB2FD6">
            <w:rPr>
              <w:bCs/>
            </w:rPr>
            <w:t xml:space="preserve"> </w:t>
          </w:r>
          <w:r>
            <w:rPr>
              <w:bCs/>
            </w:rPr>
            <w:t>CSDC</w:t>
          </w:r>
          <w:r w:rsidRPr="00C5469A">
            <w:rPr>
              <w:bCs/>
            </w:rPr>
            <w:t>_ABCD.</w:t>
          </w:r>
        </w:p>
        <w:p w14:paraId="41921E1B" w14:textId="77777777" w:rsidR="00420D18" w:rsidRDefault="00420D18" w:rsidP="00420D18">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1D99C1AF" w14:textId="77777777" w:rsidR="00420D18" w:rsidRPr="004035C7" w:rsidRDefault="00420D18" w:rsidP="00420D18">
          <w:pPr>
            <w:ind w:left="142"/>
            <w:rPr>
              <w:bCs/>
              <w:i/>
              <w:iCs/>
            </w:rPr>
          </w:pPr>
        </w:p>
        <w:p w14:paraId="2EA8222E" w14:textId="77777777" w:rsidR="00420D18" w:rsidRPr="005B6B12" w:rsidRDefault="00420D18" w:rsidP="00420D18">
          <w:pPr>
            <w:rPr>
              <w:b/>
            </w:rPr>
          </w:pPr>
          <w:r w:rsidRPr="005B6B12">
            <w:rPr>
              <w:b/>
            </w:rPr>
            <w:t>Publication of responses</w:t>
          </w:r>
        </w:p>
        <w:p w14:paraId="0333FCC1" w14:textId="77777777" w:rsidR="00420D18" w:rsidRPr="005B6B12" w:rsidRDefault="00420D18" w:rsidP="00420D18">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743ADF" w14:textId="77777777" w:rsidR="00420D18" w:rsidRPr="005B6B12" w:rsidRDefault="00420D18" w:rsidP="00420D18">
          <w:pPr>
            <w:rPr>
              <w:b/>
            </w:rPr>
          </w:pPr>
          <w:r w:rsidRPr="005B6B12">
            <w:rPr>
              <w:b/>
            </w:rPr>
            <w:t>Data protection</w:t>
          </w:r>
        </w:p>
        <w:p w14:paraId="12037726" w14:textId="77777777" w:rsidR="00420D18" w:rsidRPr="005B6B12" w:rsidRDefault="00420D18" w:rsidP="00420D18">
          <w:r w:rsidRPr="005B6B12">
            <w:t xml:space="preserve">Information on data protection can be found at </w:t>
          </w:r>
          <w:hyperlink r:id="rId12" w:history="1">
            <w:r w:rsidRPr="005B6B12">
              <w:rPr>
                <w:rStyle w:val="Hyperlink"/>
              </w:rPr>
              <w:t>www.esma.europa.eu</w:t>
            </w:r>
          </w:hyperlink>
          <w:r w:rsidRPr="005B6B12">
            <w:t xml:space="preserve"> under the heading </w:t>
          </w:r>
          <w:r w:rsidRPr="00025A7F">
            <w:rPr>
              <w:rStyle w:val="Hyperlink"/>
            </w:rPr>
            <w:t>‘</w:t>
          </w:r>
          <w:hyperlink r:id="rId13" w:history="1">
            <w:r>
              <w:rPr>
                <w:rStyle w:val="Hyperlink"/>
              </w:rPr>
              <w:t>Data protection</w:t>
            </w:r>
          </w:hyperlink>
          <w:r>
            <w:rPr>
              <w:rStyle w:val="Hyperlink"/>
            </w:rPr>
            <w:t>’</w:t>
          </w:r>
          <w:r w:rsidRPr="005B6B12">
            <w:t>.</w:t>
          </w:r>
        </w:p>
        <w:p w14:paraId="29FEBA35" w14:textId="77777777" w:rsidR="00420D18" w:rsidRPr="005B6B12" w:rsidRDefault="00420D18" w:rsidP="00420D18">
          <w:pPr>
            <w:rPr>
              <w:b/>
            </w:rPr>
          </w:pPr>
          <w:r w:rsidRPr="005B6B12">
            <w:rPr>
              <w:b/>
            </w:rPr>
            <w:t>Who should read this paper?</w:t>
          </w:r>
        </w:p>
        <w:p w14:paraId="2C3A4F15" w14:textId="77777777" w:rsidR="00420D18" w:rsidRDefault="00420D18" w:rsidP="00420D18">
          <w:r>
            <w:t xml:space="preserve">All interested stakeholders are invited to respond to this consultation paper. </w:t>
          </w:r>
          <w:proofErr w:type="gramStart"/>
          <w:r>
            <w:t>In particular, ESMA</w:t>
          </w:r>
          <w:proofErr w:type="gramEnd"/>
          <w:r>
            <w:t xml:space="preserve">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sdtContent>
    </w:sdt>
    <w:p w14:paraId="53F8AB93" w14:textId="77777777" w:rsidR="00420D18" w:rsidRDefault="00420D18" w:rsidP="00420D18"/>
    <w:p w14:paraId="05DB032B" w14:textId="77777777" w:rsidR="00420D18" w:rsidRDefault="00420D18" w:rsidP="00420D18">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3E153727" w14:textId="77777777" w:rsidR="00420D18" w:rsidRPr="00E40D2C" w:rsidRDefault="00420D18" w:rsidP="00420D18">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420D18" w:rsidRPr="00557BD2" w14:paraId="7E7942B4" w14:textId="77777777" w:rsidTr="00882A1D">
        <w:tc>
          <w:tcPr>
            <w:tcW w:w="4531" w:type="dxa"/>
          </w:tcPr>
          <w:p w14:paraId="4EF1A54A" w14:textId="77777777" w:rsidR="00420D18" w:rsidRPr="00557BD2" w:rsidRDefault="00420D18" w:rsidP="00882A1D">
            <w:pPr>
              <w:rPr>
                <w:color w:val="000000" w:themeColor="text1"/>
                <w:sz w:val="24"/>
                <w:szCs w:val="22"/>
              </w:rPr>
            </w:pPr>
            <w:r w:rsidRPr="00557BD2">
              <w:rPr>
                <w:color w:val="000000" w:themeColor="text1"/>
                <w:sz w:val="24"/>
                <w:szCs w:val="22"/>
              </w:rPr>
              <w:t>Name of the company / organisation</w:t>
            </w:r>
          </w:p>
        </w:tc>
        <w:sdt>
          <w:sdtPr>
            <w:id w:val="925615268"/>
            <w:placeholder>
              <w:docPart w:val="FA0758B87D284262A50E9A75E65CD66C"/>
            </w:placeholder>
          </w:sdtPr>
          <w:sdtEndPr/>
          <w:sdtContent>
            <w:tc>
              <w:tcPr>
                <w:tcW w:w="4531" w:type="dxa"/>
              </w:tcPr>
              <w:p w14:paraId="275EE4B9" w14:textId="36D1FA19" w:rsidR="00420D18" w:rsidRPr="00557BD2" w:rsidRDefault="0031412B" w:rsidP="00882A1D">
                <w:r>
                  <w:t>German Banking Industry Committee</w:t>
                </w:r>
              </w:p>
            </w:tc>
          </w:sdtContent>
        </w:sdt>
      </w:tr>
      <w:tr w:rsidR="00420D18" w:rsidRPr="00557BD2" w14:paraId="66608C5D" w14:textId="77777777" w:rsidTr="00882A1D">
        <w:tc>
          <w:tcPr>
            <w:tcW w:w="4531" w:type="dxa"/>
          </w:tcPr>
          <w:p w14:paraId="0D00E7C2" w14:textId="77777777" w:rsidR="00420D18" w:rsidRDefault="00420D18" w:rsidP="00882A1D">
            <w:pPr>
              <w:rPr>
                <w:color w:val="000000" w:themeColor="text1"/>
                <w:sz w:val="24"/>
                <w:szCs w:val="22"/>
              </w:rPr>
            </w:pPr>
            <w:r>
              <w:rPr>
                <w:color w:val="000000" w:themeColor="text1"/>
                <w:sz w:val="24"/>
                <w:szCs w:val="22"/>
              </w:rPr>
              <w:t>Activity</w:t>
            </w:r>
          </w:p>
        </w:tc>
        <w:sdt>
          <w:sdtPr>
            <w:alias w:val="Select an activity"/>
            <w:tag w:val="Select an activity"/>
            <w:id w:val="1608545486"/>
            <w:placeholder>
              <w:docPart w:val="E16491F7964F49E3A6D1B8A0A569EF83"/>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76C7B465" w14:textId="346182B2" w:rsidR="00420D18" w:rsidRDefault="0031412B" w:rsidP="00882A1D">
                <w:r>
                  <w:t>Other</w:t>
                </w:r>
              </w:p>
            </w:tc>
          </w:sdtContent>
        </w:sdt>
      </w:tr>
      <w:tr w:rsidR="00420D18" w:rsidRPr="00557BD2" w14:paraId="1AF4A4E1" w14:textId="77777777" w:rsidTr="00882A1D">
        <w:tc>
          <w:tcPr>
            <w:tcW w:w="4531" w:type="dxa"/>
          </w:tcPr>
          <w:p w14:paraId="20F5A76D" w14:textId="77777777" w:rsidR="00420D18" w:rsidRPr="00557BD2" w:rsidRDefault="00420D18" w:rsidP="00882A1D">
            <w:pPr>
              <w:rPr>
                <w:color w:val="000000" w:themeColor="text1"/>
                <w:sz w:val="24"/>
                <w:szCs w:val="22"/>
              </w:rPr>
            </w:pPr>
            <w:r>
              <w:rPr>
                <w:color w:val="000000"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0B24B9B2" w14:textId="6EDB09B6" w:rsidR="00420D18" w:rsidRDefault="0031412B" w:rsidP="00882A1D">
                <w:r>
                  <w:rPr>
                    <w:rFonts w:ascii="MS Gothic" w:eastAsia="MS Gothic" w:hAnsi="MS Gothic" w:hint="eastAsia"/>
                  </w:rPr>
                  <w:t>☒</w:t>
                </w:r>
              </w:p>
            </w:tc>
          </w:sdtContent>
        </w:sdt>
      </w:tr>
      <w:tr w:rsidR="00420D18" w:rsidRPr="00557BD2" w14:paraId="42BE0FE2" w14:textId="77777777" w:rsidTr="00882A1D">
        <w:tc>
          <w:tcPr>
            <w:tcW w:w="4531" w:type="dxa"/>
          </w:tcPr>
          <w:p w14:paraId="3665FC98" w14:textId="77777777" w:rsidR="00420D18" w:rsidRPr="00557BD2" w:rsidRDefault="00420D18" w:rsidP="00882A1D">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466400774"/>
            <w:placeholder>
              <w:docPart w:val="E0F8B48322CD44BB97F33885C11B15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0198172F" w14:textId="652E8F0A" w:rsidR="00420D18" w:rsidRPr="00557BD2" w:rsidRDefault="0031412B" w:rsidP="00882A1D">
                <w:r>
                  <w:t>Germany</w:t>
                </w:r>
              </w:p>
            </w:tc>
          </w:sdtContent>
        </w:sdt>
      </w:tr>
    </w:tbl>
    <w:p w14:paraId="10743895" w14:textId="77777777" w:rsidR="00420D18" w:rsidRPr="00053B66" w:rsidRDefault="00420D18" w:rsidP="00420D18"/>
    <w:p w14:paraId="55AB6526" w14:textId="77777777" w:rsidR="00420D18" w:rsidRDefault="00420D18" w:rsidP="00420D18">
      <w:pPr>
        <w:pStyle w:val="berschrift1"/>
        <w:rPr>
          <w:lang w:val="fr-BE"/>
        </w:rPr>
      </w:pPr>
      <w:r w:rsidRPr="00557BD2">
        <w:rPr>
          <w:lang w:val="fr-BE"/>
        </w:rPr>
        <w:t>Questions</w:t>
      </w:r>
    </w:p>
    <w:p w14:paraId="2B544569" w14:textId="77777777" w:rsidR="00420D18" w:rsidRDefault="00420D18" w:rsidP="00420D18">
      <w:pPr>
        <w:spacing w:after="120" w:line="264" w:lineRule="auto"/>
        <w:jc w:val="left"/>
      </w:pPr>
      <w:r>
        <w:br w:type="page"/>
      </w:r>
    </w:p>
    <w:p w14:paraId="5AF7A87B" w14:textId="77777777" w:rsidR="00420D18" w:rsidRDefault="00420D18" w:rsidP="00420D18">
      <w:pPr>
        <w:rPr>
          <w:b/>
          <w:bCs/>
        </w:rPr>
      </w:pPr>
      <w:r w:rsidRPr="004F5A02">
        <w:rPr>
          <w:b/>
          <w:bCs/>
        </w:rPr>
        <w:lastRenderedPageBreak/>
        <w:t>3.1.1</w:t>
      </w:r>
      <w:r w:rsidRPr="004F5A02">
        <w:rPr>
          <w:b/>
          <w:bCs/>
        </w:rPr>
        <w:tab/>
        <w:t>Timing of allocations and confirmations</w:t>
      </w:r>
    </w:p>
    <w:p w14:paraId="6A0760A1" w14:textId="77777777" w:rsidR="00420D18" w:rsidRPr="004F5A02" w:rsidRDefault="00420D18" w:rsidP="00420D18">
      <w:pPr>
        <w:rPr>
          <w:b/>
          <w:bCs/>
        </w:rPr>
      </w:pPr>
    </w:p>
    <w:p w14:paraId="3812FA8C" w14:textId="77777777" w:rsidR="00420D18" w:rsidRDefault="00420D18" w:rsidP="00420D18">
      <w:pPr>
        <w:pStyle w:val="Questionstyle"/>
        <w:numPr>
          <w:ilvl w:val="0"/>
          <w:numId w:val="1"/>
        </w:numPr>
        <w:tabs>
          <w:tab w:val="clear" w:pos="567"/>
        </w:tabs>
        <w:spacing w:after="240" w:line="256" w:lineRule="auto"/>
        <w:ind w:left="851" w:hanging="851"/>
        <w:rPr>
          <w:color w:val="auto"/>
        </w:rPr>
      </w:pPr>
      <w:r>
        <w:rPr>
          <w:bCs/>
        </w:rPr>
        <w:t>Do you agree with the proposed amendments to Articles 2(2) and 3 of CDR 2018/1229?</w:t>
      </w:r>
    </w:p>
    <w:p w14:paraId="4B22A294" w14:textId="77777777" w:rsidR="00420D18" w:rsidRPr="00855EF4" w:rsidRDefault="00420D18" w:rsidP="00420D18">
      <w:r w:rsidRPr="00855EF4">
        <w:t>&lt;ESMA_QUESTION_CSDC_1&gt;</w:t>
      </w:r>
    </w:p>
    <w:p w14:paraId="1687D66F" w14:textId="77777777" w:rsidR="00420D18" w:rsidRDefault="00420D18" w:rsidP="00420D18">
      <w:r>
        <w:t>&lt;ESMA_QUESTION_CSDC_1&gt;</w:t>
      </w:r>
    </w:p>
    <w:p w14:paraId="743A19F1" w14:textId="77777777" w:rsidR="00420D18" w:rsidRDefault="00420D18" w:rsidP="00420D18"/>
    <w:p w14:paraId="74022689" w14:textId="77777777" w:rsidR="00420D18" w:rsidRDefault="00420D18" w:rsidP="00420D18">
      <w:pPr>
        <w:pStyle w:val="Questionstyle"/>
        <w:numPr>
          <w:ilvl w:val="0"/>
          <w:numId w:val="1"/>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118D5CDE" w14:textId="77777777" w:rsidR="00420D18" w:rsidRDefault="00420D18" w:rsidP="00420D18">
      <w:r>
        <w:t>&lt;ESMA_QUESTION_CSDC_2&gt;</w:t>
      </w:r>
    </w:p>
    <w:p w14:paraId="7730774E" w14:textId="56C51A76" w:rsidR="00420D18" w:rsidRDefault="000D60EC" w:rsidP="00420D18">
      <w:r>
        <w:t>Yes, we agree.</w:t>
      </w:r>
      <w:r w:rsidR="00B37B96">
        <w:t xml:space="preserve"> It should be</w:t>
      </w:r>
      <w:r>
        <w:t xml:space="preserve"> cumulative</w:t>
      </w:r>
      <w:r w:rsidR="00B37B96">
        <w:t>.</w:t>
      </w:r>
    </w:p>
    <w:p w14:paraId="195DD031" w14:textId="77777777" w:rsidR="00420D18" w:rsidRDefault="00420D18" w:rsidP="00420D18">
      <w:r>
        <w:t>&lt;ESMA_QUESTION_CSDC_2&gt;</w:t>
      </w:r>
    </w:p>
    <w:p w14:paraId="3F08AE29" w14:textId="77777777" w:rsidR="00420D18" w:rsidRDefault="00420D18" w:rsidP="00420D18"/>
    <w:p w14:paraId="4B0E23E0" w14:textId="77777777" w:rsidR="00420D18" w:rsidRDefault="00420D18" w:rsidP="00420D18">
      <w:pPr>
        <w:pStyle w:val="Questionstyle"/>
        <w:numPr>
          <w:ilvl w:val="0"/>
          <w:numId w:val="1"/>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78831F10" w14:textId="77777777" w:rsidR="00420D18" w:rsidRDefault="00420D18" w:rsidP="00420D18">
      <w:r>
        <w:t>&lt;ESMA_QUESTION_CSDC_3&gt;</w:t>
      </w:r>
    </w:p>
    <w:p w14:paraId="04EFF7EB" w14:textId="6C5F9AB5" w:rsidR="000D60EC" w:rsidRDefault="006B5A68" w:rsidP="00420D18">
      <w:r>
        <w:t>We support f</w:t>
      </w:r>
      <w:r w:rsidR="000457E5">
        <w:t>ixed deadline</w:t>
      </w:r>
      <w:r>
        <w:t xml:space="preserve">. </w:t>
      </w:r>
      <w:proofErr w:type="gramStart"/>
      <w:r>
        <w:t>Otherwise</w:t>
      </w:r>
      <w:proofErr w:type="gramEnd"/>
      <w:r>
        <w:t xml:space="preserve"> it would be too complex.</w:t>
      </w:r>
    </w:p>
    <w:p w14:paraId="4788A5A6" w14:textId="77777777" w:rsidR="00420D18" w:rsidRDefault="00420D18" w:rsidP="00420D18">
      <w:r>
        <w:t>&lt;ESMA_QUESTION_CSDC_3&gt;</w:t>
      </w:r>
    </w:p>
    <w:p w14:paraId="6047B628" w14:textId="77777777" w:rsidR="00420D18" w:rsidRDefault="00420D18" w:rsidP="00420D18"/>
    <w:p w14:paraId="3A24091A" w14:textId="77777777" w:rsidR="00420D18" w:rsidRDefault="00420D18" w:rsidP="00420D18">
      <w:pPr>
        <w:pStyle w:val="Questionstyle"/>
        <w:numPr>
          <w:ilvl w:val="0"/>
          <w:numId w:val="1"/>
        </w:numPr>
        <w:tabs>
          <w:tab w:val="clear" w:pos="567"/>
        </w:tabs>
        <w:spacing w:after="240" w:line="256" w:lineRule="auto"/>
        <w:ind w:left="851" w:hanging="851"/>
      </w:pPr>
      <w:r>
        <w:rPr>
          <w:bCs/>
        </w:rPr>
        <w:lastRenderedPageBreak/>
        <w:t xml:space="preserve">Should CDR 2018/1229 further specify the term ‘close of </w:t>
      </w:r>
      <w:proofErr w:type="gramStart"/>
      <w:r>
        <w:rPr>
          <w:bCs/>
        </w:rPr>
        <w:t>business’</w:t>
      </w:r>
      <w:proofErr w:type="gramEnd"/>
      <w:r>
        <w:rPr>
          <w:bCs/>
        </w:rPr>
        <w:t xml:space="preserve"> for the purpose of Article 2(2)? If yes, how should this </w:t>
      </w:r>
      <w:proofErr w:type="gramStart"/>
      <w:r>
        <w:rPr>
          <w:bCs/>
        </w:rPr>
        <w:t>take into account</w:t>
      </w:r>
      <w:proofErr w:type="gramEnd"/>
      <w:r>
        <w:rPr>
          <w:bCs/>
        </w:rPr>
        <w:t xml:space="preserve"> the business day at CSD level?</w:t>
      </w:r>
    </w:p>
    <w:p w14:paraId="137E0BDB" w14:textId="77777777" w:rsidR="00420D18" w:rsidRDefault="00420D18" w:rsidP="00420D18">
      <w:r>
        <w:t>&lt;ESMA_QUESTION_CSDC_4&gt;</w:t>
      </w:r>
    </w:p>
    <w:p w14:paraId="1BDCF645" w14:textId="62F95931" w:rsidR="00BA3D49" w:rsidRDefault="000457E5" w:rsidP="00420D18">
      <w:r>
        <w:t>No.</w:t>
      </w:r>
      <w:r w:rsidR="00CE4F62">
        <w:t xml:space="preserve"> </w:t>
      </w:r>
      <w:r w:rsidR="00BA3D49" w:rsidRPr="00BA3D49">
        <w:t xml:space="preserve">From our perspective there is no need to </w:t>
      </w:r>
      <w:r w:rsidR="00BA3D49">
        <w:t xml:space="preserve">further </w:t>
      </w:r>
      <w:r w:rsidR="00BA3D49" w:rsidRPr="00BA3D49">
        <w:t xml:space="preserve">specify the </w:t>
      </w:r>
      <w:r w:rsidR="00BA3D49">
        <w:t xml:space="preserve">term </w:t>
      </w:r>
      <w:r w:rsidR="00BA3D49" w:rsidRPr="00BA3D49">
        <w:t>“close of business”</w:t>
      </w:r>
      <w:r w:rsidR="00BA3D49">
        <w:t xml:space="preserve">. </w:t>
      </w:r>
      <w:proofErr w:type="gramStart"/>
      <w:r w:rsidR="00BA3D49">
        <w:t>In particular, it</w:t>
      </w:r>
      <w:proofErr w:type="gramEnd"/>
      <w:r w:rsidR="00BA3D49">
        <w:t xml:space="preserve"> would be rather </w:t>
      </w:r>
      <w:r w:rsidR="00BA3D49" w:rsidRPr="00BA3D49">
        <w:t>complex to find a common specification considering all entities</w:t>
      </w:r>
      <w:r w:rsidR="00BA3D49">
        <w:t xml:space="preserve"> involved in the trading and settlement process of securities (counterparties, clearinghouses, CSDs, etc.).</w:t>
      </w:r>
      <w:r w:rsidR="00BA3D49" w:rsidRPr="00BA3D49">
        <w:t xml:space="preserve"> Furthermore, this </w:t>
      </w:r>
      <w:r w:rsidR="00BA3D49">
        <w:t>point in time is usually not relevant at all for the settlement process.</w:t>
      </w:r>
    </w:p>
    <w:p w14:paraId="65998921" w14:textId="172B7200" w:rsidR="00420D18" w:rsidRDefault="00BA3D49" w:rsidP="00420D18">
      <w:r>
        <w:t xml:space="preserve">In addition, terms such as </w:t>
      </w:r>
      <w:r w:rsidR="00CE4F62" w:rsidRPr="00CE4F62">
        <w:t xml:space="preserve">the trade or execution date </w:t>
      </w:r>
      <w:r>
        <w:t xml:space="preserve">are </w:t>
      </w:r>
      <w:r w:rsidR="00CE4F62" w:rsidRPr="00CE4F62">
        <w:t xml:space="preserve">sufficiently defined by various other regulatory provisions, such as </w:t>
      </w:r>
      <w:proofErr w:type="spellStart"/>
      <w:r w:rsidR="00CE4F62">
        <w:t>MiFIR</w:t>
      </w:r>
      <w:proofErr w:type="spellEnd"/>
      <w:r w:rsidR="00CE4F62">
        <w:t xml:space="preserve"> (e. g. Art. 26)</w:t>
      </w:r>
      <w:r w:rsidR="00CE4F62" w:rsidRPr="00CE4F62">
        <w:t>.</w:t>
      </w:r>
    </w:p>
    <w:p w14:paraId="38365B74" w14:textId="7140622B" w:rsidR="00BA3D49" w:rsidRDefault="00BA3D49" w:rsidP="00420D18">
      <w:r>
        <w:t xml:space="preserve">As a general remark we would like to emphasise that from our point of view </w:t>
      </w:r>
      <w:r w:rsidRPr="00BA3D49">
        <w:t>not everything needs to be regulated by law; in many cases, market standards or industry best practices may be sufficient. Overregulation can sometimes lead to unintended consequences, including disadvantaging certain individuals or businesses. Laws that are too rigid may not account for the nuances of specific situations and could limit flexibility where a more dynamic approach would be beneficial.</w:t>
      </w:r>
    </w:p>
    <w:p w14:paraId="4E2E9626" w14:textId="77777777" w:rsidR="00420D18" w:rsidRDefault="00420D18" w:rsidP="00420D18">
      <w:r>
        <w:t>&lt;ESMA_QUESTION_CSDC_4&gt;</w:t>
      </w:r>
    </w:p>
    <w:p w14:paraId="6C42FD81" w14:textId="77777777" w:rsidR="00420D18" w:rsidRDefault="00420D18" w:rsidP="00420D18"/>
    <w:p w14:paraId="61042590" w14:textId="77777777" w:rsidR="00420D18" w:rsidRDefault="00420D18" w:rsidP="00420D18">
      <w:pPr>
        <w:pStyle w:val="Questionstyle"/>
        <w:numPr>
          <w:ilvl w:val="0"/>
          <w:numId w:val="1"/>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7721EE22" w14:textId="77777777" w:rsidR="00420D18" w:rsidRDefault="00420D18" w:rsidP="00420D18">
      <w:r>
        <w:t>&lt;ESMA_QUESTION_CSDC_5&gt;</w:t>
      </w:r>
    </w:p>
    <w:p w14:paraId="494847C7" w14:textId="77777777" w:rsidR="00420D18" w:rsidRPr="00DA4357" w:rsidRDefault="00420D18" w:rsidP="00420D18">
      <w:pPr>
        <w:rPr>
          <w:lang w:val="de-DE"/>
        </w:rPr>
      </w:pPr>
      <w:r w:rsidRPr="00DA4357">
        <w:rPr>
          <w:lang w:val="de-DE"/>
        </w:rPr>
        <w:t>&lt;ESMA_QUESTION_CSDC_5&gt;</w:t>
      </w:r>
    </w:p>
    <w:p w14:paraId="74F677BA" w14:textId="77777777" w:rsidR="00420D18" w:rsidRPr="00DA4357" w:rsidRDefault="00420D18" w:rsidP="00420D18">
      <w:pPr>
        <w:rPr>
          <w:lang w:val="de-DE"/>
        </w:rPr>
      </w:pPr>
    </w:p>
    <w:p w14:paraId="2E5C23FD"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1FDD7FD9" w14:textId="77777777" w:rsidR="00420D18" w:rsidRDefault="00420D18" w:rsidP="00420D18">
      <w:r>
        <w:t>&lt;ESMA_QUESTION_CSDC_6&gt;</w:t>
      </w:r>
    </w:p>
    <w:p w14:paraId="0F7E60A2" w14:textId="2B4B7E05" w:rsidR="00420D18" w:rsidRDefault="00660309" w:rsidP="00420D18">
      <w:r>
        <w:lastRenderedPageBreak/>
        <w:t>No.</w:t>
      </w:r>
      <w:r w:rsidR="002467F5">
        <w:t xml:space="preserve"> As a general remark, </w:t>
      </w:r>
      <w:proofErr w:type="gramStart"/>
      <w:r w:rsidR="002467F5">
        <w:t>i</w:t>
      </w:r>
      <w:r w:rsidR="002467F5" w:rsidRPr="002467F5">
        <w:t>n order to</w:t>
      </w:r>
      <w:proofErr w:type="gramEnd"/>
      <w:r w:rsidR="002467F5" w:rsidRPr="002467F5">
        <w:t xml:space="preserve"> avoid settlement delays with the upcoming shortening of the settlement cycle, a faster delivery of information should be pursued. As a general principle,</w:t>
      </w:r>
      <w:r w:rsidR="002467F5">
        <w:t xml:space="preserve"> the information to be provided should be standardised to the largest extent possible </w:t>
      </w:r>
      <w:proofErr w:type="gramStart"/>
      <w:r w:rsidR="002467F5">
        <w:t>in order for</w:t>
      </w:r>
      <w:proofErr w:type="gramEnd"/>
      <w:r w:rsidR="002467F5">
        <w:t xml:space="preserve"> the market participants to be able to</w:t>
      </w:r>
      <w:r w:rsidR="002467F5" w:rsidRPr="002467F5">
        <w:t xml:space="preserve"> meet the required deadlines. Whenever possible, standardized processes should be used, such as standard delivery channels</w:t>
      </w:r>
      <w:r w:rsidR="007436FB">
        <w:t xml:space="preserve"> and</w:t>
      </w:r>
      <w:r w:rsidR="002467F5" w:rsidRPr="002467F5">
        <w:t xml:space="preserve"> account details.</w:t>
      </w:r>
      <w:r w:rsidR="00B22669">
        <w:t xml:space="preserve"> Also, it might help if ESMA were to set up some sort of “golden source”, i.e. a </w:t>
      </w:r>
      <w:r w:rsidR="00B22669" w:rsidRPr="00B22669">
        <w:t>centralized hub in Europe</w:t>
      </w:r>
      <w:r w:rsidR="00B22669">
        <w:t>,</w:t>
      </w:r>
      <w:r w:rsidR="00B22669" w:rsidRPr="00B22669">
        <w:t xml:space="preserve"> for </w:t>
      </w:r>
      <w:r w:rsidR="00B22669">
        <w:t xml:space="preserve">all </w:t>
      </w:r>
      <w:r w:rsidR="00B22669" w:rsidRPr="00B22669">
        <w:t>SSIs which is also eas</w:t>
      </w:r>
      <w:r w:rsidR="00B22669">
        <w:t>ily</w:t>
      </w:r>
      <w:r w:rsidR="00B22669" w:rsidRPr="00B22669">
        <w:t xml:space="preserve"> accessible.</w:t>
      </w:r>
    </w:p>
    <w:p w14:paraId="7E4DCE2F" w14:textId="77777777" w:rsidR="00420D18" w:rsidRDefault="00420D18" w:rsidP="00420D18">
      <w:r>
        <w:t>&lt;ESMA_QUESTION_CSDC_6&gt;</w:t>
      </w:r>
    </w:p>
    <w:p w14:paraId="09EBEF24" w14:textId="77777777" w:rsidR="00420D18" w:rsidRDefault="00420D18" w:rsidP="00420D18"/>
    <w:p w14:paraId="3B41FA8A" w14:textId="77777777" w:rsidR="00420D18" w:rsidRDefault="00420D18" w:rsidP="00420D18">
      <w:pPr>
        <w:rPr>
          <w:b/>
          <w:bCs/>
        </w:rPr>
      </w:pPr>
      <w:r w:rsidRPr="005C5C54">
        <w:rPr>
          <w:b/>
          <w:bCs/>
        </w:rPr>
        <w:t>3.1.2</w:t>
      </w:r>
      <w:r w:rsidRPr="005C5C54">
        <w:rPr>
          <w:b/>
          <w:bCs/>
        </w:rPr>
        <w:tab/>
        <w:t>Means for sending allocations and confirmations</w:t>
      </w:r>
    </w:p>
    <w:p w14:paraId="6D355E64" w14:textId="77777777" w:rsidR="00420D18" w:rsidRPr="005C5C54" w:rsidRDefault="00420D18" w:rsidP="00420D18">
      <w:pPr>
        <w:rPr>
          <w:b/>
          <w:bCs/>
        </w:rPr>
      </w:pPr>
    </w:p>
    <w:p w14:paraId="33730F80" w14:textId="77777777" w:rsidR="00420D18" w:rsidRDefault="00420D18" w:rsidP="00420D18">
      <w:pPr>
        <w:pStyle w:val="Questionstyle"/>
        <w:numPr>
          <w:ilvl w:val="0"/>
          <w:numId w:val="1"/>
        </w:numPr>
        <w:tabs>
          <w:tab w:val="clear" w:pos="567"/>
        </w:tabs>
        <w:spacing w:after="240" w:line="256" w:lineRule="auto"/>
        <w:ind w:left="851" w:hanging="851"/>
      </w:pPr>
      <w:r>
        <w:t>Do you agree to make the use of electronic and machine-readable format that allow for STP mandatory for written allocations?</w:t>
      </w:r>
    </w:p>
    <w:p w14:paraId="60266E00" w14:textId="77777777" w:rsidR="00420D18" w:rsidRDefault="00420D18" w:rsidP="00420D18">
      <w:r>
        <w:t>&lt;ESMA_QUESTION_CSDC_7&gt;</w:t>
      </w:r>
    </w:p>
    <w:p w14:paraId="3D56E14C" w14:textId="44972A5A" w:rsidR="00420D18" w:rsidRDefault="00660309" w:rsidP="00420D18">
      <w:r>
        <w:t>Yes, we agree.</w:t>
      </w:r>
      <w:r w:rsidR="00CD30F4">
        <w:t xml:space="preserve"> </w:t>
      </w:r>
      <w:r w:rsidR="00CD30F4" w:rsidRPr="00CD30F4">
        <w:t>Next to the format it would also be very useful</w:t>
      </w:r>
      <w:r w:rsidR="00CD30F4">
        <w:t xml:space="preserve"> to have </w:t>
      </w:r>
      <w:r w:rsidR="00CD30F4" w:rsidRPr="00CD30F4">
        <w:t xml:space="preserve">a standard for the </w:t>
      </w:r>
      <w:r w:rsidR="00CD30F4">
        <w:t xml:space="preserve">relevant </w:t>
      </w:r>
      <w:r w:rsidR="00CD30F4" w:rsidRPr="00CD30F4">
        <w:t>data</w:t>
      </w:r>
      <w:r w:rsidR="00CD30F4">
        <w:t xml:space="preserve">set to be included </w:t>
      </w:r>
      <w:r w:rsidR="00CD30F4" w:rsidRPr="00CD30F4">
        <w:t>in</w:t>
      </w:r>
      <w:r w:rsidR="00CD30F4">
        <w:t xml:space="preserve"> the </w:t>
      </w:r>
      <w:r w:rsidR="00CD30F4" w:rsidRPr="00CD30F4">
        <w:t>confirmation.</w:t>
      </w:r>
    </w:p>
    <w:p w14:paraId="3238F833" w14:textId="77777777" w:rsidR="00E425E4" w:rsidRDefault="0029545E" w:rsidP="00E425E4">
      <w:r w:rsidRPr="0029545E">
        <w:t xml:space="preserve">We understand that “machine-readable” refers to </w:t>
      </w:r>
      <w:r w:rsidR="00E425E4">
        <w:t xml:space="preserve">Art. 2 No. 4 of Regulation 2023/2859 (ESAP-Regulation, to which also MiFID refers): “machine-readable format” means a machine-readable format as defined in Article 2(13) of Directive (EU) 2019/1024. </w:t>
      </w:r>
    </w:p>
    <w:p w14:paraId="26C0572A" w14:textId="0C486FD9" w:rsidR="00E425E4" w:rsidRPr="00DA4357" w:rsidRDefault="00E425E4" w:rsidP="00E425E4">
      <w:pPr>
        <w:rPr>
          <w:lang w:val="en-US"/>
        </w:rPr>
      </w:pPr>
      <w:r>
        <w:t>Accordingly: ‘machine-readable format’ means a file format structured so that software applications can easily identify, recognise and extract specific data, including individual statements of fact, and their internal structure. It might, thus, be helpful to include a reference to this definition.</w:t>
      </w:r>
      <w:r w:rsidR="004800A2">
        <w:t xml:space="preserve"> </w:t>
      </w:r>
    </w:p>
    <w:p w14:paraId="490DFEA5" w14:textId="689F3E27" w:rsidR="00420D18" w:rsidRDefault="004800A2" w:rsidP="00420D18">
      <w:r>
        <w:t>D</w:t>
      </w:r>
      <w:r w:rsidR="0029545E" w:rsidRPr="0029545E">
        <w:t xml:space="preserve">ata or information that is structured in a format that can be easily processed and understood by computers without human intervention. This typically involves the use of standardised formats such as XML, JSON or CSV. </w:t>
      </w:r>
      <w:r>
        <w:t>The e</w:t>
      </w:r>
      <w:r w:rsidR="0029545E" w:rsidRPr="0029545E">
        <w:t>xchange of information via email despite being sent in an electronic format, can</w:t>
      </w:r>
      <w:r>
        <w:t xml:space="preserve"> clearly </w:t>
      </w:r>
      <w:r w:rsidR="0029545E" w:rsidRPr="0029545E">
        <w:t>not be considered as “machine-readable</w:t>
      </w:r>
      <w:proofErr w:type="gramStart"/>
      <w:r w:rsidR="0029545E" w:rsidRPr="0029545E">
        <w:t>”.</w:t>
      </w:r>
      <w:r w:rsidR="00420D18">
        <w:t>&lt;</w:t>
      </w:r>
      <w:proofErr w:type="gramEnd"/>
      <w:r w:rsidR="00420D18">
        <w:t>ESMA_QUESTION_CSDC_7&gt;</w:t>
      </w:r>
    </w:p>
    <w:p w14:paraId="38EED835" w14:textId="77777777" w:rsidR="00420D18" w:rsidRDefault="00420D18" w:rsidP="00420D18"/>
    <w:p w14:paraId="3DE9420B" w14:textId="77777777" w:rsidR="00420D18" w:rsidRDefault="00420D18" w:rsidP="00420D18">
      <w:pPr>
        <w:pStyle w:val="Questionstyle"/>
        <w:numPr>
          <w:ilvl w:val="0"/>
          <w:numId w:val="1"/>
        </w:numPr>
        <w:tabs>
          <w:tab w:val="clear" w:pos="567"/>
        </w:tabs>
        <w:spacing w:after="240" w:line="256" w:lineRule="auto"/>
        <w:ind w:left="851" w:hanging="851"/>
      </w:pPr>
      <w:r>
        <w:rPr>
          <w:bCs/>
        </w:rPr>
        <w:lastRenderedPageBreak/>
        <w:t xml:space="preserve">Would you </w:t>
      </w:r>
      <w:bookmarkStart w:id="0" w:name="_Hlk191473384"/>
      <w:r>
        <w:rPr>
          <w:bCs/>
        </w:rPr>
        <w:t>see merit in introducing optionality for investment firms to set deadlines based on whether an electronic, machine-readable format of the communication is used</w:t>
      </w:r>
      <w:bookmarkEnd w:id="0"/>
      <w:r>
        <w:rPr>
          <w:bCs/>
        </w:rPr>
        <w:t>? In such case, do you agree that an earlier deadline could be set for non-</w:t>
      </w:r>
      <w:proofErr w:type="gramStart"/>
      <w:r>
        <w:rPr>
          <w:bCs/>
        </w:rPr>
        <w:t>machine readable</w:t>
      </w:r>
      <w:proofErr w:type="gramEnd"/>
      <w:r>
        <w:rPr>
          <w:bCs/>
        </w:rPr>
        <w:t xml:space="preserve"> formats, so clients are disincentivised to use them? Which should be such deadline?</w:t>
      </w:r>
    </w:p>
    <w:p w14:paraId="38978334" w14:textId="77777777" w:rsidR="00420D18" w:rsidRDefault="00420D18" w:rsidP="00420D18">
      <w:r>
        <w:t>&lt;ESMA_QUESTION_CSDC_8&gt;</w:t>
      </w:r>
    </w:p>
    <w:p w14:paraId="3FC992FD" w14:textId="62622B79" w:rsidR="0029545E" w:rsidRDefault="009F61A0" w:rsidP="009F61A0">
      <w:r>
        <w:t xml:space="preserve"> </w:t>
      </w:r>
      <w:r w:rsidR="0029545E">
        <w:t xml:space="preserve">As outlined in our response to Q7, allocations and confirmations should be sent in electronic machine-readable format. </w:t>
      </w:r>
      <w:r w:rsidR="002D5DF3">
        <w:t xml:space="preserve">Hence, </w:t>
      </w:r>
      <w:r w:rsidR="0029545E">
        <w:t xml:space="preserve">we do not support the </w:t>
      </w:r>
      <w:r w:rsidR="002D5DF3">
        <w:t xml:space="preserve">general </w:t>
      </w:r>
      <w:r w:rsidR="0029545E">
        <w:t xml:space="preserve">introduction of optionality for investment firms to set deadlines based on the format of communication. </w:t>
      </w:r>
      <w:r w:rsidR="002D5DF3">
        <w:t>Professional clients should all be obliged to use</w:t>
      </w:r>
      <w:r w:rsidR="002D5DF3" w:rsidRPr="002D5DF3">
        <w:t xml:space="preserve"> electronic, machine-readable format</w:t>
      </w:r>
      <w:r w:rsidR="002D5DF3">
        <w:t xml:space="preserve">s. </w:t>
      </w:r>
      <w:r w:rsidR="0029545E">
        <w:t xml:space="preserve">Allowing participants the choice to send non-machine-readable formats risks reinforcing fragmentation in communication standards, which could potentially lead to more mismatches, processing delays, and inefficiencies in settlement processes. We consider that the industry should prioritise the adoption of structured, electronic, and machine-readable formats to improve automation, reduce manual intervention, and enhance overall settlement efficiency. </w:t>
      </w:r>
    </w:p>
    <w:p w14:paraId="6C42AC8F" w14:textId="33E85EA9" w:rsidR="0029545E" w:rsidRDefault="002D5DF3" w:rsidP="0029545E">
      <w:r>
        <w:t xml:space="preserve">However, there is merit in introducing the optionality for investment firms to set deadlines based on whether an electronic, machine-readable format of the communication is used for other clients than professional clients. </w:t>
      </w:r>
      <w:r w:rsidR="00770B4F">
        <w:t>Allowing for</w:t>
      </w:r>
      <w:r w:rsidR="0029545E">
        <w:t xml:space="preserve"> an earlier deadline for non-machine-readable formats </w:t>
      </w:r>
      <w:r w:rsidR="004800A2">
        <w:t>should</w:t>
      </w:r>
      <w:r w:rsidR="0029545E">
        <w:t xml:space="preserve"> act as a disincentive</w:t>
      </w:r>
      <w:r w:rsidR="00230631">
        <w:t>.</w:t>
      </w:r>
      <w:r w:rsidR="00770B4F" w:rsidRPr="00770B4F">
        <w:t xml:space="preserve"> </w:t>
      </w:r>
      <w:r w:rsidR="00770B4F">
        <w:t xml:space="preserve">But it would allow for </w:t>
      </w:r>
      <w:proofErr w:type="gramStart"/>
      <w:r w:rsidR="00770B4F">
        <w:t>in particular smaller</w:t>
      </w:r>
      <w:proofErr w:type="gramEnd"/>
      <w:r w:rsidR="00770B4F">
        <w:t>, not so sophisticated market participants to be able to adapt at a slower pace.</w:t>
      </w:r>
      <w:r w:rsidR="00770B4F" w:rsidRPr="002D5DF3">
        <w:t xml:space="preserve"> </w:t>
      </w:r>
      <w:r w:rsidR="00770B4F">
        <w:t>I</w:t>
      </w:r>
      <w:r w:rsidR="00770B4F" w:rsidRPr="002D5DF3">
        <w:t xml:space="preserve">t might </w:t>
      </w:r>
      <w:r w:rsidR="00770B4F">
        <w:t xml:space="preserve">also </w:t>
      </w:r>
      <w:r w:rsidR="00770B4F" w:rsidRPr="002D5DF3">
        <w:t>be difficult to force customers onto the relevant, privately organized platforms – not least because this is associated with costs. Also, those platforms, like CTM or others, are not accessible for everyone. There are probably enough small firms or firms with little volumes in trading were changing to STP -processing will not be worth it for cost-benefit reasons.</w:t>
      </w:r>
    </w:p>
    <w:p w14:paraId="06C1E83C" w14:textId="77777777" w:rsidR="00420D18" w:rsidRDefault="00420D18" w:rsidP="00420D18">
      <w:r>
        <w:t>&lt;ESMA_QUESTION_CSDC_8&gt;</w:t>
      </w:r>
    </w:p>
    <w:p w14:paraId="57F6F620" w14:textId="77777777" w:rsidR="00420D18" w:rsidRDefault="00420D18" w:rsidP="00420D18"/>
    <w:p w14:paraId="384D0989" w14:textId="77777777" w:rsidR="00420D18" w:rsidRDefault="00420D18" w:rsidP="00420D18">
      <w:pPr>
        <w:pStyle w:val="Questionstyle"/>
        <w:numPr>
          <w:ilvl w:val="0"/>
          <w:numId w:val="1"/>
        </w:numPr>
        <w:tabs>
          <w:tab w:val="clear" w:pos="567"/>
        </w:tabs>
        <w:spacing w:after="240" w:line="256" w:lineRule="auto"/>
        <w:ind w:left="851" w:hanging="851"/>
      </w:pPr>
      <w:r>
        <w:t>Please provide quantitative evidence regarding the use of non-</w:t>
      </w:r>
      <w:proofErr w:type="gramStart"/>
      <w:r>
        <w:t>machine readable</w:t>
      </w:r>
      <w:proofErr w:type="gramEnd"/>
      <w:r>
        <w:t xml:space="preserve"> formats for written allocations and confirmations.</w:t>
      </w:r>
    </w:p>
    <w:p w14:paraId="7E73936C" w14:textId="77777777" w:rsidR="00420D18" w:rsidRDefault="00420D18" w:rsidP="00420D18">
      <w:r>
        <w:t>&lt;ESMA_QUESTION_CSDC_9&gt;</w:t>
      </w:r>
    </w:p>
    <w:p w14:paraId="5864121D" w14:textId="5D769750" w:rsidR="00CF4A4F" w:rsidRDefault="00CF4A4F" w:rsidP="00420D18">
      <w:r>
        <w:t>In general</w:t>
      </w:r>
      <w:r w:rsidR="002467F5">
        <w:t>,</w:t>
      </w:r>
      <w:r>
        <w:t xml:space="preserve"> e</w:t>
      </w:r>
      <w:r w:rsidRPr="00CF4A4F">
        <w:t xml:space="preserve">lectronic communication </w:t>
      </w:r>
      <w:r w:rsidR="002467F5">
        <w:t xml:space="preserve">already </w:t>
      </w:r>
      <w:r w:rsidRPr="00CF4A4F">
        <w:t>predominates</w:t>
      </w:r>
      <w:r w:rsidR="002467F5">
        <w:t xml:space="preserve"> in the market</w:t>
      </w:r>
      <w:r w:rsidRPr="00CF4A4F">
        <w:t xml:space="preserve">. However, the small amounts of non-electronic communication require a significant </w:t>
      </w:r>
      <w:r w:rsidR="002467F5">
        <w:t xml:space="preserve">manual </w:t>
      </w:r>
      <w:r w:rsidRPr="00CF4A4F">
        <w:t>effort.</w:t>
      </w:r>
    </w:p>
    <w:p w14:paraId="149DA580" w14:textId="77777777" w:rsidR="00420D18" w:rsidRDefault="00420D18" w:rsidP="00420D18">
      <w:r>
        <w:lastRenderedPageBreak/>
        <w:t>&lt;ESMA_QUESTION_CSDC_9&gt;</w:t>
      </w:r>
    </w:p>
    <w:p w14:paraId="7EE2E87A" w14:textId="77777777" w:rsidR="00420D18" w:rsidRDefault="00420D18" w:rsidP="00420D18"/>
    <w:p w14:paraId="61FD8D60"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57257BDB" w14:textId="77777777" w:rsidR="00420D18" w:rsidRDefault="00420D18" w:rsidP="00420D18">
      <w:r>
        <w:t>&lt;ESMA_QUESTION_CSDC_10&gt;</w:t>
      </w:r>
    </w:p>
    <w:p w14:paraId="540D748C" w14:textId="25AFBFA9" w:rsidR="00420D18" w:rsidRDefault="001834F5" w:rsidP="00420D18">
      <w:r w:rsidRPr="001834F5">
        <w:t>Everywhere non-electronic communication occurs, similar steps could be beneficial.</w:t>
      </w:r>
      <w:r>
        <w:t xml:space="preserve"> </w:t>
      </w:r>
      <w:r w:rsidR="009D6E6D" w:rsidRPr="009D6E6D">
        <w:t xml:space="preserve">However, we would like to question whether this </w:t>
      </w:r>
      <w:r w:rsidR="009D6E6D">
        <w:t>need to be prescribed by law</w:t>
      </w:r>
      <w:r w:rsidR="009D6E6D" w:rsidRPr="009D6E6D">
        <w:t xml:space="preserve">. It can be assumed that against the background of T+1, all market participants are striving for the highest possible level of automation - which includes </w:t>
      </w:r>
      <w:r w:rsidR="009D6E6D">
        <w:t xml:space="preserve">the use of </w:t>
      </w:r>
      <w:proofErr w:type="gramStart"/>
      <w:r w:rsidR="009D6E6D" w:rsidRPr="009D6E6D">
        <w:t>machine readab</w:t>
      </w:r>
      <w:r w:rsidR="009D6E6D">
        <w:t>le</w:t>
      </w:r>
      <w:proofErr w:type="gramEnd"/>
      <w:r w:rsidR="009D6E6D">
        <w:t xml:space="preserve"> formats</w:t>
      </w:r>
      <w:r w:rsidR="009D6E6D" w:rsidRPr="009D6E6D">
        <w:t>.</w:t>
      </w:r>
      <w:r w:rsidR="009D6E6D">
        <w:t xml:space="preserve"> And there might be the need to fall back on </w:t>
      </w:r>
      <w:r w:rsidR="009D6E6D" w:rsidRPr="00DB5BE1">
        <w:t xml:space="preserve">non-machine-readable formats </w:t>
      </w:r>
      <w:r w:rsidR="009D6E6D">
        <w:t xml:space="preserve">in case of manual handling of </w:t>
      </w:r>
      <w:r w:rsidR="00DB5BE1" w:rsidRPr="00DB5BE1">
        <w:t>exception</w:t>
      </w:r>
      <w:r w:rsidR="009D6E6D">
        <w:t xml:space="preserve">al cases or </w:t>
      </w:r>
      <w:r w:rsidR="00DB5BE1" w:rsidRPr="00DB5BE1">
        <w:t>in case of a backup process.</w:t>
      </w:r>
    </w:p>
    <w:p w14:paraId="233CFF98" w14:textId="77777777" w:rsidR="00420D18" w:rsidRDefault="00420D18" w:rsidP="00420D18">
      <w:r>
        <w:t>&lt;ESMA_QUESTION_CSDC_10&gt;</w:t>
      </w:r>
    </w:p>
    <w:p w14:paraId="762630CC" w14:textId="77777777" w:rsidR="00420D18" w:rsidRDefault="00420D18" w:rsidP="00420D18"/>
    <w:p w14:paraId="322B065C"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r>
        <w:t xml:space="preserve"> </w:t>
      </w:r>
    </w:p>
    <w:p w14:paraId="379FC1D4" w14:textId="77777777" w:rsidR="00420D18" w:rsidRDefault="00420D18" w:rsidP="00420D18">
      <w:r>
        <w:t>&lt;ESMA_QUESTION_CSDC_11&gt;</w:t>
      </w:r>
    </w:p>
    <w:p w14:paraId="06DBA3A8" w14:textId="2056AF14" w:rsidR="00420D18" w:rsidRDefault="00885E18" w:rsidP="00420D18">
      <w:r>
        <w:t xml:space="preserve">As per Q 8 </w:t>
      </w:r>
      <w:r w:rsidRPr="00885E18">
        <w:t xml:space="preserve">the use of machine-readable formats </w:t>
      </w:r>
      <w:r>
        <w:t xml:space="preserve">could </w:t>
      </w:r>
      <w:r w:rsidRPr="00885E18">
        <w:t>be incentiv</w:t>
      </w:r>
      <w:r>
        <w:t xml:space="preserve">ised </w:t>
      </w:r>
      <w:r w:rsidRPr="00885E18">
        <w:t xml:space="preserve">by </w:t>
      </w:r>
      <w:r>
        <w:t xml:space="preserve">different price schedules which will serve as a </w:t>
      </w:r>
      <w:r w:rsidRPr="00885E18">
        <w:t>motivat</w:t>
      </w:r>
      <w:r>
        <w:t>ion</w:t>
      </w:r>
      <w:r w:rsidRPr="00885E18">
        <w:t xml:space="preserve"> to change the formats.</w:t>
      </w:r>
      <w:r>
        <w:t xml:space="preserve"> </w:t>
      </w:r>
    </w:p>
    <w:p w14:paraId="33221C01" w14:textId="77777777" w:rsidR="00420D18" w:rsidRDefault="00420D18" w:rsidP="00420D18">
      <w:r>
        <w:t>&lt;ESMA_QUESTION_CSDC_11&gt;</w:t>
      </w:r>
    </w:p>
    <w:p w14:paraId="3E992024" w14:textId="77777777" w:rsidR="00420D18" w:rsidRPr="005C5C54" w:rsidRDefault="00420D18" w:rsidP="00420D18">
      <w:pPr>
        <w:rPr>
          <w:b/>
          <w:bCs/>
        </w:rPr>
      </w:pPr>
    </w:p>
    <w:p w14:paraId="1372CD63" w14:textId="77777777" w:rsidR="00420D18" w:rsidRPr="005C5C54" w:rsidRDefault="00420D18" w:rsidP="00420D18">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363E0D4E" w14:textId="77777777" w:rsidR="00420D18" w:rsidRDefault="00420D18" w:rsidP="00420D18"/>
    <w:p w14:paraId="059147F9"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agree with the proposed amendment to Article 2 of CDR 2018/1229?</w:t>
      </w:r>
    </w:p>
    <w:p w14:paraId="3182DEBE" w14:textId="77777777" w:rsidR="00420D18" w:rsidRDefault="00420D18" w:rsidP="00420D18">
      <w:r>
        <w:t>&lt;ESMA_QUESTION_CSDC_12&gt;</w:t>
      </w:r>
    </w:p>
    <w:p w14:paraId="04A7FD36" w14:textId="288E427D" w:rsidR="00420D18" w:rsidRDefault="00016AD1" w:rsidP="00420D18">
      <w:r>
        <w:lastRenderedPageBreak/>
        <w:t xml:space="preserve">No. </w:t>
      </w:r>
      <w:r w:rsidR="0001692F" w:rsidRPr="0001692F">
        <w:t xml:space="preserve">We are strongly opposed to introducing this obligation for investment firms. </w:t>
      </w:r>
    </w:p>
    <w:p w14:paraId="2040F0EA" w14:textId="1B3E6EB2" w:rsidR="005D5701" w:rsidRDefault="005D5701" w:rsidP="00420D18">
      <w:r w:rsidRPr="005D5701">
        <w:t>We believe that the decision on how investment firms receive allocation and confirmation messages should remain a matter of agreement between the firm and its clients, provided that the chosen method ensures Straight-Through-Processing (STP) and is sent in a machine-readable format.</w:t>
      </w:r>
    </w:p>
    <w:p w14:paraId="3BA9C075" w14:textId="77777777" w:rsidR="00420D18" w:rsidRDefault="00420D18" w:rsidP="00420D18">
      <w:r>
        <w:t>&lt;ESMA_QUESTION_CSDC_12&gt;</w:t>
      </w:r>
    </w:p>
    <w:p w14:paraId="7A49190C" w14:textId="77777777" w:rsidR="00420D18" w:rsidRDefault="00420D18" w:rsidP="00420D18"/>
    <w:p w14:paraId="6152EBAD" w14:textId="77777777" w:rsidR="00420D18" w:rsidRDefault="00420D18" w:rsidP="00420D18">
      <w:pPr>
        <w:pStyle w:val="Questionstyle"/>
        <w:numPr>
          <w:ilvl w:val="0"/>
          <w:numId w:val="1"/>
        </w:numPr>
        <w:tabs>
          <w:tab w:val="clear" w:pos="567"/>
        </w:tabs>
        <w:spacing w:after="240" w:line="256" w:lineRule="auto"/>
        <w:ind w:left="851" w:hanging="851"/>
      </w:pPr>
      <w:r>
        <w:t xml:space="preserve">Do you agree that settlement efficiency would improve if all parties in the transaction and settlement chain used the latest international standards, such as the ISO 20022 messaging standards, </w:t>
      </w:r>
      <w:proofErr w:type="gramStart"/>
      <w:r>
        <w:t>in particular whenever</w:t>
      </w:r>
      <w:proofErr w:type="gramEnd"/>
      <w:r>
        <w:t xml:space="preserve"> A2A messages and data are exchanged? If not, please elaborate. How long would it take for all parties to adapt to ISO20022?</w:t>
      </w:r>
    </w:p>
    <w:p w14:paraId="452831AD" w14:textId="77777777" w:rsidR="00420D18" w:rsidRDefault="00420D18" w:rsidP="00420D18">
      <w:r>
        <w:t>&lt;ESMA_QUESTION_CSDC_13&gt;</w:t>
      </w:r>
    </w:p>
    <w:p w14:paraId="4CA8A2F4" w14:textId="4075AECE" w:rsidR="00CB519E" w:rsidRDefault="004C6564" w:rsidP="004C6564">
      <w:r>
        <w:t xml:space="preserve">No, such technical issues should not be prescribed by </w:t>
      </w:r>
      <w:r w:rsidR="00797CBE">
        <w:t>law</w:t>
      </w:r>
      <w:r>
        <w:t xml:space="preserve"> but left to the market. In principle, the use of a standardised and compatible format </w:t>
      </w:r>
      <w:r w:rsidR="004A2F29">
        <w:t xml:space="preserve">is </w:t>
      </w:r>
      <w:r>
        <w:t xml:space="preserve">desirable. </w:t>
      </w:r>
      <w:r w:rsidR="004A2F29" w:rsidRPr="004A2F29">
        <w:t xml:space="preserve">Standards are essential for overall processing efficiency. </w:t>
      </w:r>
      <w:r>
        <w:t xml:space="preserve">However, this does not necessarily have to be ISO 20022. </w:t>
      </w:r>
      <w:r w:rsidR="004A2F29">
        <w:t>The</w:t>
      </w:r>
      <w:r w:rsidR="004A2F29" w:rsidRPr="004A2F29">
        <w:t xml:space="preserve"> considerations regarding settlement efficiency also apply to the existing ISO 15022 standard. The potential benefits do not outweigh the costs of transitioning to a new standard. If a transition were to take place, a timeframe of </w:t>
      </w:r>
      <w:r w:rsidR="00CB519E">
        <w:t xml:space="preserve">a </w:t>
      </w:r>
      <w:r w:rsidR="000E5DC2">
        <w:t>minimum</w:t>
      </w:r>
      <w:r w:rsidR="00CB519E">
        <w:t xml:space="preserve"> of</w:t>
      </w:r>
      <w:r w:rsidR="004A2F29" w:rsidRPr="004A2F29">
        <w:t xml:space="preserve"> five years would be realistic for the financial industry, as other requirements, including regulatory obligations, also need to be implemented.</w:t>
      </w:r>
      <w:r w:rsidR="00797CBE">
        <w:t xml:space="preserve"> Hence, s</w:t>
      </w:r>
      <w:r w:rsidR="00797CBE" w:rsidRPr="00797CBE">
        <w:t xml:space="preserve">witching from already existing standardized formats to another format will not </w:t>
      </w:r>
      <w:r w:rsidR="00797CBE">
        <w:t xml:space="preserve">be beneficial to </w:t>
      </w:r>
      <w:r w:rsidR="00797CBE" w:rsidRPr="00797CBE">
        <w:t xml:space="preserve">settlement efficiency. It </w:t>
      </w:r>
      <w:r w:rsidR="00797CBE">
        <w:t xml:space="preserve">will most likely lead </w:t>
      </w:r>
      <w:r w:rsidR="00797CBE" w:rsidRPr="00797CBE">
        <w:t xml:space="preserve">to lower efficiency </w:t>
      </w:r>
      <w:r w:rsidR="00797CBE">
        <w:t>rates as the market will have to adapt. This would hinder a smooth transition to T+1 and be detrimental to the desired objective.</w:t>
      </w:r>
    </w:p>
    <w:p w14:paraId="3D8DA532" w14:textId="77699FB4" w:rsidR="00CB519E" w:rsidRDefault="0095089B" w:rsidP="004C6564">
      <w:r w:rsidRPr="0095089B">
        <w:t>In addition, ISO 20022 is not the only possible solution.</w:t>
      </w:r>
      <w:r w:rsidR="00CB519E" w:rsidRPr="00CB519E">
        <w:t xml:space="preserve"> Most allocations and confirmations currently utilise FIX, CTM, and other existing protocols. The focus should be on improving automation by leveraging the existing technologies rather than imposing the use of certain messaging standards.</w:t>
      </w:r>
    </w:p>
    <w:p w14:paraId="407F4291" w14:textId="557F4042" w:rsidR="00420D18" w:rsidRDefault="00420D18" w:rsidP="00420D18">
      <w:r>
        <w:t>&lt;ESMA_QUESTION_CSDC_13&gt;</w:t>
      </w:r>
    </w:p>
    <w:p w14:paraId="6D29987A" w14:textId="77777777" w:rsidR="00420D18" w:rsidRDefault="00420D18" w:rsidP="00420D18"/>
    <w:p w14:paraId="6FCB7E6C" w14:textId="77777777" w:rsidR="00420D18" w:rsidRDefault="00420D18" w:rsidP="00420D18">
      <w:pPr>
        <w:pStyle w:val="Questionstyle"/>
        <w:numPr>
          <w:ilvl w:val="0"/>
          <w:numId w:val="1"/>
        </w:numPr>
        <w:tabs>
          <w:tab w:val="clear" w:pos="567"/>
        </w:tabs>
        <w:spacing w:after="240" w:line="256" w:lineRule="auto"/>
        <w:ind w:left="851" w:hanging="851"/>
      </w:pPr>
      <w:r>
        <w:lastRenderedPageBreak/>
        <w:t>Can you provide figures (by number and type of financial entities, jurisdictions) regarding the current use of international open communication procedures and standards such as: a) ISO 20022, b) ISO 15022, c) others (please specify)?</w:t>
      </w:r>
    </w:p>
    <w:p w14:paraId="6CBDEA0C" w14:textId="77777777" w:rsidR="00420D18" w:rsidRDefault="00420D18" w:rsidP="00420D18">
      <w:r>
        <w:t>&lt;ESMA_QUESTION_CSDC_14&gt;</w:t>
      </w:r>
    </w:p>
    <w:p w14:paraId="4CC8AF17" w14:textId="0DD10F81" w:rsidR="00420D18" w:rsidRDefault="00797CBE" w:rsidP="00420D18">
      <w:r>
        <w:t>TYPE YOUR TEXT HERE</w:t>
      </w:r>
    </w:p>
    <w:p w14:paraId="49F1F260" w14:textId="77777777" w:rsidR="00420D18" w:rsidRDefault="00420D18" w:rsidP="00420D18">
      <w:r>
        <w:t>&lt;ESMA_QUESTION_CSDC_14&gt;</w:t>
      </w:r>
    </w:p>
    <w:p w14:paraId="61EC31BA" w14:textId="77777777" w:rsidR="00420D18" w:rsidRDefault="00420D18" w:rsidP="00420D18"/>
    <w:p w14:paraId="3D3C9924"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58CBDB7C" w14:textId="77777777" w:rsidR="00420D18" w:rsidRDefault="00420D18" w:rsidP="00420D18">
      <w:r>
        <w:t>&lt;ESMA_QUESTION_CSDC_15&gt;</w:t>
      </w:r>
    </w:p>
    <w:p w14:paraId="18A2DB49" w14:textId="4960595F" w:rsidR="004046ED" w:rsidRDefault="004046ED" w:rsidP="004046ED">
      <w:pPr>
        <w:rPr>
          <w:lang w:val="en-US"/>
        </w:rPr>
      </w:pPr>
      <w:r w:rsidRPr="004046ED">
        <w:t xml:space="preserve">We generally agree with the proposal. The main data </w:t>
      </w:r>
      <w:r>
        <w:t xml:space="preserve">elements </w:t>
      </w:r>
      <w:r w:rsidRPr="004046ED">
        <w:t xml:space="preserve">should be aligned and matched as early as possible (e.g. PSET). In </w:t>
      </w:r>
      <w:proofErr w:type="gramStart"/>
      <w:r w:rsidRPr="004046ED">
        <w:t>addition</w:t>
      </w:r>
      <w:proofErr w:type="gramEnd"/>
      <w:r w:rsidRPr="004046ED">
        <w:t xml:space="preserve"> it is necessary to increase the data quality from the beginning of the trade lifecycle as the given timeframe will be significantly shorter</w:t>
      </w:r>
      <w:r>
        <w:t xml:space="preserve"> under T+1</w:t>
      </w:r>
      <w:r w:rsidRPr="004046ED">
        <w:t xml:space="preserve">. </w:t>
      </w:r>
      <w:r>
        <w:t>Hence, major d</w:t>
      </w:r>
      <w:proofErr w:type="spellStart"/>
      <w:r w:rsidRPr="0029545E">
        <w:rPr>
          <w:lang w:val="en-US"/>
        </w:rPr>
        <w:t>ifferences</w:t>
      </w:r>
      <w:proofErr w:type="spellEnd"/>
      <w:r w:rsidRPr="0029545E">
        <w:rPr>
          <w:lang w:val="en-US"/>
        </w:rPr>
        <w:t xml:space="preserve"> should not become apparent </w:t>
      </w:r>
      <w:r>
        <w:rPr>
          <w:lang w:val="en-US"/>
        </w:rPr>
        <w:t xml:space="preserve">earlier than </w:t>
      </w:r>
      <w:r w:rsidRPr="0029545E">
        <w:rPr>
          <w:lang w:val="en-US"/>
        </w:rPr>
        <w:t>during settlement</w:t>
      </w:r>
      <w:r>
        <w:rPr>
          <w:lang w:val="en-US"/>
        </w:rPr>
        <w:t>. T</w:t>
      </w:r>
      <w:r w:rsidRPr="0029545E">
        <w:rPr>
          <w:lang w:val="en-US"/>
        </w:rPr>
        <w:t>hey should be identified as early as possible.</w:t>
      </w:r>
      <w:r w:rsidRPr="004046ED">
        <w:t xml:space="preserve"> </w:t>
      </w:r>
      <w:r>
        <w:t xml:space="preserve">However, some data elements will only need to be specified at a later point in time (e. g. </w:t>
      </w:r>
      <w:r w:rsidRPr="004046ED">
        <w:t>matching of settlement instructions</w:t>
      </w:r>
      <w:r>
        <w:t xml:space="preserve"> at CSD-level</w:t>
      </w:r>
      <w:r w:rsidRPr="004046ED">
        <w:t>).</w:t>
      </w:r>
    </w:p>
    <w:p w14:paraId="48AD96D7" w14:textId="5CF51A65" w:rsidR="004046ED" w:rsidRPr="0029545E" w:rsidRDefault="004046ED" w:rsidP="004046ED">
      <w:pPr>
        <w:rPr>
          <w:lang w:val="en-US"/>
        </w:rPr>
      </w:pPr>
      <w:r w:rsidRPr="0029545E">
        <w:rPr>
          <w:lang w:val="en-US"/>
        </w:rPr>
        <w:t>However, pre-matching should not be a pre-condition for settlement.</w:t>
      </w:r>
      <w:r>
        <w:rPr>
          <w:lang w:val="en-US"/>
        </w:rPr>
        <w:t xml:space="preserve"> If this were the case and many more elements will be </w:t>
      </w:r>
      <w:r w:rsidRPr="0029545E">
        <w:rPr>
          <w:lang w:val="en-US"/>
        </w:rPr>
        <w:t xml:space="preserve">included in the matching process, </w:t>
      </w:r>
      <w:r>
        <w:rPr>
          <w:lang w:val="en-US"/>
        </w:rPr>
        <w:t xml:space="preserve">this </w:t>
      </w:r>
      <w:r w:rsidRPr="0029545E">
        <w:rPr>
          <w:lang w:val="en-US"/>
        </w:rPr>
        <w:t>could delay the transmission of instructions to the market. H</w:t>
      </w:r>
      <w:r>
        <w:rPr>
          <w:lang w:val="en-US"/>
        </w:rPr>
        <w:t xml:space="preserve">ence, </w:t>
      </w:r>
      <w:r w:rsidRPr="0029545E">
        <w:rPr>
          <w:lang w:val="en-US"/>
        </w:rPr>
        <w:t xml:space="preserve">it </w:t>
      </w:r>
      <w:r>
        <w:rPr>
          <w:lang w:val="en-US"/>
        </w:rPr>
        <w:t xml:space="preserve">should remain </w:t>
      </w:r>
      <w:r w:rsidRPr="0029545E">
        <w:rPr>
          <w:lang w:val="en-US"/>
        </w:rPr>
        <w:t xml:space="preserve">possible to send the </w:t>
      </w:r>
      <w:r w:rsidR="00A62565" w:rsidRPr="00A62565">
        <w:rPr>
          <w:lang w:val="en-US"/>
        </w:rPr>
        <w:t>instructions</w:t>
      </w:r>
      <w:r w:rsidRPr="0029545E">
        <w:rPr>
          <w:lang w:val="en-US"/>
        </w:rPr>
        <w:t xml:space="preserve"> to the market in parallel. </w:t>
      </w:r>
      <w:r>
        <w:rPr>
          <w:lang w:val="en-US"/>
        </w:rPr>
        <w:t xml:space="preserve">Even though, in </w:t>
      </w:r>
      <w:r w:rsidRPr="0029545E">
        <w:rPr>
          <w:lang w:val="en-US"/>
        </w:rPr>
        <w:t>theory, the</w:t>
      </w:r>
      <w:r>
        <w:rPr>
          <w:lang w:val="en-US"/>
        </w:rPr>
        <w:t xml:space="preserve">re is the risk that the </w:t>
      </w:r>
      <w:r w:rsidRPr="0029545E">
        <w:rPr>
          <w:lang w:val="en-US"/>
        </w:rPr>
        <w:t>instruction deviate</w:t>
      </w:r>
      <w:r>
        <w:rPr>
          <w:lang w:val="en-US"/>
        </w:rPr>
        <w:t>s</w:t>
      </w:r>
      <w:r w:rsidRPr="0029545E">
        <w:rPr>
          <w:lang w:val="en-US"/>
        </w:rPr>
        <w:t xml:space="preserve"> from the </w:t>
      </w:r>
      <w:r>
        <w:rPr>
          <w:lang w:val="en-US"/>
        </w:rPr>
        <w:t xml:space="preserve">final </w:t>
      </w:r>
      <w:r w:rsidRPr="0029545E">
        <w:rPr>
          <w:lang w:val="en-US"/>
        </w:rPr>
        <w:t>matching.</w:t>
      </w:r>
    </w:p>
    <w:p w14:paraId="1FB002FC" w14:textId="284C6E14" w:rsidR="00420D18" w:rsidRDefault="00420D18" w:rsidP="00420D18"/>
    <w:p w14:paraId="3E6F3658" w14:textId="77777777" w:rsidR="00420D18" w:rsidRDefault="00420D18" w:rsidP="00420D18">
      <w:r>
        <w:t>&lt;ESMA_QUESTION_CSDC_15&gt;</w:t>
      </w:r>
    </w:p>
    <w:p w14:paraId="4B849BAB" w14:textId="77777777" w:rsidR="00420D18" w:rsidRDefault="00420D18" w:rsidP="00420D18"/>
    <w:p w14:paraId="3954D6D3"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06C21F1E" w14:textId="77777777" w:rsidR="00420D18" w:rsidRDefault="00420D18" w:rsidP="00420D18">
      <w:r>
        <w:t>&lt;ESMA_QUESTION_CSDC_16&gt;</w:t>
      </w:r>
    </w:p>
    <w:p w14:paraId="75507607" w14:textId="24E59FA8" w:rsidR="00090D27" w:rsidRDefault="00B7751E" w:rsidP="00090D27">
      <w:r w:rsidRPr="00B7751E">
        <w:lastRenderedPageBreak/>
        <w:t xml:space="preserve">No, but we would like to point out that </w:t>
      </w:r>
      <w:r w:rsidR="00FD2382">
        <w:t xml:space="preserve">affirming </w:t>
      </w:r>
      <w:r w:rsidRPr="00B7751E">
        <w:t xml:space="preserve">broker confirmations, </w:t>
      </w:r>
      <w:r w:rsidR="00FD2382">
        <w:t>a process that has been made mandatory</w:t>
      </w:r>
      <w:r w:rsidRPr="00B7751E">
        <w:t xml:space="preserve"> in the US market, do not per se contribute to settlement efficiency. It should also be noted that the DTCC tool </w:t>
      </w:r>
      <w:proofErr w:type="spellStart"/>
      <w:r w:rsidRPr="00B7751E">
        <w:t>T</w:t>
      </w:r>
      <w:r>
        <w:t>r</w:t>
      </w:r>
      <w:r w:rsidRPr="00B7751E">
        <w:t>adeSuit</w:t>
      </w:r>
      <w:r w:rsidR="00FD2382">
        <w:t>e</w:t>
      </w:r>
      <w:proofErr w:type="spellEnd"/>
      <w:r w:rsidR="00FD2382">
        <w:t xml:space="preserve"> is</w:t>
      </w:r>
      <w:r w:rsidRPr="00B7751E">
        <w:t xml:space="preserve"> subject to a fee. This is another reason why these tools should not be required by law. This must remain a decision for the market participants.</w:t>
      </w:r>
    </w:p>
    <w:p w14:paraId="2ACCCE59" w14:textId="32BD0395" w:rsidR="00090D27" w:rsidRDefault="00AA05E0" w:rsidP="00090D27">
      <w:r w:rsidRPr="00AA05E0">
        <w:t xml:space="preserve">The key for successful and efficient settlement is to </w:t>
      </w:r>
      <w:r>
        <w:t xml:space="preserve">instruct as early as possible using </w:t>
      </w:r>
      <w:r w:rsidRPr="00AA05E0">
        <w:t xml:space="preserve">standardized formats and data for </w:t>
      </w:r>
      <w:r>
        <w:t xml:space="preserve">the </w:t>
      </w:r>
      <w:r w:rsidRPr="00AA05E0">
        <w:t>settlement instructions. It would be</w:t>
      </w:r>
      <w:r>
        <w:t xml:space="preserve">, thus, more beneficial </w:t>
      </w:r>
      <w:r w:rsidRPr="00AA05E0">
        <w:t>to reduce complexity due to several different formats for settlement instruction as every single CSD today has its own format / requirement.</w:t>
      </w:r>
    </w:p>
    <w:p w14:paraId="3EBD4DEB" w14:textId="77777777" w:rsidR="00420D18" w:rsidRDefault="00420D18" w:rsidP="00420D18">
      <w:r>
        <w:t>&lt;ESMA_QUESTION_CSDC_16&gt;</w:t>
      </w:r>
    </w:p>
    <w:p w14:paraId="7F62FCCB" w14:textId="77777777" w:rsidR="00420D18" w:rsidRDefault="00420D18" w:rsidP="00420D18">
      <w:pPr>
        <w:rPr>
          <w:b/>
          <w:bCs/>
        </w:rPr>
      </w:pPr>
    </w:p>
    <w:p w14:paraId="13890271" w14:textId="77777777" w:rsidR="00420D18" w:rsidRPr="005C5C54" w:rsidRDefault="00420D18" w:rsidP="00420D18">
      <w:pPr>
        <w:rPr>
          <w:b/>
          <w:bCs/>
        </w:rPr>
      </w:pPr>
      <w:r w:rsidRPr="005C5C54">
        <w:rPr>
          <w:b/>
          <w:bCs/>
        </w:rPr>
        <w:t>3.1.4</w:t>
      </w:r>
      <w:r w:rsidRPr="005C5C54">
        <w:rPr>
          <w:b/>
          <w:bCs/>
        </w:rPr>
        <w:tab/>
        <w:t>Onboarding of new clients</w:t>
      </w:r>
    </w:p>
    <w:p w14:paraId="0A2F64EC" w14:textId="77777777" w:rsidR="00420D18" w:rsidRDefault="00420D18" w:rsidP="00420D18"/>
    <w:p w14:paraId="573F6A3B"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36DB31A0" w14:textId="77777777" w:rsidR="00420D18" w:rsidRDefault="00420D18" w:rsidP="00420D18">
      <w:r>
        <w:t>&lt;ESMA_QUESTION_CSDC_17&gt;</w:t>
      </w:r>
    </w:p>
    <w:p w14:paraId="04286B84" w14:textId="6A2121A6" w:rsidR="004E588D" w:rsidRDefault="004E588D" w:rsidP="00420D18">
      <w:r w:rsidRPr="004E588D">
        <w:t>We do not support mandating investment firms to collect trade settlement data during the onboarding process. The data collected during the step of onboarding may become stale or outdated by the time the client engages in their first transaction. Investment firms typically request and verify trade settlement data at the time of the first trade, rather than relying solely on the information gathered during the onboarding process.</w:t>
      </w:r>
      <w:r w:rsidR="00C93CD3">
        <w:t xml:space="preserve"> </w:t>
      </w:r>
      <w:r w:rsidR="00C93CD3" w:rsidRPr="00C93CD3">
        <w:t>Furthermore, the collection of data that is not required at the time of onboarding could violate data protection regulations.</w:t>
      </w:r>
      <w:r w:rsidR="009D25B6">
        <w:t xml:space="preserve"> </w:t>
      </w:r>
      <w:r w:rsidR="009D25B6" w:rsidRPr="009D25B6">
        <w:t>Investment firms should therefore be free to choose the timing of their data collection.</w:t>
      </w:r>
    </w:p>
    <w:p w14:paraId="61F7633D" w14:textId="77777777" w:rsidR="00420D18" w:rsidRDefault="00420D18" w:rsidP="00420D18">
      <w:r>
        <w:t>&lt;ESMA_QUESTION_CSDC_17&gt;</w:t>
      </w:r>
    </w:p>
    <w:p w14:paraId="6AA70781" w14:textId="77777777" w:rsidR="00420D18" w:rsidRDefault="00420D18" w:rsidP="00420D18"/>
    <w:p w14:paraId="24D7D2BB"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6BC14DF" w14:textId="77777777" w:rsidR="00420D18" w:rsidRDefault="00420D18" w:rsidP="00420D18">
      <w:r>
        <w:t>&lt;ESMA_QUESTION_CSDC_18&gt;</w:t>
      </w:r>
    </w:p>
    <w:p w14:paraId="787966AE" w14:textId="77777777" w:rsidR="00420D18" w:rsidRDefault="00420D18" w:rsidP="00420D18">
      <w:r>
        <w:lastRenderedPageBreak/>
        <w:t>TYPE YOUR TEXT HERE</w:t>
      </w:r>
    </w:p>
    <w:p w14:paraId="64651FD6" w14:textId="77777777" w:rsidR="00420D18" w:rsidRDefault="00420D18" w:rsidP="00420D18">
      <w:r>
        <w:t>&lt;ESMA_QUESTION_CSDC_18&gt;</w:t>
      </w:r>
    </w:p>
    <w:p w14:paraId="1683540C" w14:textId="77777777" w:rsidR="00420D18" w:rsidRDefault="00420D18" w:rsidP="00420D18"/>
    <w:p w14:paraId="473C1B23" w14:textId="77777777" w:rsidR="00420D18" w:rsidRPr="005A35CA" w:rsidRDefault="00420D18" w:rsidP="00420D18">
      <w:pPr>
        <w:rPr>
          <w:b/>
          <w:bCs/>
        </w:rPr>
      </w:pPr>
      <w:r w:rsidRPr="005A35CA">
        <w:rPr>
          <w:b/>
          <w:bCs/>
        </w:rPr>
        <w:t>3.1.6</w:t>
      </w:r>
      <w:r w:rsidRPr="005A35CA">
        <w:rPr>
          <w:b/>
          <w:bCs/>
        </w:rPr>
        <w:tab/>
        <w:t>Partial settlement</w:t>
      </w:r>
    </w:p>
    <w:p w14:paraId="67E9F231" w14:textId="77777777" w:rsidR="00420D18" w:rsidRDefault="00420D18" w:rsidP="00420D18"/>
    <w:p w14:paraId="14FD31E5"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 to Article 10 of CDR 2018/1229? If not, please elaborate.</w:t>
      </w:r>
    </w:p>
    <w:p w14:paraId="506FEDD7" w14:textId="77777777" w:rsidR="00420D18" w:rsidRDefault="00420D18" w:rsidP="00420D18">
      <w:r>
        <w:t>&lt;ESMA_QUESTION_CSDC_19&gt;</w:t>
      </w:r>
    </w:p>
    <w:p w14:paraId="486BF206" w14:textId="77777777" w:rsidR="00420D18" w:rsidRDefault="00420D18" w:rsidP="00420D18">
      <w:r>
        <w:t>&lt;ESMA_QUESTION_CSDC_19&gt;</w:t>
      </w:r>
    </w:p>
    <w:p w14:paraId="7030B841" w14:textId="77777777" w:rsidR="00420D18" w:rsidRDefault="00420D18" w:rsidP="00420D18"/>
    <w:p w14:paraId="18197AEB" w14:textId="77777777" w:rsidR="00420D18" w:rsidRDefault="00420D18" w:rsidP="00420D18">
      <w:pPr>
        <w:pStyle w:val="Questionstyle"/>
        <w:numPr>
          <w:ilvl w:val="0"/>
          <w:numId w:val="1"/>
        </w:numPr>
        <w:tabs>
          <w:tab w:val="clear" w:pos="567"/>
        </w:tabs>
        <w:spacing w:after="240" w:line="256" w:lineRule="auto"/>
        <w:ind w:left="851" w:hanging="851"/>
      </w:pPr>
      <w:r>
        <w:t>Do you agree with the deletion of Article 12 of CDR 2018/1229? If not, please elaborate.</w:t>
      </w:r>
    </w:p>
    <w:p w14:paraId="248D5307" w14:textId="77777777" w:rsidR="00420D18" w:rsidRDefault="00420D18" w:rsidP="00420D18">
      <w:r>
        <w:t>&lt;ESMA_QUESTION_CSDC_20&gt;</w:t>
      </w:r>
    </w:p>
    <w:p w14:paraId="5CB6FC39" w14:textId="51070EA5" w:rsidR="00420D18" w:rsidRDefault="003C16DD" w:rsidP="00420D18">
      <w:r>
        <w:t>Yes, we agree.</w:t>
      </w:r>
    </w:p>
    <w:p w14:paraId="72F6F7E3" w14:textId="77777777" w:rsidR="00420D18" w:rsidRDefault="00420D18" w:rsidP="00420D18">
      <w:r>
        <w:t>&lt;ESMA_QUESTION_CSDC_20&gt;</w:t>
      </w:r>
    </w:p>
    <w:p w14:paraId="0790AFDC" w14:textId="77777777" w:rsidR="00420D18" w:rsidRDefault="00420D18" w:rsidP="00420D18"/>
    <w:p w14:paraId="54B75014" w14:textId="77777777" w:rsidR="00420D18" w:rsidRDefault="00420D18" w:rsidP="00420D18">
      <w:pPr>
        <w:pStyle w:val="Questionstyle"/>
        <w:numPr>
          <w:ilvl w:val="0"/>
          <w:numId w:val="1"/>
        </w:numPr>
        <w:tabs>
          <w:tab w:val="clear" w:pos="567"/>
        </w:tabs>
        <w:spacing w:after="240" w:line="256" w:lineRule="auto"/>
        <w:ind w:left="851" w:hanging="851"/>
      </w:pPr>
      <w:r>
        <w:t>Do you have other suggestions to incentivise partial settlement? If yes, please elaborate.</w:t>
      </w:r>
    </w:p>
    <w:p w14:paraId="17880235" w14:textId="77777777" w:rsidR="00420D18" w:rsidRDefault="00420D18" w:rsidP="00420D18">
      <w:r>
        <w:t>&lt;ESMA_QUESTION_CSDC_21&gt;</w:t>
      </w:r>
    </w:p>
    <w:p w14:paraId="63D50ED5" w14:textId="2164BB54" w:rsidR="00B440DA" w:rsidRDefault="00B440DA" w:rsidP="00420D18">
      <w:r w:rsidRPr="00B440DA">
        <w:t xml:space="preserve">Regarding point 91 we note that “auto-splitting” (shaping) is today not applied by CSDs but “upstream”, i.e. CSDs accept any settlement quantity in a participant´s settlement instruction. This is confirmed e.g. by the UK AST that recommends </w:t>
      </w:r>
      <w:proofErr w:type="gramStart"/>
      <w:r w:rsidRPr="00B440DA">
        <w:t>to apply</w:t>
      </w:r>
      <w:proofErr w:type="gramEnd"/>
      <w:r w:rsidRPr="00B440DA">
        <w:t xml:space="preserve"> the current market practice rather than creating new CSD shaping services. Point 98 refers to fees applied by CSDs – we fail to see the rationale of this statement as participants can actively manage the minimum quantities and amounts to be settled partially to avoid “micro-partials”. Therefore, we support to allow the </w:t>
      </w:r>
      <w:r w:rsidRPr="00B440DA">
        <w:lastRenderedPageBreak/>
        <w:t>application of minimum partial quantities/ values definitions should partials become the norm rather than an option. </w:t>
      </w:r>
      <w:r w:rsidR="004415CA">
        <w:t xml:space="preserve"> </w:t>
      </w:r>
      <w:r w:rsidR="004415CA" w:rsidRPr="004415CA">
        <w:t>In the end it should be the standard to settle complete as it is an obligation out of the trade. Partial</w:t>
      </w:r>
      <w:r w:rsidR="004415CA">
        <w:t xml:space="preserve"> settlement can </w:t>
      </w:r>
      <w:r w:rsidR="004415CA" w:rsidRPr="004415CA">
        <w:t>be used to minimize risks a</w:t>
      </w:r>
      <w:r w:rsidR="004415CA">
        <w:t xml:space="preserve">s well as </w:t>
      </w:r>
      <w:r w:rsidR="004415CA" w:rsidRPr="004415CA">
        <w:t>penalties or costs.</w:t>
      </w:r>
    </w:p>
    <w:p w14:paraId="078BABA3" w14:textId="77777777" w:rsidR="00254A45" w:rsidRDefault="00254A45" w:rsidP="00254A45">
      <w:r>
        <w:t>We recommend the development and promotion of industry best practices to encourage the use of partial settlement functionality. These best practices should focus on:</w:t>
      </w:r>
    </w:p>
    <w:p w14:paraId="144435A7" w14:textId="77777777" w:rsidR="00254A45" w:rsidRDefault="00254A45" w:rsidP="00254A45">
      <w:r>
        <w:t>•</w:t>
      </w:r>
      <w:r>
        <w:tab/>
        <w:t xml:space="preserve">Agreeing and defining on standardised partial settlement thresholds to ensure alignment across market participants. </w:t>
      </w:r>
    </w:p>
    <w:p w14:paraId="17CB0C4E" w14:textId="77777777" w:rsidR="00254A45" w:rsidRDefault="00254A45" w:rsidP="00254A45">
      <w:r>
        <w:t>•</w:t>
      </w:r>
      <w:r>
        <w:tab/>
        <w:t>Providing operational guidance on when and how partial settlement should be utilised to optimise settlement efficiency.</w:t>
      </w:r>
    </w:p>
    <w:p w14:paraId="6BFF3706" w14:textId="0646464F" w:rsidR="00254A45" w:rsidRPr="00DA4357" w:rsidRDefault="00254A45" w:rsidP="00254A45">
      <w:pPr>
        <w:rPr>
          <w:lang w:val="en-US"/>
        </w:rPr>
      </w:pPr>
      <w:r>
        <w:t>•</w:t>
      </w:r>
      <w:r>
        <w:tab/>
        <w:t xml:space="preserve">Improving transparency around the benefits of partial settlement, including the reduction of penalties and optimisation of </w:t>
      </w:r>
      <w:proofErr w:type="spellStart"/>
      <w:proofErr w:type="gramStart"/>
      <w:r>
        <w:t>liquidity.Moreover</w:t>
      </w:r>
      <w:proofErr w:type="spellEnd"/>
      <w:proofErr w:type="gramEnd"/>
      <w:r>
        <w:t xml:space="preserve">, CSDs </w:t>
      </w:r>
      <w:r w:rsidR="00C0657F">
        <w:t>should</w:t>
      </w:r>
      <w:r>
        <w:t xml:space="preserve"> encourage and support partial settlement in the interest of market efficiency. Therefore</w:t>
      </w:r>
      <w:r w:rsidR="00085729">
        <w:t>,</w:t>
      </w:r>
      <w:r>
        <w:t xml:space="preserve"> we recommend that CSDs fee structures </w:t>
      </w:r>
      <w:r w:rsidR="00C0657F">
        <w:t xml:space="preserve">consider </w:t>
      </w:r>
      <w:proofErr w:type="gramStart"/>
      <w:r w:rsidR="00C0657F">
        <w:t>to limit</w:t>
      </w:r>
      <w:proofErr w:type="gramEnd"/>
      <w:r w:rsidR="00C0657F">
        <w:t xml:space="preserve"> </w:t>
      </w:r>
      <w:r>
        <w:t>costs associated with the processing of partials</w:t>
      </w:r>
      <w:r w:rsidR="007F20E8" w:rsidRPr="00DA4357">
        <w:rPr>
          <w:lang w:val="en-US"/>
        </w:rPr>
        <w:t>.</w:t>
      </w:r>
    </w:p>
    <w:p w14:paraId="66ED1371" w14:textId="77777777" w:rsidR="00420D18" w:rsidRPr="00DA4357" w:rsidRDefault="00420D18" w:rsidP="00420D18">
      <w:pPr>
        <w:rPr>
          <w:lang w:val="de-DE"/>
        </w:rPr>
      </w:pPr>
      <w:r w:rsidRPr="00DA4357">
        <w:rPr>
          <w:lang w:val="de-DE"/>
        </w:rPr>
        <w:t>&lt;ESMA_QUESTION_CSDC_21&gt;</w:t>
      </w:r>
    </w:p>
    <w:p w14:paraId="300FD50E" w14:textId="77777777" w:rsidR="00420D18" w:rsidRPr="00DA4357" w:rsidRDefault="00420D18" w:rsidP="00420D18">
      <w:pPr>
        <w:rPr>
          <w:lang w:val="de-DE"/>
        </w:rPr>
      </w:pPr>
    </w:p>
    <w:p w14:paraId="6A6D4F5A" w14:textId="77777777" w:rsidR="00420D18" w:rsidRDefault="00420D18" w:rsidP="00420D18">
      <w:pPr>
        <w:pStyle w:val="Questionstyle"/>
        <w:numPr>
          <w:ilvl w:val="0"/>
          <w:numId w:val="1"/>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E8A24A8" w14:textId="77777777" w:rsidR="00420D18" w:rsidRDefault="00420D18" w:rsidP="00420D18">
      <w:r>
        <w:t>&lt;ESMA_QUESTION_CSDC_22&gt;</w:t>
      </w:r>
    </w:p>
    <w:p w14:paraId="3E5C7049" w14:textId="75372512" w:rsidR="008B1582" w:rsidRPr="00DA4357" w:rsidRDefault="00E90590" w:rsidP="008B1582">
      <w:pPr>
        <w:rPr>
          <w:lang w:val="en-US"/>
        </w:rPr>
      </w:pPr>
      <w:r w:rsidRPr="00E90590">
        <w:t xml:space="preserve"> </w:t>
      </w:r>
      <w:r w:rsidR="00801451">
        <w:t>No.</w:t>
      </w:r>
    </w:p>
    <w:p w14:paraId="5308EADC" w14:textId="77777777" w:rsidR="00420D18" w:rsidRPr="00DA4357" w:rsidRDefault="00420D18" w:rsidP="00420D18">
      <w:pPr>
        <w:rPr>
          <w:lang w:val="de-DE"/>
        </w:rPr>
      </w:pPr>
      <w:r w:rsidRPr="00DA4357">
        <w:rPr>
          <w:lang w:val="de-DE"/>
        </w:rPr>
        <w:t>&lt;ESMA_QUESTION_CSDC_22&gt;</w:t>
      </w:r>
    </w:p>
    <w:p w14:paraId="1826DCAE" w14:textId="77777777" w:rsidR="00420D18" w:rsidRPr="00DA4357" w:rsidRDefault="00420D18" w:rsidP="00420D18">
      <w:pPr>
        <w:rPr>
          <w:lang w:val="de-DE"/>
        </w:rPr>
      </w:pPr>
    </w:p>
    <w:p w14:paraId="25ECC220" w14:textId="77777777" w:rsidR="00420D18" w:rsidRPr="00DA4357" w:rsidRDefault="00420D18" w:rsidP="00420D18">
      <w:pPr>
        <w:rPr>
          <w:b/>
          <w:bCs/>
          <w:lang w:val="de-DE"/>
        </w:rPr>
      </w:pPr>
      <w:r w:rsidRPr="00DA4357">
        <w:rPr>
          <w:b/>
          <w:bCs/>
          <w:lang w:val="de-DE"/>
        </w:rPr>
        <w:t>3.1.7. Auto-</w:t>
      </w:r>
      <w:proofErr w:type="spellStart"/>
      <w:r w:rsidRPr="00DA4357">
        <w:rPr>
          <w:b/>
          <w:bCs/>
          <w:lang w:val="de-DE"/>
        </w:rPr>
        <w:t>collateralisation</w:t>
      </w:r>
      <w:proofErr w:type="spellEnd"/>
    </w:p>
    <w:p w14:paraId="06E000F9" w14:textId="77777777" w:rsidR="00420D18" w:rsidRPr="00DA4357" w:rsidRDefault="00420D18" w:rsidP="00420D18">
      <w:pPr>
        <w:rPr>
          <w:b/>
          <w:bCs/>
          <w:lang w:val="de-DE"/>
        </w:rPr>
      </w:pPr>
    </w:p>
    <w:p w14:paraId="5A91FE89"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DDEC2CF" w14:textId="77777777" w:rsidR="00420D18" w:rsidRDefault="00420D18" w:rsidP="00420D18">
      <w:r>
        <w:lastRenderedPageBreak/>
        <w:t>&lt;ESMA_QUESTION_CSDC_23&gt;</w:t>
      </w:r>
    </w:p>
    <w:p w14:paraId="2DE5CD05" w14:textId="77777777" w:rsidR="00E50E0C" w:rsidRPr="00E50E0C" w:rsidRDefault="00E50E0C" w:rsidP="00E50E0C">
      <w:r w:rsidRPr="00E50E0C">
        <w:t xml:space="preserve">It is worth noting that within T2S the “auto-coll.” service is </w:t>
      </w:r>
      <w:proofErr w:type="gramStart"/>
      <w:r w:rsidRPr="00E50E0C">
        <w:t>actually offered</w:t>
      </w:r>
      <w:proofErr w:type="gramEnd"/>
      <w:r w:rsidRPr="00E50E0C">
        <w:t xml:space="preserve"> by the Central Banks (or Payment Banks), but not CSDs who only facilitate the processing of collateral transfers via the respective settlement instructions. The T2S auto-collateralisation functionality is available to all T2S CSDs with a T2S currency (EUR and DKK), but T2S CSDs and non-T2S CSDs with a local non-T2S currency should be mandated to agree with their local central banks on a similar service for an intraday credit in central bank money against central bank eligible collateral. </w:t>
      </w:r>
    </w:p>
    <w:p w14:paraId="24FE1C61" w14:textId="5A777E14" w:rsidR="00E50E0C" w:rsidRDefault="00E50E0C" w:rsidP="004C6564">
      <w:r w:rsidRPr="00E50E0C">
        <w:t xml:space="preserve">We support the proposed amendment of Article 11 to incorporate the mandate for CSDs to facilitate intraday cash credit in central bank money via an auto-collateralisation facility. We note that auto-collateralisation represents an efficient way to create additional intra-day liquidity, thereby supporting overall market stability and efficiency. CSD participants should be free to make use of this auto-collateralisation service. CSDs should not be mandated to offer anything similar for intraday liquidity in commercial bank money. </w:t>
      </w:r>
    </w:p>
    <w:p w14:paraId="32A078AC" w14:textId="138A6135" w:rsidR="00420D18" w:rsidRDefault="00420D18" w:rsidP="00420D18">
      <w:r>
        <w:t>&lt;ESMA_QUESTION_CSDC_23&gt;</w:t>
      </w:r>
    </w:p>
    <w:p w14:paraId="51421B40" w14:textId="77777777" w:rsidR="00420D18" w:rsidRDefault="00420D18" w:rsidP="00420D18"/>
    <w:p w14:paraId="701C4C00"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89C8F78" w14:textId="77777777" w:rsidR="00420D18" w:rsidRDefault="00420D18" w:rsidP="00420D18">
      <w:r>
        <w:t>&lt;ESMA_QUESTION_CSDC_24&gt;</w:t>
      </w:r>
    </w:p>
    <w:p w14:paraId="79389E9F" w14:textId="77777777" w:rsidR="00420D18" w:rsidRDefault="00420D18" w:rsidP="00420D18">
      <w:r>
        <w:t>TYPE YOUR TEXT HERE</w:t>
      </w:r>
    </w:p>
    <w:p w14:paraId="0C2A242A" w14:textId="77777777" w:rsidR="00420D18" w:rsidRDefault="00420D18" w:rsidP="00420D18">
      <w:r>
        <w:t>&lt;ESMA_QUESTION_CSDC_24&gt;</w:t>
      </w:r>
    </w:p>
    <w:p w14:paraId="47BA1009" w14:textId="77777777" w:rsidR="00420D18" w:rsidRDefault="00420D18" w:rsidP="00420D18"/>
    <w:p w14:paraId="48060CA0" w14:textId="77777777" w:rsidR="00420D18" w:rsidRPr="00FE2F18" w:rsidRDefault="00420D18" w:rsidP="00420D18">
      <w:pPr>
        <w:rPr>
          <w:b/>
          <w:bCs/>
        </w:rPr>
      </w:pPr>
      <w:r w:rsidRPr="00FE2F18">
        <w:rPr>
          <w:b/>
          <w:bCs/>
        </w:rPr>
        <w:t>3.1.8</w:t>
      </w:r>
      <w:r w:rsidRPr="00FE2F18">
        <w:rPr>
          <w:b/>
          <w:bCs/>
        </w:rPr>
        <w:tab/>
        <w:t>Real-time gross settlement versus batches</w:t>
      </w:r>
    </w:p>
    <w:p w14:paraId="2B1F2A6C" w14:textId="77777777" w:rsidR="00420D18" w:rsidRDefault="00420D18" w:rsidP="00420D18"/>
    <w:p w14:paraId="65AB31F8" w14:textId="77777777" w:rsidR="00420D18" w:rsidRDefault="00420D18" w:rsidP="00420D18">
      <w:pPr>
        <w:pStyle w:val="Questionstyle"/>
        <w:numPr>
          <w:ilvl w:val="0"/>
          <w:numId w:val="1"/>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73A8F4E5" w14:textId="77777777" w:rsidR="00420D18" w:rsidRDefault="00420D18" w:rsidP="00420D18">
      <w:r>
        <w:t>&lt;ESMA_QUESTION_CSDC_25&gt;</w:t>
      </w:r>
    </w:p>
    <w:p w14:paraId="48811DEB" w14:textId="050621C0" w:rsidR="00AB5D42" w:rsidRDefault="00AB5D42" w:rsidP="00420D18">
      <w:r w:rsidRPr="00AB5D42">
        <w:lastRenderedPageBreak/>
        <w:t>Yes.</w:t>
      </w:r>
      <w:r w:rsidR="006B51B4" w:rsidRPr="006B51B4">
        <w:t xml:space="preserve"> Due to the shortening of settlement cycles and the corresponding reduction in cut-off times, central securities depositories (CSDs) must offer either real-time settlement </w:t>
      </w:r>
      <w:proofErr w:type="gramStart"/>
      <w:r w:rsidR="000A5874">
        <w:t>and</w:t>
      </w:r>
      <w:proofErr w:type="gramEnd"/>
      <w:r w:rsidR="006B51B4" w:rsidRPr="006B51B4">
        <w:t xml:space="preserve"> multiple settlement batches per day to meet the required deadlines. This is especially crucial in trading and settlement chains (e.g., purchase and immediate resale) and </w:t>
      </w:r>
      <w:proofErr w:type="gramStart"/>
      <w:r w:rsidR="006B51B4" w:rsidRPr="006B51B4">
        <w:t>in light of</w:t>
      </w:r>
      <w:proofErr w:type="gramEnd"/>
      <w:r w:rsidR="006B51B4" w:rsidRPr="006B51B4">
        <w:t xml:space="preserve"> the requirement not to use "external" holdings for deliveries. To ensure timely processing, multiple settlement cycles must be made available.</w:t>
      </w:r>
      <w:r w:rsidRPr="00AB5D42">
        <w:t xml:space="preserve"> The services are available in T2S</w:t>
      </w:r>
      <w:r w:rsidR="00CE2C08">
        <w:t xml:space="preserve">. </w:t>
      </w:r>
      <w:r w:rsidR="008E5BF9">
        <w:t xml:space="preserve"> </w:t>
      </w:r>
      <w:r w:rsidR="00CE2C08" w:rsidRPr="00CE2C08">
        <w:t>T2S CSDs should align to the nighttime batches and daytime RTS-windows of T2S. Many CSDs that are not connected to T2S (AFME report: 11) do not yet offer real-time settlement or settlement batches. For those non T2S CSDs a minimum number of batches a minimum RTS-window should be determined.</w:t>
      </w:r>
    </w:p>
    <w:p w14:paraId="18F89732" w14:textId="77777777" w:rsidR="00420D18" w:rsidRDefault="00420D18" w:rsidP="00420D18">
      <w:r>
        <w:t>&lt;ESMA_QUESTION_CSDC_25&gt;</w:t>
      </w:r>
    </w:p>
    <w:p w14:paraId="13CD2957" w14:textId="77777777" w:rsidR="00420D18" w:rsidRDefault="00420D18" w:rsidP="00420D18"/>
    <w:p w14:paraId="40B7AFB8" w14:textId="77777777" w:rsidR="00420D18" w:rsidRDefault="00420D18" w:rsidP="00420D18">
      <w:pPr>
        <w:pStyle w:val="Questionstyle"/>
        <w:numPr>
          <w:ilvl w:val="0"/>
          <w:numId w:val="1"/>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61DCF9C3" w14:textId="77777777" w:rsidR="00420D18" w:rsidRDefault="00420D18" w:rsidP="00420D18">
      <w:r>
        <w:t>&lt;ESMA_QUESTION_CSDC_26&gt;</w:t>
      </w:r>
    </w:p>
    <w:p w14:paraId="1951BD01" w14:textId="7F5271E6" w:rsidR="00D53409" w:rsidRDefault="00D53409" w:rsidP="00420D18">
      <w:r w:rsidRPr="00D53409">
        <w:t xml:space="preserve">At this time, </w:t>
      </w:r>
      <w:r w:rsidR="004415CA">
        <w:t>this should not be regulated by law</w:t>
      </w:r>
      <w:proofErr w:type="gramStart"/>
      <w:r w:rsidRPr="00D53409">
        <w:t>.</w:t>
      </w:r>
      <w:r w:rsidR="004415CA" w:rsidRPr="004415CA">
        <w:t xml:space="preserve"> :</w:t>
      </w:r>
      <w:proofErr w:type="gramEnd"/>
      <w:r w:rsidR="004415CA" w:rsidRPr="004415CA">
        <w:t xml:space="preserve"> These are questions </w:t>
      </w:r>
      <w:r w:rsidR="004415CA">
        <w:t xml:space="preserve">discussed and analysed under </w:t>
      </w:r>
      <w:r w:rsidR="004415CA" w:rsidRPr="004415CA">
        <w:t>operational timetable</w:t>
      </w:r>
      <w:r w:rsidR="004415CA">
        <w:t xml:space="preserve"> within the EU T+1 </w:t>
      </w:r>
      <w:r w:rsidRPr="00D53409">
        <w:t>The Industry Committee . The results should be awaited</w:t>
      </w:r>
      <w:r w:rsidR="004415CA">
        <w:t xml:space="preserve">. There is no need to </w:t>
      </w:r>
      <w:r w:rsidR="00722B3B">
        <w:t>include this in a regulation</w:t>
      </w:r>
      <w:r w:rsidRPr="00D53409">
        <w:t xml:space="preserve"> </w:t>
      </w:r>
      <w:r w:rsidR="004415CA" w:rsidRPr="004415CA">
        <w:t xml:space="preserve">and </w:t>
      </w:r>
      <w:r w:rsidR="00722B3B">
        <w:t>it should be left to the industry to come up with a reasonable timetable.</w:t>
      </w:r>
    </w:p>
    <w:p w14:paraId="7BF3D2E9" w14:textId="77777777" w:rsidR="00420D18" w:rsidRDefault="00420D18" w:rsidP="00420D18">
      <w:r>
        <w:t>&lt;ESMA_QUESTION_CSDC_26&gt;</w:t>
      </w:r>
    </w:p>
    <w:p w14:paraId="53EF3226" w14:textId="77777777" w:rsidR="00420D18" w:rsidRDefault="00420D18" w:rsidP="00420D18"/>
    <w:p w14:paraId="1A63BF3D"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7FAC3C0E" w14:textId="77777777" w:rsidR="00420D18" w:rsidRDefault="00420D18" w:rsidP="00420D18">
      <w:r>
        <w:t>&lt;ESMA_QUESTION_CSDC_27&gt;</w:t>
      </w:r>
    </w:p>
    <w:p w14:paraId="0D88EE6F" w14:textId="77777777" w:rsidR="00420D18" w:rsidRDefault="00420D18" w:rsidP="00420D18">
      <w:r>
        <w:t>TYPE YOUR TEXT HERE</w:t>
      </w:r>
    </w:p>
    <w:p w14:paraId="592FC9DA" w14:textId="77777777" w:rsidR="00420D18" w:rsidRDefault="00420D18" w:rsidP="00420D18">
      <w:r>
        <w:t>&lt;ESMA_QUESTION_CSDC_27&gt;</w:t>
      </w:r>
    </w:p>
    <w:p w14:paraId="195F8C82" w14:textId="77777777" w:rsidR="00420D18" w:rsidRDefault="00420D18" w:rsidP="00420D18"/>
    <w:p w14:paraId="019E28AE" w14:textId="77777777" w:rsidR="00420D18" w:rsidRPr="00FE2F18" w:rsidRDefault="00420D18" w:rsidP="00420D18">
      <w:pPr>
        <w:rPr>
          <w:b/>
          <w:bCs/>
        </w:rPr>
      </w:pPr>
      <w:r w:rsidRPr="00FE2F18">
        <w:rPr>
          <w:b/>
          <w:bCs/>
        </w:rPr>
        <w:lastRenderedPageBreak/>
        <w:t>3.1.9 Reporting top failing participants</w:t>
      </w:r>
    </w:p>
    <w:p w14:paraId="2B8B3955" w14:textId="77777777" w:rsidR="00420D18" w:rsidRDefault="00420D18" w:rsidP="00420D18"/>
    <w:p w14:paraId="17234C79"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amendments to Table 1 of Annex I of CDR 2018/1229? If not, please elaborate.</w:t>
      </w:r>
    </w:p>
    <w:p w14:paraId="40396DB9" w14:textId="77777777" w:rsidR="00420D18" w:rsidRDefault="00420D18" w:rsidP="00420D18">
      <w:r>
        <w:t>&lt;ESMA_QUESTION_CSDC_28&gt;</w:t>
      </w:r>
    </w:p>
    <w:p w14:paraId="25E1167A" w14:textId="77777777" w:rsidR="00420D18" w:rsidRDefault="00420D18" w:rsidP="00420D18">
      <w:r>
        <w:t>&lt;ESMA_QUESTION_CSDC_28&gt;</w:t>
      </w:r>
    </w:p>
    <w:p w14:paraId="472818AB" w14:textId="77777777" w:rsidR="00420D18" w:rsidRDefault="00420D18" w:rsidP="00420D18"/>
    <w:p w14:paraId="6847237F" w14:textId="77777777" w:rsidR="00420D18" w:rsidRDefault="00420D18" w:rsidP="00420D18">
      <w:pPr>
        <w:pStyle w:val="Questionstyle"/>
        <w:numPr>
          <w:ilvl w:val="0"/>
          <w:numId w:val="1"/>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0C29B501" w14:textId="77777777" w:rsidR="00420D18" w:rsidRDefault="00420D18" w:rsidP="00420D18">
      <w:r>
        <w:t>&lt;ESMA_QUESTION_CSDC_29&gt;</w:t>
      </w:r>
    </w:p>
    <w:p w14:paraId="37D2EE46" w14:textId="77777777" w:rsidR="00420D18" w:rsidRDefault="00420D18" w:rsidP="00420D18">
      <w:r>
        <w:t>&lt;ESMA_QUESTION_CSDC_29&gt;</w:t>
      </w:r>
    </w:p>
    <w:p w14:paraId="320BB452" w14:textId="77777777" w:rsidR="00420D18" w:rsidRDefault="00420D18" w:rsidP="00420D18"/>
    <w:p w14:paraId="06116CCF" w14:textId="77777777" w:rsidR="00420D18" w:rsidRDefault="00420D18" w:rsidP="00420D18">
      <w:pPr>
        <w:pStyle w:val="Questionstyle"/>
        <w:numPr>
          <w:ilvl w:val="0"/>
          <w:numId w:val="1"/>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6587EB75" w14:textId="77777777" w:rsidR="00420D18" w:rsidRDefault="00420D18" w:rsidP="00420D18">
      <w:r>
        <w:t>&lt;ESMA_QUESTION_CSDC_30&gt;</w:t>
      </w:r>
    </w:p>
    <w:p w14:paraId="5F758127" w14:textId="77777777" w:rsidR="00420D18" w:rsidRDefault="00420D18" w:rsidP="00420D18">
      <w:r>
        <w:t>&lt;ESMA_QUESTION_CSDC_30&gt;</w:t>
      </w:r>
    </w:p>
    <w:p w14:paraId="39E8A20A" w14:textId="77777777" w:rsidR="00420D18" w:rsidRPr="00FE2F18" w:rsidRDefault="00420D18" w:rsidP="00420D18">
      <w:pPr>
        <w:rPr>
          <w:b/>
          <w:bCs/>
        </w:rPr>
      </w:pPr>
    </w:p>
    <w:p w14:paraId="2C9D308D" w14:textId="77777777" w:rsidR="00420D18" w:rsidRPr="00FE2F18" w:rsidRDefault="00420D18" w:rsidP="00420D18">
      <w:pPr>
        <w:rPr>
          <w:b/>
          <w:bCs/>
        </w:rPr>
      </w:pPr>
      <w:r w:rsidRPr="00FE2F18">
        <w:rPr>
          <w:b/>
          <w:bCs/>
        </w:rPr>
        <w:t>3.1.10</w:t>
      </w:r>
      <w:r w:rsidRPr="00FE2F18">
        <w:rPr>
          <w:b/>
          <w:bCs/>
        </w:rPr>
        <w:tab/>
        <w:t>Reporting the reasons for settlement fails</w:t>
      </w:r>
    </w:p>
    <w:p w14:paraId="255C5FAD" w14:textId="77777777" w:rsidR="00420D18" w:rsidRDefault="00420D18" w:rsidP="00420D18"/>
    <w:p w14:paraId="63CF2A24"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D908D0F" w14:textId="77777777" w:rsidR="00420D18" w:rsidRDefault="00420D18" w:rsidP="00420D18">
      <w:r>
        <w:t>&lt;ESMA_QUESTION_CSDC_31&gt;</w:t>
      </w:r>
    </w:p>
    <w:p w14:paraId="1F71C966" w14:textId="485DD94D" w:rsidR="008001DB" w:rsidRDefault="00071D1A" w:rsidP="00420D18">
      <w:r>
        <w:lastRenderedPageBreak/>
        <w:t xml:space="preserve">No, we do not agree. </w:t>
      </w:r>
      <w:r w:rsidR="008001DB" w:rsidRPr="008001DB">
        <w:t xml:space="preserve">The custodian does not know the reasons for a </w:t>
      </w:r>
      <w:proofErr w:type="gramStart"/>
      <w:r w:rsidR="008001DB" w:rsidRPr="008001DB">
        <w:t>fail</w:t>
      </w:r>
      <w:proofErr w:type="gramEnd"/>
      <w:r w:rsidR="008001DB" w:rsidRPr="008001DB">
        <w:t xml:space="preserve"> and acts solely based on customer instructions. The customer is not obligated to provide information about the reason for a </w:t>
      </w:r>
      <w:proofErr w:type="gramStart"/>
      <w:r w:rsidR="008001DB" w:rsidRPr="008001DB">
        <w:t>fail</w:t>
      </w:r>
      <w:proofErr w:type="gramEnd"/>
      <w:r w:rsidR="008001DB" w:rsidRPr="008001DB">
        <w:t>. Therefore, the responsibility cannot lie with the custodian.</w:t>
      </w:r>
      <w:r w:rsidR="004A18F7">
        <w:t xml:space="preserve"> In addition, we are of the view that the obligation of the CSDs under Article 13(2) of CDR 2018/1229 suffice </w:t>
      </w:r>
      <w:proofErr w:type="gramStart"/>
      <w:r w:rsidR="004A18F7">
        <w:t>in order to</w:t>
      </w:r>
      <w:proofErr w:type="gramEnd"/>
      <w:r w:rsidR="004A18F7">
        <w:t xml:space="preserve"> detect the main causes of settlement fails.</w:t>
      </w:r>
    </w:p>
    <w:p w14:paraId="4A5B46AC" w14:textId="77777777" w:rsidR="00420D18" w:rsidRDefault="00420D18" w:rsidP="00420D18">
      <w:r>
        <w:t>&lt;ESMA_QUESTION_CSDC_31&gt;</w:t>
      </w:r>
    </w:p>
    <w:p w14:paraId="2AB3190A" w14:textId="77777777" w:rsidR="00420D18" w:rsidRDefault="00420D18" w:rsidP="00420D18"/>
    <w:p w14:paraId="33D46555" w14:textId="77777777" w:rsidR="00420D18" w:rsidRDefault="00420D18" w:rsidP="00420D18">
      <w:pPr>
        <w:pStyle w:val="Questionstyle"/>
        <w:numPr>
          <w:ilvl w:val="0"/>
          <w:numId w:val="1"/>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007D713D" w14:textId="28DA5199" w:rsidR="00673780" w:rsidRDefault="00420D18" w:rsidP="00420D18">
      <w:r>
        <w:t>&lt;ESMA_QUESTION_CSDC_32&gt;</w:t>
      </w:r>
    </w:p>
    <w:p w14:paraId="3DE3022A" w14:textId="6F03FC8F" w:rsidR="004A18F7" w:rsidRDefault="008001DB" w:rsidP="00420D18">
      <w:r w:rsidRPr="008001DB">
        <w:t xml:space="preserve">CSDs do not have further knowledge about the reasons for a </w:t>
      </w:r>
      <w:proofErr w:type="gramStart"/>
      <w:r w:rsidRPr="008001DB">
        <w:t>fail</w:t>
      </w:r>
      <w:proofErr w:type="gramEnd"/>
      <w:r w:rsidRPr="008001DB">
        <w:t>. Each customer would have to be asked individually</w:t>
      </w:r>
      <w:r w:rsidR="001C40B8">
        <w:t xml:space="preserve"> throughout the entire custody</w:t>
      </w:r>
      <w:r w:rsidR="004F6E92">
        <w:t xml:space="preserve"> </w:t>
      </w:r>
      <w:r w:rsidR="001C40B8">
        <w:t>chain</w:t>
      </w:r>
      <w:r w:rsidRPr="008001DB">
        <w:t xml:space="preserve"> why they could not deliver. This would entail significant effort. Moreover, customers are not obligated to </w:t>
      </w:r>
      <w:proofErr w:type="spellStart"/>
      <w:proofErr w:type="gramStart"/>
      <w:r w:rsidRPr="008001DB">
        <w:t>respond.</w:t>
      </w:r>
      <w:r w:rsidR="001C40B8">
        <w:t>In</w:t>
      </w:r>
      <w:proofErr w:type="spellEnd"/>
      <w:proofErr w:type="gramEnd"/>
      <w:r w:rsidR="001C40B8">
        <w:t xml:space="preserve"> general</w:t>
      </w:r>
      <w:r w:rsidR="004F6E92">
        <w:t>,</w:t>
      </w:r>
      <w:r w:rsidR="001C40B8">
        <w:t xml:space="preserve"> the following </w:t>
      </w:r>
      <w:r w:rsidR="008C3B1F">
        <w:t xml:space="preserve">have been identified in the past as </w:t>
      </w:r>
      <w:r w:rsidR="001C40B8">
        <w:t>e</w:t>
      </w:r>
      <w:r w:rsidR="00722B3B">
        <w:t xml:space="preserve">xamples for </w:t>
      </w:r>
      <w:r w:rsidR="008C3B1F">
        <w:t xml:space="preserve">root causes of </w:t>
      </w:r>
      <w:r w:rsidR="00722B3B">
        <w:t>settlement fails</w:t>
      </w:r>
    </w:p>
    <w:p w14:paraId="675FB694" w14:textId="25307DB7" w:rsidR="004F6E92" w:rsidRDefault="004F6E92" w:rsidP="004F6E92">
      <w:pPr>
        <w:pStyle w:val="Listenabsatz"/>
        <w:numPr>
          <w:ilvl w:val="0"/>
          <w:numId w:val="3"/>
        </w:numPr>
      </w:pPr>
      <w:r w:rsidRPr="004F6E92">
        <w:t>Inventory management/ delayed realignments: multi-listed securities with split holdings: moving positions between countries and clearing houses can be challenging, particularly when different time zones are involved</w:t>
      </w:r>
    </w:p>
    <w:p w14:paraId="55DB90F2" w14:textId="4499ABCB" w:rsidR="00315CD7" w:rsidRDefault="004F6E92" w:rsidP="005F4B15">
      <w:pPr>
        <w:pStyle w:val="Listenabsatz"/>
        <w:numPr>
          <w:ilvl w:val="0"/>
          <w:numId w:val="3"/>
        </w:numPr>
      </w:pPr>
      <w:r>
        <w:t xml:space="preserve">Data quality: </w:t>
      </w:r>
      <w:r w:rsidR="00315CD7" w:rsidRPr="00315CD7">
        <w:t xml:space="preserve">missing standardization in the formats </w:t>
      </w:r>
      <w:r w:rsidR="00315CD7">
        <w:t xml:space="preserve">across </w:t>
      </w:r>
      <w:r w:rsidR="00315CD7" w:rsidRPr="00315CD7">
        <w:t>different CSDs</w:t>
      </w:r>
      <w:r w:rsidR="00315CD7">
        <w:t xml:space="preserve"> </w:t>
      </w:r>
      <w:r w:rsidR="00315CD7" w:rsidRPr="00315CD7">
        <w:t>and missing or complex SSIs format and requirements (“mixing” of codes, account numbers, BICs)</w:t>
      </w:r>
      <w:r>
        <w:t>, incomplete static data</w:t>
      </w:r>
      <w:r w:rsidR="00315CD7" w:rsidRPr="00315CD7">
        <w:t>.</w:t>
      </w:r>
    </w:p>
    <w:p w14:paraId="317C19D8" w14:textId="713D4060" w:rsidR="004A18F7" w:rsidRDefault="00722B3B" w:rsidP="00C13BDC">
      <w:pPr>
        <w:pStyle w:val="Listenabsatz"/>
        <w:numPr>
          <w:ilvl w:val="0"/>
          <w:numId w:val="3"/>
        </w:numPr>
      </w:pPr>
      <w:r>
        <w:t xml:space="preserve">missing </w:t>
      </w:r>
      <w:r w:rsidRPr="00722B3B">
        <w:t>instructions of the counterparty</w:t>
      </w:r>
    </w:p>
    <w:p w14:paraId="18192338" w14:textId="77777777" w:rsidR="004A18F7" w:rsidRDefault="00722B3B" w:rsidP="00C13BDC">
      <w:pPr>
        <w:pStyle w:val="Listenabsatz"/>
        <w:numPr>
          <w:ilvl w:val="0"/>
          <w:numId w:val="3"/>
        </w:numPr>
      </w:pPr>
      <w:r w:rsidRPr="00722B3B">
        <w:t>mismatch</w:t>
      </w:r>
      <w:r>
        <w:t>es</w:t>
      </w:r>
      <w:r w:rsidRPr="00722B3B">
        <w:t xml:space="preserve"> of the </w:t>
      </w:r>
      <w:r>
        <w:t xml:space="preserve">settlement </w:t>
      </w:r>
      <w:r w:rsidRPr="00722B3B">
        <w:t>instructions</w:t>
      </w:r>
    </w:p>
    <w:p w14:paraId="5DE9D485" w14:textId="1A1FB111" w:rsidR="004A18F7" w:rsidRPr="00C13BDC" w:rsidRDefault="005F4B15" w:rsidP="005F4B15">
      <w:pPr>
        <w:pStyle w:val="Listenabsatz"/>
        <w:numPr>
          <w:ilvl w:val="0"/>
          <w:numId w:val="3"/>
        </w:numPr>
        <w:rPr>
          <w:lang w:val="en-US"/>
        </w:rPr>
      </w:pPr>
      <w:r w:rsidRPr="00C13BDC">
        <w:rPr>
          <w:b/>
          <w:bCs/>
          <w:u w:val="single"/>
          <w:lang w:val="en-US"/>
        </w:rPr>
        <w:t>The transfer of certificates</w:t>
      </w:r>
      <w:r>
        <w:rPr>
          <w:lang w:val="en-US"/>
        </w:rPr>
        <w:t xml:space="preserve">: </w:t>
      </w:r>
      <w:proofErr w:type="spellStart"/>
      <w:r>
        <w:rPr>
          <w:lang w:val="en-US"/>
        </w:rPr>
        <w:t>eg.</w:t>
      </w:r>
      <w:proofErr w:type="spellEnd"/>
      <w:r>
        <w:rPr>
          <w:lang w:val="en-US"/>
        </w:rPr>
        <w:t xml:space="preserve"> </w:t>
      </w:r>
      <w:r w:rsidRPr="00C13BDC">
        <w:rPr>
          <w:lang w:val="en-US"/>
        </w:rPr>
        <w:t xml:space="preserve">when investment fund shares are held both by a capital management company and </w:t>
      </w:r>
      <w:r>
        <w:rPr>
          <w:lang w:val="en-US"/>
        </w:rPr>
        <w:t xml:space="preserve">are also </w:t>
      </w:r>
      <w:r w:rsidRPr="00C13BDC">
        <w:rPr>
          <w:lang w:val="en-US"/>
        </w:rPr>
        <w:t xml:space="preserve">traded on the stock exchange. In such cases, physical or electronic certificates must be transferred from the KVG to </w:t>
      </w:r>
      <w:proofErr w:type="spellStart"/>
      <w:r w:rsidRPr="00C13BDC">
        <w:rPr>
          <w:lang w:val="en-US"/>
        </w:rPr>
        <w:t>Clearstream</w:t>
      </w:r>
      <w:proofErr w:type="spellEnd"/>
      <w:r w:rsidRPr="00C13BDC">
        <w:rPr>
          <w:lang w:val="en-US"/>
        </w:rPr>
        <w:t xml:space="preserve"> to ensure proper booking of the holdings</w:t>
      </w:r>
      <w:r>
        <w:rPr>
          <w:lang w:val="en-US"/>
        </w:rPr>
        <w:t>.</w:t>
      </w:r>
    </w:p>
    <w:p w14:paraId="00D6BC45" w14:textId="779CF945" w:rsidR="00722B3B" w:rsidRPr="00786D47" w:rsidRDefault="005F4B15" w:rsidP="00C13BDC">
      <w:pPr>
        <w:pStyle w:val="Listenabsatz"/>
        <w:numPr>
          <w:ilvl w:val="0"/>
          <w:numId w:val="3"/>
        </w:numPr>
        <w:rPr>
          <w:lang w:val="en-US"/>
        </w:rPr>
      </w:pPr>
      <w:r w:rsidRPr="00C13BDC">
        <w:rPr>
          <w:b/>
          <w:bCs/>
          <w:u w:val="single"/>
        </w:rPr>
        <w:t>New issuances:</w:t>
      </w:r>
      <w:r>
        <w:t xml:space="preserve"> </w:t>
      </w:r>
      <w:r w:rsidRPr="005F4B15">
        <w:t>can also cause delays if they are not delivered on time by the issuer</w:t>
      </w:r>
      <w:r w:rsidR="00722B3B">
        <w:t>.</w:t>
      </w:r>
    </w:p>
    <w:p w14:paraId="7797EADC" w14:textId="77777777" w:rsidR="004F6E92" w:rsidRPr="004F6E92" w:rsidRDefault="004F6E92" w:rsidP="004F6E92">
      <w:pPr>
        <w:pStyle w:val="Listenabsatz"/>
        <w:numPr>
          <w:ilvl w:val="0"/>
          <w:numId w:val="3"/>
        </w:numPr>
        <w:rPr>
          <w:lang w:val="en-US"/>
        </w:rPr>
      </w:pPr>
      <w:proofErr w:type="spellStart"/>
      <w:r w:rsidRPr="004F6E92">
        <w:rPr>
          <w:lang w:val="en-US"/>
        </w:rPr>
        <w:t>Counterparyt</w:t>
      </w:r>
      <w:proofErr w:type="spellEnd"/>
      <w:r w:rsidRPr="004F6E92">
        <w:rPr>
          <w:lang w:val="en-US"/>
        </w:rPr>
        <w:t xml:space="preserve"> </w:t>
      </w:r>
      <w:proofErr w:type="spellStart"/>
      <w:r w:rsidRPr="004F6E92">
        <w:rPr>
          <w:lang w:val="en-US"/>
        </w:rPr>
        <w:t>behaviour</w:t>
      </w:r>
      <w:proofErr w:type="spellEnd"/>
      <w:r w:rsidRPr="004F6E92">
        <w:rPr>
          <w:lang w:val="en-US"/>
        </w:rPr>
        <w:t>: Information that is necessary for the timely processing and settlement of a transaction is provided by the counterparty: in a non-standard format; in an incomplete or inaccurate manner; or late</w:t>
      </w:r>
    </w:p>
    <w:p w14:paraId="1A19F388" w14:textId="77777777" w:rsidR="004F6E92" w:rsidRPr="004F6E92" w:rsidRDefault="004F6E92" w:rsidP="004F6E92">
      <w:pPr>
        <w:pStyle w:val="Listenabsatz"/>
        <w:numPr>
          <w:ilvl w:val="0"/>
          <w:numId w:val="3"/>
        </w:numPr>
        <w:rPr>
          <w:lang w:val="en-US"/>
        </w:rPr>
      </w:pPr>
      <w:r w:rsidRPr="004F6E92">
        <w:rPr>
          <w:lang w:val="en-US"/>
        </w:rPr>
        <w:lastRenderedPageBreak/>
        <w:t>Workflow management: Delays or fails attributed to internal workflow inefficiencies, non-straight through processing (STP) processes, manual booking errors or technology issues that occur within an internal system</w:t>
      </w:r>
    </w:p>
    <w:p w14:paraId="3573E5CD" w14:textId="02CDAB23" w:rsidR="003F284F" w:rsidRPr="003F284F" w:rsidRDefault="004F6E92" w:rsidP="00DA4357">
      <w:pPr>
        <w:rPr>
          <w:lang w:val="en-US"/>
        </w:rPr>
      </w:pPr>
      <w:r w:rsidRPr="004F6E92">
        <w:rPr>
          <w:lang w:val="en-US"/>
        </w:rPr>
        <w:t xml:space="preserve">Structural issues: Lack of </w:t>
      </w:r>
      <w:proofErr w:type="spellStart"/>
      <w:r w:rsidRPr="004F6E92">
        <w:rPr>
          <w:lang w:val="en-US"/>
        </w:rPr>
        <w:t>harmonised</w:t>
      </w:r>
      <w:proofErr w:type="spellEnd"/>
      <w:r w:rsidRPr="004F6E92">
        <w:rPr>
          <w:lang w:val="en-US"/>
        </w:rPr>
        <w:t xml:space="preserve"> CSD standards / practices</w:t>
      </w:r>
    </w:p>
    <w:p w14:paraId="76FEB34C" w14:textId="77777777" w:rsidR="00420D18" w:rsidRDefault="00420D18" w:rsidP="00420D18">
      <w:r>
        <w:t>&lt;ESMA_QUESTION_CSDC_32&gt;</w:t>
      </w:r>
    </w:p>
    <w:p w14:paraId="24316B57" w14:textId="77777777" w:rsidR="00420D18" w:rsidRDefault="00420D18" w:rsidP="00420D18"/>
    <w:p w14:paraId="16EF9E7B" w14:textId="77777777" w:rsidR="00420D18" w:rsidRDefault="00420D18" w:rsidP="00420D18">
      <w:pPr>
        <w:pStyle w:val="Questionstyle"/>
        <w:numPr>
          <w:ilvl w:val="0"/>
          <w:numId w:val="1"/>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019F9F2B" w14:textId="77777777" w:rsidR="00420D18" w:rsidRDefault="00420D18" w:rsidP="00420D18">
      <w:r>
        <w:t>&lt;ESMA_QUESTION_CSDC_33&gt;</w:t>
      </w:r>
    </w:p>
    <w:p w14:paraId="2934EAC0" w14:textId="5C545255" w:rsidR="00B440DA" w:rsidRDefault="00B440DA" w:rsidP="00420D18">
      <w:r w:rsidRPr="00B440DA">
        <w:t xml:space="preserve">We fully support the current process of “working arrangements” applied by the German central securities depository, which is a member of a GBIC-association, in agreement with our NCAs and believe that it has proven very successful in achieving </w:t>
      </w:r>
      <w:r>
        <w:t>the</w:t>
      </w:r>
      <w:r w:rsidRPr="00B440DA">
        <w:t xml:space="preserve"> participants´ commitment to analyse reasons for settlement fails and take mitigating actions. However, we understand that the current procedures are not harmonised across all NCAs, hence, we plead for regulatory convergence in this regard to achieve a level playing field. </w:t>
      </w:r>
    </w:p>
    <w:p w14:paraId="05A4B681" w14:textId="77777777" w:rsidR="00420D18" w:rsidRDefault="00420D18" w:rsidP="00420D18">
      <w:r>
        <w:t>&lt;ESMA_QUESTION_CSDC_33&gt;</w:t>
      </w:r>
    </w:p>
    <w:p w14:paraId="1AFA261E" w14:textId="77777777" w:rsidR="00420D18" w:rsidRDefault="00420D18" w:rsidP="00420D18"/>
    <w:p w14:paraId="099509AB" w14:textId="77777777" w:rsidR="00420D18" w:rsidRDefault="00420D18" w:rsidP="00420D18">
      <w:pPr>
        <w:rPr>
          <w:b/>
          <w:bCs/>
        </w:rPr>
      </w:pPr>
      <w:r w:rsidRPr="005E6387">
        <w:rPr>
          <w:b/>
          <w:bCs/>
        </w:rPr>
        <w:t xml:space="preserve">3.1.11 </w:t>
      </w:r>
      <w:r w:rsidRPr="005E6387">
        <w:rPr>
          <w:b/>
          <w:bCs/>
        </w:rPr>
        <w:tab/>
        <w:t>CSDs’ public disclosure on settlement fails</w:t>
      </w:r>
    </w:p>
    <w:p w14:paraId="35A0A483" w14:textId="77777777" w:rsidR="00420D18" w:rsidRPr="005E6387" w:rsidRDefault="00420D18" w:rsidP="00420D18">
      <w:pPr>
        <w:rPr>
          <w:b/>
          <w:bCs/>
        </w:rPr>
      </w:pPr>
    </w:p>
    <w:p w14:paraId="6ED402B0"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678169E" w14:textId="77777777" w:rsidR="00420D18" w:rsidRDefault="00420D18" w:rsidP="00420D18">
      <w:r>
        <w:t>&lt;ESMA_QUESTION_CSDC_34&gt;</w:t>
      </w:r>
    </w:p>
    <w:p w14:paraId="58088ED4" w14:textId="77777777" w:rsidR="00420D18" w:rsidRDefault="00420D18" w:rsidP="00420D18">
      <w:r>
        <w:t>TYPE YOUR TEXT HERE</w:t>
      </w:r>
    </w:p>
    <w:p w14:paraId="5B5C3647" w14:textId="77777777" w:rsidR="00420D18" w:rsidRDefault="00420D18" w:rsidP="00420D18">
      <w:r>
        <w:lastRenderedPageBreak/>
        <w:t>&lt;ESMA_QUESTION_CSDC_34&gt;</w:t>
      </w:r>
    </w:p>
    <w:p w14:paraId="7B9B24C5" w14:textId="77777777" w:rsidR="00420D18" w:rsidRDefault="00420D18" w:rsidP="00420D18"/>
    <w:p w14:paraId="09DE97C0" w14:textId="77777777" w:rsidR="00420D18" w:rsidRDefault="00420D18" w:rsidP="00420D18">
      <w:pPr>
        <w:pStyle w:val="Questionstyle"/>
        <w:numPr>
          <w:ilvl w:val="0"/>
          <w:numId w:val="1"/>
        </w:numPr>
        <w:tabs>
          <w:tab w:val="clear" w:pos="567"/>
        </w:tabs>
        <w:spacing w:after="240" w:line="256" w:lineRule="auto"/>
        <w:ind w:left="851" w:hanging="851"/>
      </w:pPr>
      <w:r>
        <w:t>Do you think that CSDs should publish additional information on settlement fails? If yes, please specify.</w:t>
      </w:r>
    </w:p>
    <w:p w14:paraId="3B704FBB" w14:textId="77777777" w:rsidR="00420D18" w:rsidRDefault="00420D18" w:rsidP="00420D18">
      <w:r>
        <w:t>&lt;ESMA_QUESTION_CSDC_35&gt;</w:t>
      </w:r>
    </w:p>
    <w:p w14:paraId="5EAF8E80" w14:textId="79DC081D" w:rsidR="00420D18" w:rsidRDefault="00474AF8" w:rsidP="00420D18">
      <w:r>
        <w:t>No, we see no reason for this.</w:t>
      </w:r>
    </w:p>
    <w:p w14:paraId="0FFAAEFA" w14:textId="77777777" w:rsidR="00420D18" w:rsidRDefault="00420D18" w:rsidP="00420D18">
      <w:r>
        <w:t>&lt;ESMA_QUESTION_CSDC_35&gt;</w:t>
      </w:r>
    </w:p>
    <w:p w14:paraId="1F176492" w14:textId="77777777" w:rsidR="00420D18" w:rsidRDefault="00420D18" w:rsidP="00420D18"/>
    <w:p w14:paraId="5F79EDE8" w14:textId="77777777" w:rsidR="00420D18" w:rsidRDefault="00420D18" w:rsidP="00420D18">
      <w:pPr>
        <w:pStyle w:val="Questionstyle"/>
        <w:numPr>
          <w:ilvl w:val="0"/>
          <w:numId w:val="1"/>
        </w:numPr>
        <w:tabs>
          <w:tab w:val="clear" w:pos="567"/>
        </w:tabs>
        <w:spacing w:after="240" w:line="256" w:lineRule="auto"/>
        <w:ind w:left="851" w:hanging="851"/>
      </w:pPr>
      <w:r>
        <w:t>Should the frequency of publication of settlement fails data by CSDs increase? Which should be the right frequency?</w:t>
      </w:r>
    </w:p>
    <w:p w14:paraId="63A8D850" w14:textId="77777777" w:rsidR="00420D18" w:rsidRDefault="00420D18" w:rsidP="00420D18">
      <w:r>
        <w:t>&lt;ESMA_QUESTION_CSDC_36&gt;</w:t>
      </w:r>
    </w:p>
    <w:p w14:paraId="5F7F58A4" w14:textId="77777777" w:rsidR="00420D18" w:rsidRDefault="00420D18" w:rsidP="00420D18">
      <w:r>
        <w:t>TYPE YOUR TEXT HERE</w:t>
      </w:r>
    </w:p>
    <w:p w14:paraId="337874C7" w14:textId="77777777" w:rsidR="00420D18" w:rsidRDefault="00420D18" w:rsidP="00420D18">
      <w:r>
        <w:t>&lt;ESMA_QUESTION_CSDC_36&gt;</w:t>
      </w:r>
    </w:p>
    <w:p w14:paraId="2F24D108" w14:textId="77777777" w:rsidR="00420D18" w:rsidRDefault="00420D18" w:rsidP="00420D18"/>
    <w:p w14:paraId="3273F879" w14:textId="77777777" w:rsidR="00420D18" w:rsidRPr="005E6387" w:rsidRDefault="00420D18" w:rsidP="00420D18">
      <w:pPr>
        <w:rPr>
          <w:b/>
          <w:bCs/>
        </w:rPr>
      </w:pPr>
      <w:r w:rsidRPr="005E6387">
        <w:rPr>
          <w:b/>
          <w:bCs/>
        </w:rPr>
        <w:t>3.2.1</w:t>
      </w:r>
      <w:r w:rsidRPr="005E6387">
        <w:rPr>
          <w:b/>
          <w:bCs/>
        </w:rPr>
        <w:tab/>
        <w:t>Unique transaction identifier (UTI)</w:t>
      </w:r>
    </w:p>
    <w:p w14:paraId="26100842" w14:textId="77777777" w:rsidR="00420D18" w:rsidRDefault="00420D18" w:rsidP="00420D18"/>
    <w:p w14:paraId="50199EB2"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that the use of UTI should not be made mandatory through a regulatory change?</w:t>
      </w:r>
    </w:p>
    <w:p w14:paraId="01EA00E3" w14:textId="77777777" w:rsidR="00420D18" w:rsidRDefault="00420D18" w:rsidP="00420D18">
      <w:r>
        <w:t>&lt;ESMA_QUESTION_CSDC_37&gt;</w:t>
      </w:r>
    </w:p>
    <w:p w14:paraId="3A9569FA" w14:textId="6896BB9F" w:rsidR="002C5761" w:rsidRDefault="00895172" w:rsidP="00420D18">
      <w:proofErr w:type="gramStart"/>
      <w:r>
        <w:t>Yes</w:t>
      </w:r>
      <w:proofErr w:type="gramEnd"/>
      <w:r>
        <w:t xml:space="preserve"> we agree, that</w:t>
      </w:r>
      <w:r w:rsidR="002C5761">
        <w:t xml:space="preserve"> t</w:t>
      </w:r>
      <w:r w:rsidR="002C5761" w:rsidRPr="002C5761">
        <w:t xml:space="preserve">he UTI should not be </w:t>
      </w:r>
      <w:r>
        <w:t xml:space="preserve">made </w:t>
      </w:r>
      <w:r w:rsidR="002C5761" w:rsidRPr="002C5761">
        <w:t xml:space="preserve">mandatory. </w:t>
      </w:r>
      <w:r w:rsidR="002C5761">
        <w:t>Even though u</w:t>
      </w:r>
      <w:r w:rsidR="002C5761" w:rsidRPr="002C5761">
        <w:t>sing the UTI</w:t>
      </w:r>
      <w:r w:rsidR="002C5761">
        <w:t xml:space="preserve"> might have its advantages</w:t>
      </w:r>
      <w:r w:rsidR="002C5761" w:rsidRPr="002C5761">
        <w:t xml:space="preserve">, </w:t>
      </w:r>
      <w:r w:rsidR="002C5761">
        <w:t xml:space="preserve">there </w:t>
      </w:r>
      <w:r w:rsidR="002C5761" w:rsidRPr="002C5761">
        <w:t xml:space="preserve">are enormous efforts to be considered regarding formats, time to implement and to agree how it should be used. </w:t>
      </w:r>
      <w:r w:rsidR="002C5761">
        <w:t xml:space="preserve">At most, it could be dealt with within a </w:t>
      </w:r>
      <w:r w:rsidR="002C5761" w:rsidRPr="002C5761">
        <w:t>market practice.</w:t>
      </w:r>
      <w:r w:rsidR="00AC75CB">
        <w:t xml:space="preserve"> I</w:t>
      </w:r>
      <w:r w:rsidR="00AC75CB" w:rsidRPr="00AC75CB">
        <w:t xml:space="preserve">t could be a part </w:t>
      </w:r>
      <w:r w:rsidR="00AC75CB">
        <w:t xml:space="preserve">of the </w:t>
      </w:r>
      <w:r w:rsidR="00AC75CB" w:rsidRPr="00AC75CB">
        <w:t>reconciliation systems and processes.</w:t>
      </w:r>
    </w:p>
    <w:p w14:paraId="3AE10AFD" w14:textId="1FC210E9" w:rsidR="00895172" w:rsidRDefault="00895172" w:rsidP="00420D18">
      <w:r w:rsidRPr="00895172">
        <w:lastRenderedPageBreak/>
        <w:t xml:space="preserve">Further assessment is required in the settlement space </w:t>
      </w:r>
      <w:proofErr w:type="gramStart"/>
      <w:r w:rsidRPr="00895172">
        <w:t>in order to</w:t>
      </w:r>
      <w:proofErr w:type="gramEnd"/>
      <w:r w:rsidRPr="00895172">
        <w:t xml:space="preserve"> support a wider adoption of UTIs across the industry, including the need for standards for its operational use, which should cover items such as who generates the UTI and when, and for which transaction types.</w:t>
      </w:r>
    </w:p>
    <w:p w14:paraId="0930BF5D" w14:textId="6A9038BA" w:rsidR="00420D18" w:rsidRDefault="00420D18" w:rsidP="00420D18"/>
    <w:p w14:paraId="2E29FD6C" w14:textId="77777777" w:rsidR="00420D18" w:rsidRDefault="00420D18" w:rsidP="00420D18">
      <w:r>
        <w:t>&lt;ESMA_QUESTION_CSDC_37&gt;</w:t>
      </w:r>
    </w:p>
    <w:p w14:paraId="1BEBF045" w14:textId="77777777" w:rsidR="00420D18" w:rsidRDefault="00420D18" w:rsidP="00420D18"/>
    <w:p w14:paraId="456D3BB4" w14:textId="77777777" w:rsidR="00420D18" w:rsidRDefault="00420D18" w:rsidP="00420D18">
      <w:pPr>
        <w:pStyle w:val="Questionstyle"/>
        <w:numPr>
          <w:ilvl w:val="0"/>
          <w:numId w:val="1"/>
        </w:numPr>
        <w:tabs>
          <w:tab w:val="clear" w:pos="567"/>
        </w:tabs>
        <w:spacing w:after="240" w:line="256" w:lineRule="auto"/>
        <w:ind w:left="851" w:hanging="851"/>
      </w:pPr>
      <w:r>
        <w:t>What are your views on the use of UTI in general and in the case of netted transactions specifically?</w:t>
      </w:r>
    </w:p>
    <w:p w14:paraId="0A98462B" w14:textId="77777777" w:rsidR="00420D18" w:rsidRDefault="00420D18" w:rsidP="00420D18">
      <w:r>
        <w:t>&lt;ESMA_QUESTION_CSDC_38&gt;</w:t>
      </w:r>
    </w:p>
    <w:p w14:paraId="36AE75D0" w14:textId="555982D6" w:rsidR="00B440DA" w:rsidRDefault="00B440DA" w:rsidP="00420D18">
      <w:r w:rsidRPr="00B440DA">
        <w:t>The use/ usability of UTIs requires further industry discussions; at this stage, we cannot conclude to what extent the UTI would be beneficial for settlement (efficiency) purposes or if it would only represent another factor to increase settlement cost overall. </w:t>
      </w:r>
      <w:r w:rsidR="00722B3B" w:rsidRPr="00722B3B">
        <w:t>It is more important to improve the quality of data. The UTI just makes the settlement more expensive.</w:t>
      </w:r>
      <w:r w:rsidR="00AC75CB">
        <w:t xml:space="preserve"> Please also see our answer to question 37.</w:t>
      </w:r>
    </w:p>
    <w:p w14:paraId="3EBA6386" w14:textId="77777777" w:rsidR="00420D18" w:rsidRDefault="00420D18" w:rsidP="00420D18">
      <w:r>
        <w:t>&lt;ESMA_QUESTION_CSDC_38&gt;</w:t>
      </w:r>
    </w:p>
    <w:p w14:paraId="0F88DC75" w14:textId="77777777" w:rsidR="00420D18" w:rsidRDefault="00420D18" w:rsidP="00420D18"/>
    <w:p w14:paraId="107E20A4" w14:textId="77777777" w:rsidR="00420D18" w:rsidRPr="005E6387" w:rsidRDefault="00420D18" w:rsidP="00420D18">
      <w:pPr>
        <w:rPr>
          <w:b/>
          <w:bCs/>
        </w:rPr>
      </w:pPr>
      <w:r w:rsidRPr="005E6387">
        <w:rPr>
          <w:b/>
          <w:bCs/>
        </w:rPr>
        <w:t>3.2.2</w:t>
      </w:r>
      <w:r w:rsidRPr="005E6387">
        <w:rPr>
          <w:b/>
          <w:bCs/>
        </w:rPr>
        <w:tab/>
        <w:t>SSIs format</w:t>
      </w:r>
    </w:p>
    <w:p w14:paraId="51B6E687" w14:textId="77777777" w:rsidR="00420D18" w:rsidRDefault="00420D18" w:rsidP="00420D18"/>
    <w:p w14:paraId="70B6B6A9" w14:textId="77777777" w:rsidR="00420D18" w:rsidRDefault="00420D18" w:rsidP="00420D18">
      <w:pPr>
        <w:pStyle w:val="Questionstyle"/>
        <w:numPr>
          <w:ilvl w:val="0"/>
          <w:numId w:val="1"/>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2C8A67A2" w14:textId="77777777" w:rsidR="00420D18" w:rsidRDefault="00420D18" w:rsidP="00420D18">
      <w:r>
        <w:t>&lt;ESMA_QUESTION_CSDC_39&gt;</w:t>
      </w:r>
    </w:p>
    <w:p w14:paraId="54B67D9A" w14:textId="77A41298" w:rsidR="00420D18" w:rsidRDefault="00FD2382" w:rsidP="00420D18">
      <w:r w:rsidRPr="00FD2382">
        <w:t>Market standards for the storage and exchange of SSIs should be left to the industry, as this is a current process between counterpart</w:t>
      </w:r>
      <w:r w:rsidR="00E602F2">
        <w:t>ies</w:t>
      </w:r>
      <w:r w:rsidRPr="00FD2382">
        <w:t xml:space="preserve">. </w:t>
      </w:r>
    </w:p>
    <w:p w14:paraId="7C05C248" w14:textId="685242D9" w:rsidR="00C35828" w:rsidRDefault="00C35828" w:rsidP="00420D18">
      <w:r w:rsidRPr="00C35828">
        <w:t xml:space="preserve">We propose the introduction of a baseline regulatory framework for the storage and exchange of SSIs, which should set out the requirement for this to be done “in an electronic and machine-readable format”. Industry best practices can play a key role in supporting market participants in achieving efficient and effective compliance with regulatory requirements by establishing clear </w:t>
      </w:r>
      <w:r w:rsidRPr="00C35828">
        <w:lastRenderedPageBreak/>
        <w:t>recommendations and standardised methodologies for the secure and automated exchange of SSIs.</w:t>
      </w:r>
    </w:p>
    <w:p w14:paraId="77FD6F48" w14:textId="77777777" w:rsidR="00420D18" w:rsidRDefault="00420D18" w:rsidP="00420D18">
      <w:r>
        <w:t>&lt;ESMA_QUESTION_CSDC_39&gt;</w:t>
      </w:r>
    </w:p>
    <w:p w14:paraId="50A32467" w14:textId="77777777" w:rsidR="00420D18" w:rsidRDefault="00420D18" w:rsidP="00420D18">
      <w:pPr>
        <w:rPr>
          <w:b/>
          <w:bCs/>
        </w:rPr>
      </w:pPr>
    </w:p>
    <w:p w14:paraId="1DB85804" w14:textId="77777777" w:rsidR="00420D18" w:rsidRPr="005E6387" w:rsidRDefault="00420D18" w:rsidP="00420D18">
      <w:pPr>
        <w:rPr>
          <w:b/>
          <w:bCs/>
        </w:rPr>
      </w:pPr>
      <w:r w:rsidRPr="005E6387">
        <w:rPr>
          <w:b/>
          <w:bCs/>
        </w:rPr>
        <w:t>3.2.3</w:t>
      </w:r>
      <w:r w:rsidRPr="005E6387">
        <w:rPr>
          <w:b/>
          <w:bCs/>
        </w:rPr>
        <w:tab/>
        <w:t>Place of settlement (PSET) as mandatory field of written allocations</w:t>
      </w:r>
    </w:p>
    <w:p w14:paraId="441547B4" w14:textId="77777777" w:rsidR="00420D18" w:rsidRDefault="00420D18" w:rsidP="00420D18"/>
    <w:p w14:paraId="7F6C8B58" w14:textId="77777777" w:rsidR="00420D18" w:rsidRDefault="00420D18" w:rsidP="00420D18">
      <w:pPr>
        <w:pStyle w:val="Questionstyle"/>
        <w:numPr>
          <w:ilvl w:val="0"/>
          <w:numId w:val="1"/>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022AAFB3" w14:textId="77777777" w:rsidR="00420D18" w:rsidRDefault="00420D18" w:rsidP="00420D18">
      <w:r>
        <w:t>&lt;ESMA_QUESTION_CSDC_40&gt;</w:t>
      </w:r>
    </w:p>
    <w:p w14:paraId="3AA31BE7" w14:textId="75E841A7" w:rsidR="00420D18" w:rsidRDefault="008D418B" w:rsidP="00420D18">
      <w:r w:rsidRPr="008D418B">
        <w:t xml:space="preserve">A central hub or </w:t>
      </w:r>
      <w:r>
        <w:t xml:space="preserve">golden </w:t>
      </w:r>
      <w:r w:rsidRPr="008D418B">
        <w:t>source of information could be helpful</w:t>
      </w:r>
      <w:r>
        <w:t xml:space="preserve">. It should be </w:t>
      </w:r>
      <w:r w:rsidRPr="008D418B">
        <w:t xml:space="preserve">easy to access for all market participants. Beside that a single and standardized use of the PSET aligned and agreed by all CSDs + T2S would be </w:t>
      </w:r>
      <w:r>
        <w:t xml:space="preserve">key </w:t>
      </w:r>
      <w:r w:rsidRPr="008D418B">
        <w:t>for success. For example, there should be only 2 rules for using the PSET: 1x Rule for domestic settlements and 1 rule for cross-border settlements.</w:t>
      </w:r>
    </w:p>
    <w:p w14:paraId="1E723767" w14:textId="77777777" w:rsidR="00420D18" w:rsidRDefault="00420D18" w:rsidP="00420D18">
      <w:r>
        <w:t>&lt;ESMA_QUESTION_CSDC_40&gt;</w:t>
      </w:r>
    </w:p>
    <w:p w14:paraId="1EC423AA" w14:textId="77777777" w:rsidR="00420D18" w:rsidRDefault="00420D18" w:rsidP="00420D18"/>
    <w:p w14:paraId="659901E7"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39EAF042" w14:textId="77777777" w:rsidR="00420D18" w:rsidRDefault="00420D18" w:rsidP="00420D18">
      <w:r>
        <w:t>&lt;ESMA_QUESTION_CSDC_41&gt;</w:t>
      </w:r>
    </w:p>
    <w:p w14:paraId="7DC0AAAB" w14:textId="254C4B84" w:rsidR="00C35828" w:rsidRDefault="00C35828" w:rsidP="00420D18">
      <w:r w:rsidRPr="00C35828">
        <w:t>PSET should be a mandatory matching field in all allocation and pre-settlement matching tools and that the CSDR RTS should mandate this, supported by market standards to ensure a uniform application across all sectors of the industry.</w:t>
      </w:r>
    </w:p>
    <w:p w14:paraId="4BF8A111" w14:textId="77777777" w:rsidR="00420D18" w:rsidRDefault="00420D18" w:rsidP="00420D18">
      <w:r>
        <w:t>&lt;ESMA_QUESTION_CSDC_41&gt;</w:t>
      </w:r>
    </w:p>
    <w:p w14:paraId="1C47EDCF" w14:textId="77777777" w:rsidR="00420D18" w:rsidRDefault="00420D18" w:rsidP="00420D18"/>
    <w:p w14:paraId="0E7ACF81" w14:textId="77777777" w:rsidR="00420D18" w:rsidRPr="005E6387" w:rsidRDefault="00420D18" w:rsidP="00420D18">
      <w:pPr>
        <w:rPr>
          <w:b/>
          <w:bCs/>
        </w:rPr>
      </w:pPr>
      <w:r w:rsidRPr="005E6387">
        <w:rPr>
          <w:b/>
          <w:bCs/>
        </w:rPr>
        <w:lastRenderedPageBreak/>
        <w:t>3.2.4</w:t>
      </w:r>
      <w:r w:rsidRPr="005E6387">
        <w:rPr>
          <w:b/>
          <w:bCs/>
        </w:rPr>
        <w:tab/>
        <w:t>Place of safe keeping (PSAF) and place of settlement (PSET) as mandatory fields of settlement instructions</w:t>
      </w:r>
    </w:p>
    <w:p w14:paraId="18774F46" w14:textId="77777777" w:rsidR="00420D18" w:rsidRDefault="00420D18" w:rsidP="00420D18"/>
    <w:p w14:paraId="3428E7E1" w14:textId="77777777" w:rsidR="00420D18" w:rsidRDefault="00420D18" w:rsidP="00420D18">
      <w:pPr>
        <w:pStyle w:val="Questionstyle"/>
        <w:numPr>
          <w:ilvl w:val="0"/>
          <w:numId w:val="1"/>
        </w:numPr>
        <w:tabs>
          <w:tab w:val="clear" w:pos="567"/>
        </w:tabs>
        <w:spacing w:after="240" w:line="256" w:lineRule="auto"/>
        <w:ind w:left="851" w:hanging="851"/>
      </w:pPr>
      <w:r>
        <w:t>Do you agree that the decision to use the PSAF and the PSET in the settlement instructions should be left to the industry?</w:t>
      </w:r>
    </w:p>
    <w:p w14:paraId="2054661A" w14:textId="77777777" w:rsidR="00420D18" w:rsidRDefault="00420D18" w:rsidP="00420D18">
      <w:r>
        <w:t>&lt;ESMA_QUESTION_CSDC_42&gt;</w:t>
      </w:r>
    </w:p>
    <w:p w14:paraId="538D208C" w14:textId="57AC7993" w:rsidR="00C35828" w:rsidRDefault="00BE3249" w:rsidP="00420D18">
      <w:r w:rsidRPr="00855EF4">
        <w:t>Yes, we agree.</w:t>
      </w:r>
      <w:r w:rsidR="00C35828" w:rsidRPr="00855EF4">
        <w:t xml:space="preserve"> Place of Safekeeping (PSAF) and Place of Settlement (PSET) should not become a regulatory field within settlement instructions. Their usage and should be developed by the industry through established market practices. However, we are of the opinion that the PSET agreed in the allocation and confirmation messages should be the same as the PSET in the settlement instruction.</w:t>
      </w:r>
    </w:p>
    <w:p w14:paraId="340B89E1" w14:textId="77777777" w:rsidR="00420D18" w:rsidRDefault="00420D18" w:rsidP="00420D18">
      <w:r>
        <w:t>&lt;ESMA_QUESTION_CSDC_42&gt;</w:t>
      </w:r>
    </w:p>
    <w:p w14:paraId="39B54DA9" w14:textId="77777777" w:rsidR="00420D18" w:rsidRDefault="00420D18" w:rsidP="00420D18"/>
    <w:p w14:paraId="7B712CD3" w14:textId="77777777" w:rsidR="00420D18" w:rsidRDefault="00420D18" w:rsidP="00420D18">
      <w:pPr>
        <w:pStyle w:val="Questionstyle"/>
        <w:numPr>
          <w:ilvl w:val="0"/>
          <w:numId w:val="1"/>
        </w:numPr>
        <w:tabs>
          <w:tab w:val="clear" w:pos="567"/>
        </w:tabs>
        <w:spacing w:after="240" w:line="256" w:lineRule="auto"/>
        <w:ind w:left="851" w:hanging="851"/>
      </w:pPr>
      <w:r>
        <w:t xml:space="preserve">What are the current market practices regarding the use of PSAF and PSET, </w:t>
      </w:r>
      <w:proofErr w:type="gramStart"/>
      <w:r>
        <w:t>in particular in</w:t>
      </w:r>
      <w:proofErr w:type="gramEnd"/>
      <w:r>
        <w:t xml:space="preserve"> the case of netting along the trading and settlement chain? </w:t>
      </w:r>
    </w:p>
    <w:p w14:paraId="3FD19217" w14:textId="77777777" w:rsidR="00420D18" w:rsidRDefault="00420D18" w:rsidP="00420D18">
      <w:r>
        <w:t>&lt;ESMA_QUESTION_CSDC_43&gt;</w:t>
      </w:r>
    </w:p>
    <w:p w14:paraId="65DE4482" w14:textId="6A2B90FC" w:rsidR="00420D18" w:rsidRDefault="006223E6" w:rsidP="00420D18">
      <w:r w:rsidRPr="006223E6">
        <w:t>Mostly used within settlement instructions is PSET. PSAF is normally not used within the instruction as this is relevant for safekeeping or custody but not for settlement. To simplify and not</w:t>
      </w:r>
      <w:r>
        <w:t xml:space="preserve"> to</w:t>
      </w:r>
      <w:r w:rsidRPr="006223E6">
        <w:t xml:space="preserve"> create to</w:t>
      </w:r>
      <w:r>
        <w:t>o</w:t>
      </w:r>
      <w:r w:rsidRPr="006223E6">
        <w:t xml:space="preserve"> complex settlement instructions this practice should be kept. From our point of view the current practice of using PSET and up to 5 party levels should be sufficient for a standardized and harmonized settlement.</w:t>
      </w:r>
    </w:p>
    <w:p w14:paraId="1AF72C5C" w14:textId="77777777" w:rsidR="00420D18" w:rsidRDefault="00420D18" w:rsidP="00420D18">
      <w:r>
        <w:t>&lt;ESMA_QUESTION_CSDC_43&gt;</w:t>
      </w:r>
    </w:p>
    <w:p w14:paraId="176D85F0" w14:textId="77777777" w:rsidR="00420D18" w:rsidRPr="005E6387" w:rsidRDefault="00420D18" w:rsidP="00420D18">
      <w:pPr>
        <w:rPr>
          <w:b/>
          <w:bCs/>
        </w:rPr>
      </w:pPr>
      <w:r w:rsidRPr="005E6387">
        <w:rPr>
          <w:b/>
          <w:bCs/>
        </w:rPr>
        <w:t>3.2.5</w:t>
      </w:r>
      <w:r w:rsidRPr="005E6387">
        <w:rPr>
          <w:b/>
          <w:bCs/>
        </w:rPr>
        <w:tab/>
        <w:t>Transaction type</w:t>
      </w:r>
    </w:p>
    <w:p w14:paraId="5FB80AB9" w14:textId="77777777" w:rsidR="00420D18" w:rsidRDefault="00420D18" w:rsidP="00420D18"/>
    <w:p w14:paraId="32804070" w14:textId="77777777" w:rsidR="00420D18" w:rsidRDefault="00420D18" w:rsidP="00420D18">
      <w:pPr>
        <w:pStyle w:val="Questionstyle"/>
        <w:numPr>
          <w:ilvl w:val="0"/>
          <w:numId w:val="1"/>
        </w:numPr>
        <w:tabs>
          <w:tab w:val="clear" w:pos="567"/>
        </w:tabs>
        <w:spacing w:after="240" w:line="256" w:lineRule="auto"/>
        <w:ind w:left="851" w:hanging="851"/>
      </w:pPr>
      <w:r>
        <w:t>Do you agree that the transaction type should not become a mandatory matching field under Article 5(4) of CDR 2018/1229?</w:t>
      </w:r>
    </w:p>
    <w:p w14:paraId="7D34CB5F" w14:textId="77777777" w:rsidR="00420D18" w:rsidRDefault="00420D18" w:rsidP="00420D18">
      <w:r>
        <w:t>&lt;ESMA_QUESTION_CSDC_44&gt;</w:t>
      </w:r>
    </w:p>
    <w:p w14:paraId="63DF872C" w14:textId="164B42D1" w:rsidR="00C35828" w:rsidRDefault="00C35828" w:rsidP="00420D18">
      <w:r w:rsidRPr="00855EF4">
        <w:lastRenderedPageBreak/>
        <w:t>Transaction Type should not become a matching criterion.</w:t>
      </w:r>
    </w:p>
    <w:p w14:paraId="3A5343BB" w14:textId="004C736E" w:rsidR="00420D18" w:rsidRDefault="00420D18" w:rsidP="00420D18">
      <w:r>
        <w:t>&lt;ESMA_QUESTION_CSDC_44&gt;</w:t>
      </w:r>
    </w:p>
    <w:p w14:paraId="275A3188" w14:textId="77777777" w:rsidR="00420D18" w:rsidRDefault="00420D18" w:rsidP="00420D18"/>
    <w:p w14:paraId="4A2AE4A7" w14:textId="77777777" w:rsidR="00420D18" w:rsidRDefault="00420D18" w:rsidP="00420D18">
      <w:pPr>
        <w:pStyle w:val="Questionstyle"/>
        <w:numPr>
          <w:ilvl w:val="0"/>
          <w:numId w:val="1"/>
        </w:numPr>
        <w:tabs>
          <w:tab w:val="clear" w:pos="567"/>
        </w:tabs>
        <w:spacing w:after="240" w:line="256" w:lineRule="auto"/>
        <w:ind w:left="851" w:hanging="851"/>
      </w:pPr>
      <w:r>
        <w:t>Do you think the lists mentioned in Article 2(1)(a) and Article 5(4) of CDR 2018/1229 should be updated? If yes, please specify.</w:t>
      </w:r>
    </w:p>
    <w:p w14:paraId="6A92C7FC" w14:textId="77777777" w:rsidR="00420D18" w:rsidRDefault="00420D18" w:rsidP="00420D18">
      <w:r>
        <w:t>&lt;ESMA_QUESTION_CSDC_45&gt;</w:t>
      </w:r>
    </w:p>
    <w:p w14:paraId="1C0F0F47" w14:textId="64E668C5" w:rsidR="00420D18" w:rsidRDefault="00FD2382" w:rsidP="00420D18">
      <w:r w:rsidRPr="00FD2382">
        <w:t>Depending on the decision (see Q44) the lists should be extended.</w:t>
      </w:r>
    </w:p>
    <w:p w14:paraId="08C9CC85" w14:textId="77777777" w:rsidR="00420D18" w:rsidRDefault="00420D18" w:rsidP="00420D18">
      <w:r>
        <w:t>&lt;ESMA_QUESTION_CSDC_45&gt;</w:t>
      </w:r>
    </w:p>
    <w:p w14:paraId="40B7C6DC" w14:textId="77777777" w:rsidR="00420D18" w:rsidRDefault="00420D18" w:rsidP="00420D18"/>
    <w:p w14:paraId="6554B6C4" w14:textId="77777777" w:rsidR="00420D18" w:rsidRDefault="00420D18" w:rsidP="00420D18">
      <w:pPr>
        <w:rPr>
          <w:b/>
          <w:bCs/>
        </w:rPr>
      </w:pPr>
      <w:r w:rsidRPr="005E6387">
        <w:rPr>
          <w:b/>
          <w:bCs/>
        </w:rPr>
        <w:t>3.2.6</w:t>
      </w:r>
      <w:r w:rsidRPr="005E6387">
        <w:rPr>
          <w:b/>
          <w:bCs/>
        </w:rPr>
        <w:tab/>
        <w:t>Timing for sending settlement instructions to the securities settlement system (SSS)</w:t>
      </w:r>
    </w:p>
    <w:p w14:paraId="7DF47D07" w14:textId="77777777" w:rsidR="00420D18" w:rsidRPr="005E6387" w:rsidRDefault="00420D18" w:rsidP="00420D18">
      <w:pPr>
        <w:rPr>
          <w:b/>
          <w:bCs/>
        </w:rPr>
      </w:pPr>
    </w:p>
    <w:p w14:paraId="276D711A" w14:textId="77777777" w:rsidR="00420D18" w:rsidRDefault="00420D18" w:rsidP="00420D18">
      <w:pPr>
        <w:pStyle w:val="Questionstyle"/>
        <w:numPr>
          <w:ilvl w:val="0"/>
          <w:numId w:val="1"/>
        </w:numPr>
        <w:tabs>
          <w:tab w:val="clear" w:pos="567"/>
        </w:tabs>
        <w:spacing w:after="240" w:line="256" w:lineRule="auto"/>
        <w:ind w:left="851" w:hanging="851"/>
      </w:pPr>
      <w:r>
        <w:t>What are your views on whether market participants should send settlement instructions intra-day rather than in bulk at the end of the day?</w:t>
      </w:r>
    </w:p>
    <w:p w14:paraId="2C98BA27" w14:textId="77777777" w:rsidR="00420D18" w:rsidRDefault="00420D18" w:rsidP="00420D18">
      <w:r>
        <w:t>&lt;ESMA_QUESTION_CSDC_46&gt;</w:t>
      </w:r>
    </w:p>
    <w:p w14:paraId="7A2A3D7C" w14:textId="39D7A7EE" w:rsidR="00420D18" w:rsidRDefault="00DC5CA6" w:rsidP="00420D18">
      <w:r>
        <w:t>Settlement instructions should be sent intra-day and not in bulk at the end of the day. The earlier the s</w:t>
      </w:r>
      <w:r w:rsidRPr="00DC5CA6">
        <w:t xml:space="preserve">ettlement instructions </w:t>
      </w:r>
      <w:proofErr w:type="gramStart"/>
      <w:r>
        <w:t>reaches</w:t>
      </w:r>
      <w:proofErr w:type="gramEnd"/>
      <w:r>
        <w:t xml:space="preserve"> the depository, the earlier mismatches can be detected</w:t>
      </w:r>
      <w:r w:rsidR="00B150D6" w:rsidRPr="00B150D6">
        <w:t xml:space="preserve"> and the staff will have more time to fix them before settlement </w:t>
      </w:r>
      <w:r w:rsidR="00B150D6">
        <w:t>starts</w:t>
      </w:r>
      <w:r w:rsidR="00B150D6" w:rsidRPr="00B150D6">
        <w:t xml:space="preserve">. With the use of </w:t>
      </w:r>
      <w:r w:rsidR="00B150D6">
        <w:t xml:space="preserve">the </w:t>
      </w:r>
      <w:r w:rsidR="00B150D6" w:rsidRPr="00B150D6">
        <w:t xml:space="preserve">hold and release </w:t>
      </w:r>
      <w:r w:rsidR="00B150D6">
        <w:t xml:space="preserve">functionality </w:t>
      </w:r>
      <w:r w:rsidR="00B150D6" w:rsidRPr="00B150D6">
        <w:t xml:space="preserve">all market participants should be able to send their instructions during the day </w:t>
      </w:r>
      <w:proofErr w:type="gramStart"/>
      <w:r w:rsidR="00B150D6" w:rsidRPr="00B150D6">
        <w:t>in order to</w:t>
      </w:r>
      <w:proofErr w:type="gramEnd"/>
      <w:r w:rsidR="00B150D6" w:rsidRPr="00B150D6">
        <w:t xml:space="preserve"> get earliest matching feedback.</w:t>
      </w:r>
    </w:p>
    <w:p w14:paraId="4185BDA6" w14:textId="77777777" w:rsidR="00420D18" w:rsidRDefault="00420D18" w:rsidP="00420D18">
      <w:r>
        <w:t>&lt;ESMA_QUESTION_CSDC_46&gt;</w:t>
      </w:r>
    </w:p>
    <w:p w14:paraId="42C97008" w14:textId="77777777" w:rsidR="00420D18" w:rsidRDefault="00420D18" w:rsidP="00420D18"/>
    <w:p w14:paraId="44DBBDDF"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3D0FDB1F" w14:textId="77777777" w:rsidR="00420D18" w:rsidRDefault="00420D18" w:rsidP="00420D18">
      <w:r>
        <w:t>&lt;ESMA_QUESTION_CSDC_47&gt;</w:t>
      </w:r>
    </w:p>
    <w:p w14:paraId="2455F633" w14:textId="08B442DE" w:rsidR="00420D18" w:rsidRDefault="009229A6" w:rsidP="00420D18">
      <w:r w:rsidRPr="009229A6">
        <w:lastRenderedPageBreak/>
        <w:t xml:space="preserve">It should be left to the industry. </w:t>
      </w:r>
      <w:r w:rsidR="00DC5CA6" w:rsidRPr="00DC5CA6">
        <w:t>The market or the depository should set these requirements.</w:t>
      </w:r>
      <w:r w:rsidR="00DC5CA6">
        <w:t xml:space="preserve"> It is not necessary to regulate this in CDR 2018/1229.</w:t>
      </w:r>
    </w:p>
    <w:p w14:paraId="10D2D660" w14:textId="77777777" w:rsidR="00420D18" w:rsidRDefault="00420D18" w:rsidP="00420D18">
      <w:r>
        <w:t>&lt;ESMA_QUESTION_CSDC_47&gt;</w:t>
      </w:r>
    </w:p>
    <w:p w14:paraId="0376DE2C" w14:textId="77777777" w:rsidR="00420D18" w:rsidRDefault="00420D18" w:rsidP="00420D18">
      <w:pPr>
        <w:rPr>
          <w:b/>
          <w:bCs/>
        </w:rPr>
      </w:pPr>
    </w:p>
    <w:p w14:paraId="0235E16E" w14:textId="77777777" w:rsidR="00420D18" w:rsidRPr="005E6387" w:rsidRDefault="00420D18" w:rsidP="00420D18">
      <w:pPr>
        <w:rPr>
          <w:b/>
          <w:bCs/>
        </w:rPr>
      </w:pPr>
      <w:r w:rsidRPr="005E6387">
        <w:rPr>
          <w:b/>
          <w:bCs/>
        </w:rPr>
        <w:t>3.2.7</w:t>
      </w:r>
      <w:r w:rsidRPr="005E6387">
        <w:rPr>
          <w:b/>
          <w:bCs/>
        </w:rPr>
        <w:tab/>
        <w:t>Alignment of CSDs’ opening hours, real-time/night-time settlement and cut-off times</w:t>
      </w:r>
    </w:p>
    <w:p w14:paraId="6815E936" w14:textId="77777777" w:rsidR="00420D18" w:rsidRDefault="00420D18" w:rsidP="00420D18"/>
    <w:p w14:paraId="2BA0BBED"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50562E84" w14:textId="77777777" w:rsidR="00420D18" w:rsidRDefault="00420D18" w:rsidP="00420D18">
      <w:r>
        <w:t>&lt;ESMA_QUESTION_CSDC_48&gt;</w:t>
      </w:r>
    </w:p>
    <w:p w14:paraId="1543595E" w14:textId="26BEC388" w:rsidR="00420D18" w:rsidRDefault="0076466D" w:rsidP="00420D18">
      <w:r w:rsidRPr="0076466D">
        <w:t>It should be left to the industry. Harmonization is desirable when it comes to central bank money.</w:t>
      </w:r>
    </w:p>
    <w:p w14:paraId="53C835B4" w14:textId="77777777" w:rsidR="00420D18" w:rsidRDefault="00420D18" w:rsidP="00420D18">
      <w:r>
        <w:t>&lt;ESMA_QUESTION_CSDC_48&gt;</w:t>
      </w:r>
    </w:p>
    <w:p w14:paraId="42C109F7" w14:textId="77777777" w:rsidR="00420D18" w:rsidRDefault="00420D18" w:rsidP="00420D18"/>
    <w:p w14:paraId="02A81ED4"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06B3532E" w14:textId="77777777" w:rsidR="00420D18" w:rsidRDefault="00420D18" w:rsidP="00420D18">
      <w:r>
        <w:t>&lt;ESMA_QUESTION_CSDC_49&gt;</w:t>
      </w:r>
    </w:p>
    <w:p w14:paraId="555D9DD1" w14:textId="1955768C" w:rsidR="00B150D6" w:rsidRPr="00C13BDC" w:rsidRDefault="00801451" w:rsidP="00B150D6">
      <w:pPr>
        <w:rPr>
          <w:lang w:val="en-US"/>
        </w:rPr>
      </w:pPr>
      <w:r>
        <w:rPr>
          <w:lang w:val="en-US"/>
        </w:rPr>
        <w:t>S</w:t>
      </w:r>
      <w:r w:rsidR="00B150D6" w:rsidRPr="00C13BDC">
        <w:rPr>
          <w:lang w:val="en-US"/>
        </w:rPr>
        <w:t>everal factors must be considered when establishing a common schedule. One key aspect is foreign currency settlements, which primarily depend on FX processing deadlines.</w:t>
      </w:r>
    </w:p>
    <w:p w14:paraId="037C47E0" w14:textId="6DF62B91" w:rsidR="00B150D6" w:rsidRPr="00C13BDC" w:rsidRDefault="00B150D6" w:rsidP="00B150D6">
      <w:pPr>
        <w:rPr>
          <w:lang w:val="en-US"/>
        </w:rPr>
      </w:pPr>
      <w:r>
        <w:rPr>
          <w:lang w:val="en-US"/>
        </w:rPr>
        <w:t xml:space="preserve">In an </w:t>
      </w:r>
      <w:r w:rsidRPr="00C13BDC">
        <w:rPr>
          <w:lang w:val="en-US"/>
        </w:rPr>
        <w:t xml:space="preserve">optimal business day schedule first trading </w:t>
      </w:r>
      <w:r>
        <w:rPr>
          <w:lang w:val="en-US"/>
        </w:rPr>
        <w:t>should be concluded</w:t>
      </w:r>
      <w:r w:rsidRPr="00C13BDC">
        <w:rPr>
          <w:lang w:val="en-US"/>
        </w:rPr>
        <w:t>, followed by sufficient time to process trading results (e.g., allocation, confirmation, settlement instructions). Only then should settlement begin. Attempting to process these steps in parallel would likely introduce complexity and dependencies, potentially leading to unintended consequences</w:t>
      </w:r>
      <w:r>
        <w:rPr>
          <w:lang w:val="en-US"/>
        </w:rPr>
        <w:t xml:space="preserve"> </w:t>
      </w:r>
      <w:r w:rsidRPr="00C13BDC">
        <w:rPr>
          <w:lang w:val="en-US"/>
        </w:rPr>
        <w:t>—</w:t>
      </w:r>
      <w:r>
        <w:rPr>
          <w:lang w:val="en-US"/>
        </w:rPr>
        <w:t xml:space="preserve"> e. g.</w:t>
      </w:r>
      <w:r w:rsidRPr="00C13BDC">
        <w:rPr>
          <w:lang w:val="en-US"/>
        </w:rPr>
        <w:t xml:space="preserve"> settlement occurring before a valid complaint </w:t>
      </w:r>
      <w:r>
        <w:rPr>
          <w:lang w:val="en-US"/>
        </w:rPr>
        <w:t xml:space="preserve">could have been </w:t>
      </w:r>
      <w:r w:rsidRPr="00C13BDC">
        <w:rPr>
          <w:lang w:val="en-US"/>
        </w:rPr>
        <w:t xml:space="preserve">addressed </w:t>
      </w:r>
      <w:r>
        <w:rPr>
          <w:lang w:val="en-US"/>
        </w:rPr>
        <w:t xml:space="preserve">to </w:t>
      </w:r>
      <w:r w:rsidRPr="00C13BDC">
        <w:rPr>
          <w:lang w:val="en-US"/>
        </w:rPr>
        <w:t>the stock exchange.</w:t>
      </w:r>
    </w:p>
    <w:p w14:paraId="6FE6654E" w14:textId="470B75AB" w:rsidR="00420D18" w:rsidRDefault="00420D18" w:rsidP="00420D18">
      <w:r>
        <w:t>&lt;ESMA_QUESTION_CSDC_49&gt;</w:t>
      </w:r>
    </w:p>
    <w:p w14:paraId="74C951C3" w14:textId="77777777" w:rsidR="00420D18" w:rsidRDefault="00420D18" w:rsidP="00420D18">
      <w:pPr>
        <w:rPr>
          <w:b/>
          <w:bCs/>
        </w:rPr>
      </w:pPr>
    </w:p>
    <w:p w14:paraId="6A52A823" w14:textId="77777777" w:rsidR="00420D18" w:rsidRPr="005E6387" w:rsidRDefault="00420D18" w:rsidP="00420D18">
      <w:pPr>
        <w:rPr>
          <w:b/>
          <w:bCs/>
        </w:rPr>
      </w:pPr>
      <w:r w:rsidRPr="005E6387">
        <w:rPr>
          <w:b/>
          <w:bCs/>
        </w:rPr>
        <w:lastRenderedPageBreak/>
        <w:t>3.2.8</w:t>
      </w:r>
      <w:r w:rsidRPr="005E6387">
        <w:rPr>
          <w:b/>
          <w:bCs/>
        </w:rPr>
        <w:tab/>
        <w:t>Shaping</w:t>
      </w:r>
    </w:p>
    <w:p w14:paraId="00094220" w14:textId="77777777" w:rsidR="00420D18" w:rsidRDefault="00420D18" w:rsidP="00420D18"/>
    <w:p w14:paraId="7E3A7F51"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Do you agree that </w:t>
      </w:r>
      <w:bookmarkStart w:id="1" w:name="_Hlk191481846"/>
      <w:r>
        <w:rPr>
          <w:bCs/>
        </w:rPr>
        <w:t>shaping should be adopted as best practice</w:t>
      </w:r>
      <w:bookmarkEnd w:id="1"/>
      <w:r>
        <w:rPr>
          <w:bCs/>
        </w:rPr>
        <w:t xml:space="preserve">? If you do not agree and believe that it should be adopted as regulatory change, please indicate which should be the most adequate size to shape transactions per type of financial instrument. </w:t>
      </w:r>
    </w:p>
    <w:p w14:paraId="25334163" w14:textId="77777777" w:rsidR="00420D18" w:rsidRDefault="00420D18" w:rsidP="00420D18">
      <w:r>
        <w:t>&lt;ESMA_QUESTION_CSDC_50&gt;</w:t>
      </w:r>
    </w:p>
    <w:p w14:paraId="3A6036ED" w14:textId="5679BACD" w:rsidR="00420D18" w:rsidRDefault="009602F3" w:rsidP="00420D18">
      <w:r>
        <w:t xml:space="preserve">Yes, we agree that </w:t>
      </w:r>
      <w:r w:rsidRPr="009602F3">
        <w:t>shaping should be adopted as best practice</w:t>
      </w:r>
      <w:r>
        <w:t xml:space="preserve">. We do not believe that it </w:t>
      </w:r>
      <w:r w:rsidRPr="009602F3">
        <w:t>should be adopted as regulatory change</w:t>
      </w:r>
      <w:r>
        <w:t>.</w:t>
      </w:r>
    </w:p>
    <w:p w14:paraId="4C5EF581" w14:textId="651B8AC5" w:rsidR="00FC5101" w:rsidRDefault="00FD2382" w:rsidP="00420D18">
      <w:r w:rsidRPr="00FD2382">
        <w:t xml:space="preserve">In markets where partial settlement exists, shaping is not </w:t>
      </w:r>
      <w:proofErr w:type="gramStart"/>
      <w:r w:rsidRPr="00FD2382">
        <w:t>necessary</w:t>
      </w:r>
      <w:proofErr w:type="gramEnd"/>
      <w:r w:rsidRPr="00FD2382">
        <w:t xml:space="preserve"> due to additional settlement costs and implementation costs.</w:t>
      </w:r>
    </w:p>
    <w:p w14:paraId="1827F246" w14:textId="77777777" w:rsidR="00420D18" w:rsidRDefault="00420D18" w:rsidP="00420D18">
      <w:r>
        <w:t>&lt;ESMA_QUESTION_CSDC_50&gt;</w:t>
      </w:r>
    </w:p>
    <w:p w14:paraId="4F86288B" w14:textId="77777777" w:rsidR="00420D18" w:rsidRDefault="00420D18" w:rsidP="00420D18"/>
    <w:p w14:paraId="68CE306A" w14:textId="77777777" w:rsidR="00420D18" w:rsidRPr="005E6387" w:rsidRDefault="00420D18" w:rsidP="00420D18">
      <w:pPr>
        <w:rPr>
          <w:b/>
          <w:bCs/>
        </w:rPr>
      </w:pPr>
      <w:r w:rsidRPr="005E6387">
        <w:rPr>
          <w:b/>
          <w:bCs/>
        </w:rPr>
        <w:t>3.2.9</w:t>
      </w:r>
      <w:r w:rsidRPr="005E6387">
        <w:rPr>
          <w:b/>
          <w:bCs/>
        </w:rPr>
        <w:tab/>
        <w:t>Automated securities lending</w:t>
      </w:r>
    </w:p>
    <w:p w14:paraId="49243D21" w14:textId="77777777" w:rsidR="00420D18" w:rsidRDefault="00420D18" w:rsidP="00420D18"/>
    <w:p w14:paraId="0E4A070A"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see the need for a regulatory action in this area? If yes, please elaborate.</w:t>
      </w:r>
    </w:p>
    <w:p w14:paraId="48FCBB43" w14:textId="77777777" w:rsidR="00420D18" w:rsidRDefault="00420D18" w:rsidP="00420D18">
      <w:r>
        <w:t>&lt;ESMA_QUESTION_CSDC_51&gt;</w:t>
      </w:r>
    </w:p>
    <w:p w14:paraId="22A8CEC3" w14:textId="162F6D97" w:rsidR="00420D18" w:rsidRDefault="008C4074" w:rsidP="00420D18">
      <w:r w:rsidRPr="008C4074">
        <w:t>No, we don’t see a need for that.</w:t>
      </w:r>
    </w:p>
    <w:p w14:paraId="4110C503" w14:textId="77777777" w:rsidR="00420D18" w:rsidRDefault="00420D18" w:rsidP="00420D18">
      <w:r>
        <w:t>&lt;ESMA_QUESTION_CSDC_51&gt;</w:t>
      </w:r>
    </w:p>
    <w:p w14:paraId="3B62EA71" w14:textId="77777777" w:rsidR="00420D18" w:rsidRPr="004D0A02" w:rsidRDefault="00420D18" w:rsidP="00420D18">
      <w:pPr>
        <w:rPr>
          <w:b/>
          <w:bCs/>
        </w:rPr>
      </w:pPr>
      <w:r w:rsidRPr="004D0A02">
        <w:rPr>
          <w:b/>
          <w:bCs/>
        </w:rPr>
        <w:t>3.2.10 Other proposals regarding settlement discipline measures and tools to improve settlement efficiency</w:t>
      </w:r>
    </w:p>
    <w:p w14:paraId="5CC8CF89" w14:textId="77777777" w:rsidR="00420D18" w:rsidRDefault="00420D18" w:rsidP="00420D18"/>
    <w:p w14:paraId="1ECE967C"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Do you have other proposals regarding settlement discipline measures and tools to improve settlement efficiency in areas not covered in the previous sections? Please </w:t>
      </w:r>
      <w:r>
        <w:rPr>
          <w:bCs/>
        </w:rPr>
        <w:lastRenderedPageBreak/>
        <w:t>give examples and provide arguments and data where available. If relevant, please also include the specific proposed amendments to CDR 2018/1229.</w:t>
      </w:r>
    </w:p>
    <w:p w14:paraId="766FD31C" w14:textId="77777777" w:rsidR="00420D18" w:rsidRDefault="00420D18" w:rsidP="00420D18">
      <w:r>
        <w:t>&lt;ESMA_QUESTION_CSDC_52&gt;</w:t>
      </w:r>
    </w:p>
    <w:p w14:paraId="24ED586A" w14:textId="77777777" w:rsidR="008C4074" w:rsidRDefault="008C4074" w:rsidP="00420D18">
      <w:r w:rsidRPr="008C4074">
        <w:t>No, we don’t see a need for that</w:t>
      </w:r>
      <w:r w:rsidRPr="008C4074" w:rsidDel="008C4074">
        <w:t xml:space="preserve"> </w:t>
      </w:r>
    </w:p>
    <w:p w14:paraId="7357D7DD" w14:textId="77777777" w:rsidR="00420D18" w:rsidRDefault="00420D18" w:rsidP="00420D18">
      <w:r>
        <w:t>&lt;ESMA_QUESTION_CSDC_52&gt;</w:t>
      </w:r>
    </w:p>
    <w:p w14:paraId="0C012E07" w14:textId="77777777" w:rsidR="00420D18" w:rsidRDefault="00420D18" w:rsidP="00420D18">
      <w:pPr>
        <w:rPr>
          <w:b/>
          <w:bCs/>
        </w:rPr>
      </w:pPr>
    </w:p>
    <w:p w14:paraId="244F7605" w14:textId="77777777" w:rsidR="00420D18" w:rsidRPr="004D0A02" w:rsidRDefault="00420D18" w:rsidP="00420D18">
      <w:pPr>
        <w:rPr>
          <w:b/>
          <w:bCs/>
        </w:rPr>
      </w:pPr>
      <w:r>
        <w:rPr>
          <w:b/>
          <w:bCs/>
        </w:rPr>
        <w:t>3.2.11 Costs and Benefits</w:t>
      </w:r>
    </w:p>
    <w:p w14:paraId="176F6F7E" w14:textId="77777777" w:rsidR="00420D18" w:rsidRDefault="00420D18" w:rsidP="00420D18"/>
    <w:p w14:paraId="2914E7CD"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For all the topics covered in this CP please provide your input on the envisaged costs and benefits using the table below. Please include any operational challenges and the time it may take to implement the proposed requirements. Where relevant, additional tables, graphs and information may be included </w:t>
      </w:r>
      <w:proofErr w:type="gramStart"/>
      <w:r>
        <w:rPr>
          <w:bCs/>
        </w:rPr>
        <w:t>in order to</w:t>
      </w:r>
      <w:proofErr w:type="gramEnd"/>
      <w:r>
        <w:rPr>
          <w:bCs/>
        </w:rPr>
        <w:t xml:space="preserve">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420D18" w:rsidRPr="007F665A" w14:paraId="14129EE3" w14:textId="77777777" w:rsidTr="00882A1D">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220D71B3" w14:textId="77777777" w:rsidR="00420D18" w:rsidRPr="007F665A" w:rsidRDefault="00420D18" w:rsidP="00882A1D">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8CFABC7" w14:textId="77777777" w:rsidR="00420D18" w:rsidRPr="007F665A" w:rsidRDefault="00420D18" w:rsidP="00882A1D">
            <w:pPr>
              <w:rPr>
                <w:lang w:val="nl-BE"/>
              </w:rPr>
            </w:pPr>
          </w:p>
          <w:p w14:paraId="51FDE3A2" w14:textId="77777777" w:rsidR="00420D18" w:rsidRPr="007F665A" w:rsidRDefault="00420D18" w:rsidP="00882A1D">
            <w:pPr>
              <w:rPr>
                <w:lang w:val="nl-BE"/>
              </w:rPr>
            </w:pPr>
            <w:r w:rsidRPr="007F665A">
              <w:rPr>
                <w:lang w:val="nl-BE"/>
              </w:rPr>
              <w:t> </w:t>
            </w:r>
          </w:p>
        </w:tc>
      </w:tr>
      <w:tr w:rsidR="00420D18" w:rsidRPr="007F665A" w14:paraId="617B20A0"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6268F" w14:textId="77777777" w:rsidR="00420D18" w:rsidRPr="007F665A" w:rsidRDefault="00420D18" w:rsidP="00882A1D">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EE20959" w14:textId="77777777" w:rsidR="00420D18" w:rsidRPr="007F665A" w:rsidRDefault="00420D18" w:rsidP="00882A1D">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08D8D86" w14:textId="77777777" w:rsidR="00420D18" w:rsidRPr="007F665A" w:rsidRDefault="00420D18" w:rsidP="00882A1D">
            <w:pPr>
              <w:rPr>
                <w:lang w:val="nl-BE"/>
              </w:rPr>
            </w:pPr>
            <w:r w:rsidRPr="007F665A">
              <w:rPr>
                <w:b/>
                <w:bCs/>
                <w:lang w:val="nl-BE"/>
              </w:rPr>
              <w:t>Quantitative description/ Data</w:t>
            </w:r>
          </w:p>
        </w:tc>
      </w:tr>
      <w:tr w:rsidR="00420D18" w:rsidRPr="007F665A" w14:paraId="0C18AF56"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76E3" w14:textId="77777777" w:rsidR="00420D18" w:rsidRPr="007F665A" w:rsidRDefault="00420D18" w:rsidP="00882A1D">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FA0B75C"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13A7168C" w14:textId="77777777" w:rsidR="00420D18" w:rsidRPr="007F665A" w:rsidRDefault="00420D18" w:rsidP="00882A1D">
            <w:pPr>
              <w:rPr>
                <w:lang w:val="nl-BE"/>
              </w:rPr>
            </w:pPr>
            <w:r w:rsidRPr="007F665A">
              <w:rPr>
                <w:lang w:val="nl-BE"/>
              </w:rPr>
              <w:t> </w:t>
            </w:r>
          </w:p>
        </w:tc>
      </w:tr>
      <w:tr w:rsidR="00420D18" w:rsidRPr="007F665A" w14:paraId="3230A2B2"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B2BBE" w14:textId="77777777" w:rsidR="00420D18" w:rsidRPr="007F665A" w:rsidRDefault="00420D18" w:rsidP="00882A1D">
            <w:pPr>
              <w:rPr>
                <w:lang w:val="nl-BE"/>
              </w:rPr>
            </w:pPr>
            <w:r w:rsidRPr="007F665A">
              <w:rPr>
                <w:b/>
                <w:bCs/>
                <w:lang w:val="nl-BE"/>
              </w:rPr>
              <w:t>Compliance costs:</w:t>
            </w:r>
          </w:p>
          <w:p w14:paraId="0999E607" w14:textId="77777777" w:rsidR="00420D18" w:rsidRPr="007F665A" w:rsidRDefault="00420D18" w:rsidP="00882A1D">
            <w:pPr>
              <w:rPr>
                <w:lang w:val="nl-BE"/>
              </w:rPr>
            </w:pPr>
            <w:r w:rsidRPr="007F665A">
              <w:rPr>
                <w:b/>
                <w:bCs/>
                <w:lang w:val="nl-BE"/>
              </w:rPr>
              <w:t>- One-off</w:t>
            </w:r>
          </w:p>
          <w:p w14:paraId="701A5163" w14:textId="77777777" w:rsidR="00420D18" w:rsidRPr="007F665A" w:rsidRDefault="00420D18" w:rsidP="00882A1D">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CB141AB"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7311CF4" w14:textId="77777777" w:rsidR="00420D18" w:rsidRPr="007F665A" w:rsidRDefault="00420D18" w:rsidP="00882A1D">
            <w:pPr>
              <w:rPr>
                <w:lang w:val="nl-BE"/>
              </w:rPr>
            </w:pPr>
            <w:r w:rsidRPr="007F665A">
              <w:rPr>
                <w:lang w:val="nl-BE"/>
              </w:rPr>
              <w:t> </w:t>
            </w:r>
          </w:p>
        </w:tc>
      </w:tr>
      <w:tr w:rsidR="00420D18" w:rsidRPr="007F665A" w14:paraId="7A6C67AA"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E496E" w14:textId="77777777" w:rsidR="00420D18" w:rsidRPr="007F665A" w:rsidRDefault="00420D18" w:rsidP="00882A1D">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0B3AE5F"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83528D7" w14:textId="77777777" w:rsidR="00420D18" w:rsidRPr="007F665A" w:rsidRDefault="00420D18" w:rsidP="00882A1D">
            <w:pPr>
              <w:rPr>
                <w:lang w:val="nl-BE"/>
              </w:rPr>
            </w:pPr>
            <w:r w:rsidRPr="007F665A">
              <w:rPr>
                <w:lang w:val="nl-BE"/>
              </w:rPr>
              <w:t> </w:t>
            </w:r>
          </w:p>
        </w:tc>
      </w:tr>
      <w:tr w:rsidR="00420D18" w:rsidRPr="007F665A" w14:paraId="2C4590A2"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1ECDE" w14:textId="77777777" w:rsidR="00420D18" w:rsidRPr="007F665A" w:rsidRDefault="00420D18" w:rsidP="00882A1D">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78C582"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473DE34B" w14:textId="77777777" w:rsidR="00420D18" w:rsidRPr="007F665A" w:rsidRDefault="00420D18" w:rsidP="00882A1D">
            <w:pPr>
              <w:rPr>
                <w:lang w:val="nl-BE"/>
              </w:rPr>
            </w:pPr>
          </w:p>
        </w:tc>
      </w:tr>
    </w:tbl>
    <w:p w14:paraId="03CA6F45" w14:textId="77777777" w:rsidR="00420D18" w:rsidRDefault="00420D18" w:rsidP="00420D18"/>
    <w:p w14:paraId="081B6A6F" w14:textId="77777777" w:rsidR="00420D18" w:rsidRDefault="00420D18" w:rsidP="00420D18">
      <w:r>
        <w:lastRenderedPageBreak/>
        <w:t>&lt;ESMA_QUESTION_CSDC_53&gt;</w:t>
      </w:r>
    </w:p>
    <w:p w14:paraId="1ECED8ED" w14:textId="43F0DB0B" w:rsidR="00420D18" w:rsidRDefault="00FD2382" w:rsidP="00420D18">
      <w:r w:rsidRPr="00FD2382">
        <w:t xml:space="preserve">Without a detailed analysis for each single </w:t>
      </w:r>
      <w:proofErr w:type="gramStart"/>
      <w:r w:rsidRPr="00FD2382">
        <w:t>topic</w:t>
      </w:r>
      <w:proofErr w:type="gramEnd"/>
      <w:r w:rsidRPr="00FD2382">
        <w:t xml:space="preserve"> it is not possible to answer this question properly.</w:t>
      </w:r>
    </w:p>
    <w:p w14:paraId="0064C335" w14:textId="77777777" w:rsidR="00420D18" w:rsidRDefault="00420D18" w:rsidP="00420D18">
      <w:r>
        <w:t>&lt;ESMA_QUESTION_CSDC_53&gt;</w:t>
      </w:r>
    </w:p>
    <w:p w14:paraId="34A18A31" w14:textId="77777777" w:rsidR="00420D18" w:rsidRDefault="00420D18" w:rsidP="00420D18"/>
    <w:p w14:paraId="343F4DA6" w14:textId="77777777" w:rsidR="00420D18" w:rsidRDefault="00420D18" w:rsidP="00420D18"/>
    <w:p w14:paraId="7B92A4FB" w14:textId="77777777" w:rsidR="00420D18" w:rsidRDefault="00420D18" w:rsidP="00420D18">
      <w:pPr>
        <w:spacing w:after="120" w:line="264" w:lineRule="auto"/>
        <w:jc w:val="left"/>
      </w:pPr>
      <w:r>
        <w:br w:type="page"/>
      </w:r>
    </w:p>
    <w:p w14:paraId="43D01C8E" w14:textId="77777777" w:rsidR="00420D18" w:rsidRDefault="00420D18" w:rsidP="00420D18"/>
    <w:p w14:paraId="21E458AB" w14:textId="77777777" w:rsidR="00420D18" w:rsidRDefault="00420D18" w:rsidP="00420D18"/>
    <w:p w14:paraId="502A4CDF" w14:textId="77777777" w:rsidR="00420D18" w:rsidRDefault="00420D18" w:rsidP="00420D18">
      <w:pPr>
        <w:pStyle w:val="Questionstyle"/>
        <w:spacing w:after="240" w:line="256" w:lineRule="auto"/>
        <w:ind w:left="851" w:hanging="851"/>
      </w:pPr>
    </w:p>
    <w:p w14:paraId="01D3DC0F" w14:textId="77777777" w:rsidR="00420D18" w:rsidRDefault="00420D18" w:rsidP="00420D18"/>
    <w:p w14:paraId="37ADE525" w14:textId="77777777" w:rsidR="00420D18" w:rsidRDefault="00420D18" w:rsidP="00420D18"/>
    <w:p w14:paraId="58E308BE" w14:textId="77777777" w:rsidR="000D6703" w:rsidRDefault="000D6703"/>
    <w:sectPr w:rsidR="000D6703" w:rsidSect="00420D18">
      <w:headerReference w:type="default" r:id="rId14"/>
      <w:footerReference w:type="default" r:id="rId1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59AE" w14:textId="77777777" w:rsidR="0037081F" w:rsidRDefault="0037081F">
      <w:pPr>
        <w:spacing w:after="0" w:line="240" w:lineRule="auto"/>
      </w:pPr>
      <w:r>
        <w:separator/>
      </w:r>
    </w:p>
  </w:endnote>
  <w:endnote w:type="continuationSeparator" w:id="0">
    <w:p w14:paraId="2C252E4E" w14:textId="77777777" w:rsidR="0037081F" w:rsidRDefault="0037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24A7B391" w14:textId="77777777" w:rsidR="009557B5" w:rsidRDefault="009557B5"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CAFD" w14:textId="77777777" w:rsidR="0037081F" w:rsidRDefault="0037081F">
      <w:pPr>
        <w:spacing w:after="0" w:line="240" w:lineRule="auto"/>
      </w:pPr>
      <w:r>
        <w:separator/>
      </w:r>
    </w:p>
  </w:footnote>
  <w:footnote w:type="continuationSeparator" w:id="0">
    <w:p w14:paraId="7FF07335" w14:textId="77777777" w:rsidR="0037081F" w:rsidRDefault="0037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375B" w14:textId="77777777" w:rsidR="009557B5" w:rsidRPr="00DB2FD6" w:rsidRDefault="009557B5" w:rsidP="008858FE">
    <w:pPr>
      <w:pStyle w:val="Kopfzeile"/>
      <w:rPr>
        <w:bCs/>
        <w:caps/>
        <w:color w:val="4EA72E" w:themeColor="accent6"/>
        <w:sz w:val="22"/>
        <w:highlight w:val="yellow"/>
      </w:rPr>
    </w:pPr>
    <w:r w:rsidRPr="00C008C4">
      <w:rPr>
        <w:rStyle w:val="ESMAConfidentialRestricted"/>
        <w:noProof/>
      </w:rPr>
      <w:drawing>
        <wp:anchor distT="0" distB="0" distL="114300" distR="114300" simplePos="0" relativeHeight="251657216" behindDoc="0" locked="0" layoutInCell="1" allowOverlap="1" wp14:anchorId="68ABF07D" wp14:editId="2735E6BE">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13 February 2025</w:t>
    </w:r>
  </w:p>
  <w:p w14:paraId="7AAF793E" w14:textId="77777777" w:rsidR="009557B5" w:rsidRPr="000C70F0" w:rsidRDefault="009557B5"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01D" w14:textId="77777777" w:rsidR="009557B5" w:rsidRDefault="009557B5" w:rsidP="00AD0B10">
    <w:pPr>
      <w:pStyle w:val="Kopfzeile"/>
    </w:pPr>
  </w:p>
  <w:p w14:paraId="495F9140" w14:textId="77777777" w:rsidR="009557B5" w:rsidRDefault="009557B5" w:rsidP="00AD0B10">
    <w:pPr>
      <w:pStyle w:val="Kopfzeile"/>
    </w:pPr>
  </w:p>
  <w:p w14:paraId="7254207C" w14:textId="77777777" w:rsidR="009557B5" w:rsidRPr="0043139E" w:rsidRDefault="009557B5" w:rsidP="00AD0B10">
    <w:pPr>
      <w:pStyle w:val="Kopfzeile"/>
    </w:pPr>
  </w:p>
  <w:p w14:paraId="206F25E4" w14:textId="77777777" w:rsidR="009557B5" w:rsidRPr="0043139E" w:rsidRDefault="009557B5" w:rsidP="00AD0B10">
    <w:pPr>
      <w:pStyle w:val="Kopfzeile"/>
    </w:pPr>
  </w:p>
  <w:p w14:paraId="630D6495" w14:textId="77777777" w:rsidR="009557B5" w:rsidRPr="0043139E" w:rsidRDefault="009557B5" w:rsidP="00AD0B10">
    <w:pPr>
      <w:pStyle w:val="Kopfzeile"/>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39D48726" wp14:editId="29517D52">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13D89048" w14:textId="77777777" w:rsidR="009557B5" w:rsidRPr="0043139E" w:rsidRDefault="009557B5" w:rsidP="00AD0B10">
    <w:pPr>
      <w:pStyle w:val="Kopfzeile"/>
    </w:pPr>
  </w:p>
  <w:p w14:paraId="7623E010" w14:textId="77777777" w:rsidR="009557B5" w:rsidRPr="0043139E" w:rsidRDefault="009557B5" w:rsidP="00AD0B10">
    <w:pPr>
      <w:pStyle w:val="Kopfzeile"/>
    </w:pPr>
  </w:p>
  <w:p w14:paraId="5957B1B5" w14:textId="77777777" w:rsidR="009557B5" w:rsidRPr="0043139E" w:rsidRDefault="009557B5" w:rsidP="00AD0B10">
    <w:pPr>
      <w:pStyle w:val="Kopfzeile"/>
    </w:pPr>
  </w:p>
  <w:p w14:paraId="14495C2D" w14:textId="77777777" w:rsidR="009557B5" w:rsidRPr="0043139E" w:rsidRDefault="009557B5" w:rsidP="00AD0B10">
    <w:pPr>
      <w:pStyle w:val="Kopfzeile"/>
    </w:pPr>
  </w:p>
  <w:p w14:paraId="5D61E1A5" w14:textId="77777777" w:rsidR="009557B5" w:rsidRPr="0043139E" w:rsidRDefault="009557B5" w:rsidP="00AD0B10">
    <w:pPr>
      <w:pStyle w:val="Kopfzeile"/>
    </w:pPr>
  </w:p>
  <w:p w14:paraId="0F1A52BB" w14:textId="77777777" w:rsidR="009557B5" w:rsidRPr="0043139E" w:rsidRDefault="009557B5" w:rsidP="00AD0B10">
    <w:pPr>
      <w:pStyle w:val="Kopfzeile"/>
    </w:pPr>
  </w:p>
  <w:p w14:paraId="7FE496F6" w14:textId="77777777" w:rsidR="009557B5" w:rsidRDefault="009557B5" w:rsidP="00AD0B10">
    <w:pPr>
      <w:pStyle w:val="Kopfzeile"/>
    </w:pPr>
  </w:p>
  <w:p w14:paraId="7F80630F" w14:textId="77777777" w:rsidR="009557B5" w:rsidRPr="0043139E" w:rsidRDefault="009557B5" w:rsidP="00AD0B10">
    <w:pPr>
      <w:pStyle w:val="Kopfzeile"/>
    </w:pPr>
  </w:p>
  <w:p w14:paraId="7B6534DA" w14:textId="77777777" w:rsidR="009557B5" w:rsidRPr="00AD0B10" w:rsidRDefault="009557B5"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6998"/>
    <w:multiLevelType w:val="hybridMultilevel"/>
    <w:tmpl w:val="73DAD6A6"/>
    <w:lvl w:ilvl="0" w:tplc="2030470C">
      <w:start w:val="1"/>
      <w:numFmt w:val="bullet"/>
      <w:lvlText w:val=""/>
      <w:lvlJc w:val="left"/>
      <w:pPr>
        <w:ind w:left="720" w:hanging="360"/>
      </w:pPr>
      <w:rPr>
        <w:rFonts w:ascii="Symbol" w:hAnsi="Symbol"/>
      </w:rPr>
    </w:lvl>
    <w:lvl w:ilvl="1" w:tplc="12DCD972">
      <w:start w:val="1"/>
      <w:numFmt w:val="bullet"/>
      <w:lvlText w:val=""/>
      <w:lvlJc w:val="left"/>
      <w:pPr>
        <w:ind w:left="720" w:hanging="360"/>
      </w:pPr>
      <w:rPr>
        <w:rFonts w:ascii="Symbol" w:hAnsi="Symbol"/>
      </w:rPr>
    </w:lvl>
    <w:lvl w:ilvl="2" w:tplc="9140C882">
      <w:start w:val="1"/>
      <w:numFmt w:val="bullet"/>
      <w:lvlText w:val=""/>
      <w:lvlJc w:val="left"/>
      <w:pPr>
        <w:ind w:left="720" w:hanging="360"/>
      </w:pPr>
      <w:rPr>
        <w:rFonts w:ascii="Symbol" w:hAnsi="Symbol"/>
      </w:rPr>
    </w:lvl>
    <w:lvl w:ilvl="3" w:tplc="AF0861DC">
      <w:start w:val="1"/>
      <w:numFmt w:val="bullet"/>
      <w:lvlText w:val=""/>
      <w:lvlJc w:val="left"/>
      <w:pPr>
        <w:ind w:left="720" w:hanging="360"/>
      </w:pPr>
      <w:rPr>
        <w:rFonts w:ascii="Symbol" w:hAnsi="Symbol"/>
      </w:rPr>
    </w:lvl>
    <w:lvl w:ilvl="4" w:tplc="CD10569E">
      <w:start w:val="1"/>
      <w:numFmt w:val="bullet"/>
      <w:lvlText w:val=""/>
      <w:lvlJc w:val="left"/>
      <w:pPr>
        <w:ind w:left="720" w:hanging="360"/>
      </w:pPr>
      <w:rPr>
        <w:rFonts w:ascii="Symbol" w:hAnsi="Symbol"/>
      </w:rPr>
    </w:lvl>
    <w:lvl w:ilvl="5" w:tplc="47702126">
      <w:start w:val="1"/>
      <w:numFmt w:val="bullet"/>
      <w:lvlText w:val=""/>
      <w:lvlJc w:val="left"/>
      <w:pPr>
        <w:ind w:left="720" w:hanging="360"/>
      </w:pPr>
      <w:rPr>
        <w:rFonts w:ascii="Symbol" w:hAnsi="Symbol"/>
      </w:rPr>
    </w:lvl>
    <w:lvl w:ilvl="6" w:tplc="254C4ABE">
      <w:start w:val="1"/>
      <w:numFmt w:val="bullet"/>
      <w:lvlText w:val=""/>
      <w:lvlJc w:val="left"/>
      <w:pPr>
        <w:ind w:left="720" w:hanging="360"/>
      </w:pPr>
      <w:rPr>
        <w:rFonts w:ascii="Symbol" w:hAnsi="Symbol"/>
      </w:rPr>
    </w:lvl>
    <w:lvl w:ilvl="7" w:tplc="D5B4F52C">
      <w:start w:val="1"/>
      <w:numFmt w:val="bullet"/>
      <w:lvlText w:val=""/>
      <w:lvlJc w:val="left"/>
      <w:pPr>
        <w:ind w:left="720" w:hanging="360"/>
      </w:pPr>
      <w:rPr>
        <w:rFonts w:ascii="Symbol" w:hAnsi="Symbol"/>
      </w:rPr>
    </w:lvl>
    <w:lvl w:ilvl="8" w:tplc="506E12C0">
      <w:start w:val="1"/>
      <w:numFmt w:val="bullet"/>
      <w:lvlText w:val=""/>
      <w:lvlJc w:val="left"/>
      <w:pPr>
        <w:ind w:left="720" w:hanging="360"/>
      </w:pPr>
      <w:rPr>
        <w:rFonts w:ascii="Symbol" w:hAnsi="Symbol"/>
      </w:rPr>
    </w:lvl>
  </w:abstractNum>
  <w:abstractNum w:abstractNumId="1"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9C655C"/>
    <w:multiLevelType w:val="hybridMultilevel"/>
    <w:tmpl w:val="B40E0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B43F79"/>
    <w:multiLevelType w:val="hybridMultilevel"/>
    <w:tmpl w:val="06E61C14"/>
    <w:lvl w:ilvl="0" w:tplc="35A429C6">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7614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070733">
    <w:abstractNumId w:val="3"/>
  </w:num>
  <w:num w:numId="3" w16cid:durableId="1056777442">
    <w:abstractNumId w:val="2"/>
  </w:num>
  <w:num w:numId="4" w16cid:durableId="174675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18"/>
    <w:rsid w:val="00010672"/>
    <w:rsid w:val="00012431"/>
    <w:rsid w:val="00013877"/>
    <w:rsid w:val="0001692F"/>
    <w:rsid w:val="00016AD1"/>
    <w:rsid w:val="00021A17"/>
    <w:rsid w:val="000254B9"/>
    <w:rsid w:val="00033E0E"/>
    <w:rsid w:val="000457E5"/>
    <w:rsid w:val="00052981"/>
    <w:rsid w:val="00070127"/>
    <w:rsid w:val="00071D1A"/>
    <w:rsid w:val="000850BB"/>
    <w:rsid w:val="00085729"/>
    <w:rsid w:val="00090D27"/>
    <w:rsid w:val="000954CF"/>
    <w:rsid w:val="00095D47"/>
    <w:rsid w:val="000A5874"/>
    <w:rsid w:val="000D60EC"/>
    <w:rsid w:val="000D6703"/>
    <w:rsid w:val="000E5DC2"/>
    <w:rsid w:val="00103B7A"/>
    <w:rsid w:val="001104AC"/>
    <w:rsid w:val="001107AE"/>
    <w:rsid w:val="00133C25"/>
    <w:rsid w:val="00137F32"/>
    <w:rsid w:val="001603C3"/>
    <w:rsid w:val="001834F5"/>
    <w:rsid w:val="001A510D"/>
    <w:rsid w:val="001B3DC6"/>
    <w:rsid w:val="001C40B8"/>
    <w:rsid w:val="00206D67"/>
    <w:rsid w:val="002244C2"/>
    <w:rsid w:val="00230631"/>
    <w:rsid w:val="00235314"/>
    <w:rsid w:val="002467F5"/>
    <w:rsid w:val="0025088E"/>
    <w:rsid w:val="00254A45"/>
    <w:rsid w:val="002828DC"/>
    <w:rsid w:val="0029291B"/>
    <w:rsid w:val="0029545E"/>
    <w:rsid w:val="002B4F9D"/>
    <w:rsid w:val="002C5761"/>
    <w:rsid w:val="002C7862"/>
    <w:rsid w:val="002D5DF3"/>
    <w:rsid w:val="0031412B"/>
    <w:rsid w:val="00315CD7"/>
    <w:rsid w:val="003609C4"/>
    <w:rsid w:val="0037081F"/>
    <w:rsid w:val="0039260C"/>
    <w:rsid w:val="00397A79"/>
    <w:rsid w:val="003B639C"/>
    <w:rsid w:val="003C16DD"/>
    <w:rsid w:val="003C6B87"/>
    <w:rsid w:val="003D09B5"/>
    <w:rsid w:val="003F0FB2"/>
    <w:rsid w:val="003F284F"/>
    <w:rsid w:val="003F6BEA"/>
    <w:rsid w:val="00400B1B"/>
    <w:rsid w:val="00403DC0"/>
    <w:rsid w:val="004046ED"/>
    <w:rsid w:val="004108C9"/>
    <w:rsid w:val="0041526E"/>
    <w:rsid w:val="00420D18"/>
    <w:rsid w:val="004415CA"/>
    <w:rsid w:val="00457D92"/>
    <w:rsid w:val="00474AF8"/>
    <w:rsid w:val="00474C09"/>
    <w:rsid w:val="0047733B"/>
    <w:rsid w:val="004800A2"/>
    <w:rsid w:val="00496B76"/>
    <w:rsid w:val="004A1011"/>
    <w:rsid w:val="004A18F7"/>
    <w:rsid w:val="004A2F29"/>
    <w:rsid w:val="004A4B4C"/>
    <w:rsid w:val="004C6564"/>
    <w:rsid w:val="004E34AD"/>
    <w:rsid w:val="004E3CD3"/>
    <w:rsid w:val="004E588D"/>
    <w:rsid w:val="004F325A"/>
    <w:rsid w:val="004F6E92"/>
    <w:rsid w:val="0055089F"/>
    <w:rsid w:val="005D5701"/>
    <w:rsid w:val="005E0030"/>
    <w:rsid w:val="005E4CDD"/>
    <w:rsid w:val="005F3DD6"/>
    <w:rsid w:val="005F4B15"/>
    <w:rsid w:val="00616930"/>
    <w:rsid w:val="006223E6"/>
    <w:rsid w:val="0064777C"/>
    <w:rsid w:val="00660309"/>
    <w:rsid w:val="00673780"/>
    <w:rsid w:val="0069716E"/>
    <w:rsid w:val="006A1DF0"/>
    <w:rsid w:val="006B51B4"/>
    <w:rsid w:val="006B5A68"/>
    <w:rsid w:val="006D5ACA"/>
    <w:rsid w:val="006E24FD"/>
    <w:rsid w:val="00722B3B"/>
    <w:rsid w:val="00734A58"/>
    <w:rsid w:val="00741249"/>
    <w:rsid w:val="007436FB"/>
    <w:rsid w:val="00755F07"/>
    <w:rsid w:val="0076466D"/>
    <w:rsid w:val="00770B4F"/>
    <w:rsid w:val="0077197E"/>
    <w:rsid w:val="00786D47"/>
    <w:rsid w:val="00797CBE"/>
    <w:rsid w:val="007D0235"/>
    <w:rsid w:val="007E190D"/>
    <w:rsid w:val="007F20E8"/>
    <w:rsid w:val="008001DB"/>
    <w:rsid w:val="00801451"/>
    <w:rsid w:val="00817096"/>
    <w:rsid w:val="0082010D"/>
    <w:rsid w:val="00820DE4"/>
    <w:rsid w:val="008460C5"/>
    <w:rsid w:val="00855EF4"/>
    <w:rsid w:val="00871632"/>
    <w:rsid w:val="0088583E"/>
    <w:rsid w:val="00885E18"/>
    <w:rsid w:val="00895172"/>
    <w:rsid w:val="008B0273"/>
    <w:rsid w:val="008B1582"/>
    <w:rsid w:val="008C3B1F"/>
    <w:rsid w:val="008C4074"/>
    <w:rsid w:val="008D3658"/>
    <w:rsid w:val="008D418B"/>
    <w:rsid w:val="008E5BF9"/>
    <w:rsid w:val="00912E10"/>
    <w:rsid w:val="009229A6"/>
    <w:rsid w:val="009378FA"/>
    <w:rsid w:val="0095089B"/>
    <w:rsid w:val="009513C1"/>
    <w:rsid w:val="00955333"/>
    <w:rsid w:val="009557B5"/>
    <w:rsid w:val="009602F3"/>
    <w:rsid w:val="00963836"/>
    <w:rsid w:val="009936E7"/>
    <w:rsid w:val="009A7A6B"/>
    <w:rsid w:val="009D25B6"/>
    <w:rsid w:val="009D6E6D"/>
    <w:rsid w:val="009E5D46"/>
    <w:rsid w:val="009F61A0"/>
    <w:rsid w:val="00A361C4"/>
    <w:rsid w:val="00A418F2"/>
    <w:rsid w:val="00A513B6"/>
    <w:rsid w:val="00A604DB"/>
    <w:rsid w:val="00A62565"/>
    <w:rsid w:val="00A76B10"/>
    <w:rsid w:val="00A94F8B"/>
    <w:rsid w:val="00A9519A"/>
    <w:rsid w:val="00AA05E0"/>
    <w:rsid w:val="00AA5B41"/>
    <w:rsid w:val="00AB5D42"/>
    <w:rsid w:val="00AC75CB"/>
    <w:rsid w:val="00AD4C8F"/>
    <w:rsid w:val="00AE3C0D"/>
    <w:rsid w:val="00AE72FE"/>
    <w:rsid w:val="00AF3ED3"/>
    <w:rsid w:val="00AF7920"/>
    <w:rsid w:val="00B150D6"/>
    <w:rsid w:val="00B213F5"/>
    <w:rsid w:val="00B22669"/>
    <w:rsid w:val="00B33565"/>
    <w:rsid w:val="00B37B96"/>
    <w:rsid w:val="00B43377"/>
    <w:rsid w:val="00B440DA"/>
    <w:rsid w:val="00B57716"/>
    <w:rsid w:val="00B7751E"/>
    <w:rsid w:val="00B95518"/>
    <w:rsid w:val="00BA3104"/>
    <w:rsid w:val="00BA3D49"/>
    <w:rsid w:val="00BD212B"/>
    <w:rsid w:val="00BD4103"/>
    <w:rsid w:val="00BE3249"/>
    <w:rsid w:val="00C0657F"/>
    <w:rsid w:val="00C13BDC"/>
    <w:rsid w:val="00C14709"/>
    <w:rsid w:val="00C35828"/>
    <w:rsid w:val="00C549B5"/>
    <w:rsid w:val="00C93CD3"/>
    <w:rsid w:val="00CA36E1"/>
    <w:rsid w:val="00CB519E"/>
    <w:rsid w:val="00CB71FC"/>
    <w:rsid w:val="00CD30F4"/>
    <w:rsid w:val="00CE2C08"/>
    <w:rsid w:val="00CE4F62"/>
    <w:rsid w:val="00CF4A4F"/>
    <w:rsid w:val="00D11D54"/>
    <w:rsid w:val="00D1490C"/>
    <w:rsid w:val="00D16443"/>
    <w:rsid w:val="00D47777"/>
    <w:rsid w:val="00D53409"/>
    <w:rsid w:val="00D55DCB"/>
    <w:rsid w:val="00D67BC8"/>
    <w:rsid w:val="00D81CBB"/>
    <w:rsid w:val="00D81CC2"/>
    <w:rsid w:val="00D85D78"/>
    <w:rsid w:val="00D91A2E"/>
    <w:rsid w:val="00DA4357"/>
    <w:rsid w:val="00DB244A"/>
    <w:rsid w:val="00DB5BE1"/>
    <w:rsid w:val="00DC5CA6"/>
    <w:rsid w:val="00DD4A06"/>
    <w:rsid w:val="00DF369B"/>
    <w:rsid w:val="00E02E59"/>
    <w:rsid w:val="00E27EE8"/>
    <w:rsid w:val="00E412F3"/>
    <w:rsid w:val="00E425E4"/>
    <w:rsid w:val="00E4624D"/>
    <w:rsid w:val="00E50E0C"/>
    <w:rsid w:val="00E602F2"/>
    <w:rsid w:val="00E62101"/>
    <w:rsid w:val="00E821EE"/>
    <w:rsid w:val="00E90590"/>
    <w:rsid w:val="00EB4C4B"/>
    <w:rsid w:val="00EB59F2"/>
    <w:rsid w:val="00EC57B7"/>
    <w:rsid w:val="00EF7B0C"/>
    <w:rsid w:val="00F0066F"/>
    <w:rsid w:val="00F01992"/>
    <w:rsid w:val="00F0319A"/>
    <w:rsid w:val="00F05DCE"/>
    <w:rsid w:val="00F17122"/>
    <w:rsid w:val="00F23723"/>
    <w:rsid w:val="00F73A60"/>
    <w:rsid w:val="00F81FC9"/>
    <w:rsid w:val="00FA2DD3"/>
    <w:rsid w:val="00FC5101"/>
    <w:rsid w:val="00FD157D"/>
    <w:rsid w:val="00FD2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E9A0"/>
  <w15:chartTrackingRefBased/>
  <w15:docId w15:val="{69E2CD68-91D8-484D-95AA-B9809AE6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D18"/>
    <w:pPr>
      <w:spacing w:after="250" w:line="276" w:lineRule="auto"/>
      <w:jc w:val="both"/>
    </w:pPr>
    <w:rPr>
      <w:rFonts w:eastAsiaTheme="minorEastAsia"/>
      <w:color w:val="1A1A1A" w:themeColor="background1" w:themeShade="1A"/>
      <w:kern w:val="0"/>
      <w:sz w:val="22"/>
      <w:szCs w:val="20"/>
      <w:lang w:val="en-GB"/>
      <w14:ligatures w14:val="none"/>
    </w:rPr>
  </w:style>
  <w:style w:type="paragraph" w:styleId="berschrift1">
    <w:name w:val="heading 1"/>
    <w:basedOn w:val="Standard"/>
    <w:next w:val="Standard"/>
    <w:link w:val="berschrift1Zchn"/>
    <w:uiPriority w:val="9"/>
    <w:qFormat/>
    <w:rsid w:val="00420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20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20D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420D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0D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0D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0D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0D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0D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0D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0D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0D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0D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0D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0D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0D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0D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0D18"/>
    <w:rPr>
      <w:rFonts w:eastAsiaTheme="majorEastAsia" w:cstheme="majorBidi"/>
      <w:color w:val="272727" w:themeColor="text1" w:themeTint="D8"/>
    </w:rPr>
  </w:style>
  <w:style w:type="paragraph" w:styleId="Titel">
    <w:name w:val="Title"/>
    <w:basedOn w:val="Standard"/>
    <w:next w:val="Standard"/>
    <w:link w:val="TitelZchn"/>
    <w:uiPriority w:val="10"/>
    <w:qFormat/>
    <w:rsid w:val="00420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0D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0D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0D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0D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0D18"/>
    <w:rPr>
      <w:i/>
      <w:iCs/>
      <w:color w:val="404040" w:themeColor="text1" w:themeTint="BF"/>
    </w:rPr>
  </w:style>
  <w:style w:type="paragraph" w:styleId="Listenabsatz">
    <w:name w:val="List Paragraph"/>
    <w:aliases w:val="Paragraphe EI,Paragraphe de liste1,EC"/>
    <w:basedOn w:val="Standard"/>
    <w:link w:val="ListenabsatzZchn"/>
    <w:uiPriority w:val="34"/>
    <w:qFormat/>
    <w:rsid w:val="00420D18"/>
    <w:pPr>
      <w:ind w:left="720"/>
      <w:contextualSpacing/>
    </w:pPr>
  </w:style>
  <w:style w:type="character" w:styleId="IntensiveHervorhebung">
    <w:name w:val="Intense Emphasis"/>
    <w:basedOn w:val="Absatz-Standardschriftart"/>
    <w:uiPriority w:val="21"/>
    <w:qFormat/>
    <w:rsid w:val="00420D18"/>
    <w:rPr>
      <w:i/>
      <w:iCs/>
      <w:color w:val="0F4761" w:themeColor="accent1" w:themeShade="BF"/>
    </w:rPr>
  </w:style>
  <w:style w:type="paragraph" w:styleId="IntensivesZitat">
    <w:name w:val="Intense Quote"/>
    <w:basedOn w:val="Standard"/>
    <w:next w:val="Standard"/>
    <w:link w:val="IntensivesZitatZchn"/>
    <w:uiPriority w:val="30"/>
    <w:qFormat/>
    <w:rsid w:val="00420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0D18"/>
    <w:rPr>
      <w:i/>
      <w:iCs/>
      <w:color w:val="0F4761" w:themeColor="accent1" w:themeShade="BF"/>
    </w:rPr>
  </w:style>
  <w:style w:type="character" w:styleId="IntensiverVerweis">
    <w:name w:val="Intense Reference"/>
    <w:basedOn w:val="Absatz-Standardschriftart"/>
    <w:uiPriority w:val="32"/>
    <w:qFormat/>
    <w:rsid w:val="00420D18"/>
    <w:rPr>
      <w:b/>
      <w:bCs/>
      <w:smallCaps/>
      <w:color w:val="0F4761" w:themeColor="accent1" w:themeShade="BF"/>
      <w:spacing w:val="5"/>
    </w:rPr>
  </w:style>
  <w:style w:type="paragraph" w:styleId="Kopfzeile">
    <w:name w:val="header"/>
    <w:basedOn w:val="Standard"/>
    <w:link w:val="KopfzeileZchn"/>
    <w:unhideWhenUsed/>
    <w:qFormat/>
    <w:rsid w:val="00420D18"/>
    <w:pPr>
      <w:tabs>
        <w:tab w:val="center" w:pos="4513"/>
        <w:tab w:val="right" w:pos="9026"/>
      </w:tabs>
      <w:spacing w:after="0" w:line="240" w:lineRule="auto"/>
      <w:jc w:val="right"/>
    </w:pPr>
    <w:rPr>
      <w:color w:val="000000" w:themeColor="text1" w:themeShade="80"/>
      <w:sz w:val="16"/>
    </w:rPr>
  </w:style>
  <w:style w:type="character" w:customStyle="1" w:styleId="KopfzeileZchn">
    <w:name w:val="Kopfzeile Zchn"/>
    <w:basedOn w:val="Absatz-Standardschriftart"/>
    <w:link w:val="Kopfzeile"/>
    <w:rsid w:val="00420D18"/>
    <w:rPr>
      <w:rFonts w:eastAsiaTheme="minorEastAsia"/>
      <w:color w:val="000000" w:themeColor="text1" w:themeShade="80"/>
      <w:kern w:val="0"/>
      <w:sz w:val="16"/>
      <w:szCs w:val="20"/>
      <w:lang w:val="en-GB"/>
      <w14:ligatures w14:val="none"/>
    </w:rPr>
  </w:style>
  <w:style w:type="paragraph" w:styleId="Fuzeile">
    <w:name w:val="footer"/>
    <w:basedOn w:val="Standard"/>
    <w:link w:val="FuzeileZchn"/>
    <w:uiPriority w:val="99"/>
    <w:unhideWhenUsed/>
    <w:qFormat/>
    <w:rsid w:val="00420D18"/>
    <w:pPr>
      <w:tabs>
        <w:tab w:val="center" w:pos="4536"/>
        <w:tab w:val="right" w:pos="9072"/>
      </w:tabs>
      <w:spacing w:line="240" w:lineRule="auto"/>
      <w:jc w:val="left"/>
    </w:pPr>
    <w:rPr>
      <w:color w:val="000000" w:themeColor="text1" w:themeShade="80"/>
      <w:sz w:val="16"/>
    </w:rPr>
  </w:style>
  <w:style w:type="character" w:customStyle="1" w:styleId="FuzeileZchn">
    <w:name w:val="Fußzeile Zchn"/>
    <w:basedOn w:val="Absatz-Standardschriftart"/>
    <w:link w:val="Fuzeile"/>
    <w:uiPriority w:val="99"/>
    <w:rsid w:val="00420D18"/>
    <w:rPr>
      <w:rFonts w:eastAsiaTheme="minorEastAsia"/>
      <w:color w:val="000000" w:themeColor="text1" w:themeShade="80"/>
      <w:kern w:val="0"/>
      <w:sz w:val="16"/>
      <w:szCs w:val="20"/>
      <w:lang w:val="en-GB"/>
      <w14:ligatures w14:val="none"/>
    </w:rPr>
  </w:style>
  <w:style w:type="character" w:styleId="Hyperlink">
    <w:name w:val="Hyperlink"/>
    <w:basedOn w:val="Absatz-Standardschriftart"/>
    <w:uiPriority w:val="99"/>
    <w:unhideWhenUsed/>
    <w:qFormat/>
    <w:rsid w:val="00420D18"/>
    <w:rPr>
      <w:color w:val="0A1D30" w:themeColor="text2" w:themeShade="BF"/>
      <w:u w:val="single"/>
    </w:rPr>
  </w:style>
  <w:style w:type="paragraph" w:customStyle="1" w:styleId="Questionstyle">
    <w:name w:val="Question style"/>
    <w:basedOn w:val="Standard"/>
    <w:next w:val="Standard"/>
    <w:link w:val="QuestionstyleChar"/>
    <w:autoRedefine/>
    <w:qFormat/>
    <w:rsid w:val="00420D18"/>
    <w:pPr>
      <w:tabs>
        <w:tab w:val="left" w:pos="567"/>
      </w:tabs>
      <w:ind w:hanging="360"/>
      <w:contextualSpacing/>
    </w:pPr>
    <w:rPr>
      <w:b/>
    </w:rPr>
  </w:style>
  <w:style w:type="character" w:customStyle="1" w:styleId="QuestionstyleChar">
    <w:name w:val="Question style Char"/>
    <w:basedOn w:val="Absatz-Standardschriftart"/>
    <w:link w:val="Questionstyle"/>
    <w:rsid w:val="00420D18"/>
    <w:rPr>
      <w:rFonts w:eastAsiaTheme="minorEastAsia"/>
      <w:b/>
      <w:color w:val="1A1A1A" w:themeColor="background1" w:themeShade="1A"/>
      <w:kern w:val="0"/>
      <w:sz w:val="22"/>
      <w:szCs w:val="20"/>
      <w:lang w:val="en-GB"/>
      <w14:ligatures w14:val="none"/>
    </w:rPr>
  </w:style>
  <w:style w:type="table" w:styleId="Tabellenraster">
    <w:name w:val="Table Grid"/>
    <w:basedOn w:val="NormaleTabelle"/>
    <w:uiPriority w:val="39"/>
    <w:rsid w:val="00420D18"/>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420D18"/>
    <w:rPr>
      <w:b w:val="0"/>
      <w:bCs/>
      <w:caps/>
      <w:smallCaps w:val="0"/>
      <w:color w:val="4EA72E" w:themeColor="accent6"/>
      <w:sz w:val="22"/>
    </w:rPr>
  </w:style>
  <w:style w:type="character" w:customStyle="1" w:styleId="ESMARegularuse">
    <w:name w:val="ESMA Regular use"/>
    <w:basedOn w:val="ESMAConfidentialRestricted"/>
    <w:uiPriority w:val="1"/>
    <w:qFormat/>
    <w:rsid w:val="00420D18"/>
    <w:rPr>
      <w:b w:val="0"/>
      <w:bCs/>
      <w:caps/>
      <w:smallCaps w:val="0"/>
      <w:color w:val="0E2841" w:themeColor="text2"/>
      <w:sz w:val="22"/>
    </w:rPr>
  </w:style>
  <w:style w:type="character" w:customStyle="1" w:styleId="ListenabsatzZchn">
    <w:name w:val="Listenabsatz Zchn"/>
    <w:aliases w:val="Paragraphe EI Zchn,Paragraphe de liste1 Zchn,EC Zchn"/>
    <w:link w:val="Listenabsatz"/>
    <w:uiPriority w:val="34"/>
    <w:locked/>
    <w:rsid w:val="00420D18"/>
  </w:style>
  <w:style w:type="character" w:styleId="Platzhaltertext">
    <w:name w:val="Placeholder Text"/>
    <w:basedOn w:val="Absatz-Standardschriftart"/>
    <w:uiPriority w:val="99"/>
    <w:semiHidden/>
    <w:rsid w:val="00420D18"/>
    <w:rPr>
      <w:color w:val="808080"/>
    </w:rPr>
  </w:style>
  <w:style w:type="character" w:customStyle="1" w:styleId="normaltextrun">
    <w:name w:val="normaltextrun"/>
    <w:basedOn w:val="Absatz-Standardschriftart"/>
    <w:rsid w:val="00420D18"/>
  </w:style>
  <w:style w:type="character" w:styleId="Fett">
    <w:name w:val="Strong"/>
    <w:basedOn w:val="Absatz-Standardschriftart"/>
    <w:uiPriority w:val="22"/>
    <w:qFormat/>
    <w:rsid w:val="00420D18"/>
    <w:rPr>
      <w:b/>
      <w:bCs/>
    </w:rPr>
  </w:style>
  <w:style w:type="paragraph" w:styleId="berarbeitung">
    <w:name w:val="Revision"/>
    <w:hidden/>
    <w:uiPriority w:val="99"/>
    <w:semiHidden/>
    <w:rsid w:val="009557B5"/>
    <w:pPr>
      <w:spacing w:after="0" w:line="240" w:lineRule="auto"/>
    </w:pPr>
    <w:rPr>
      <w:rFonts w:eastAsiaTheme="minorEastAsia"/>
      <w:color w:val="1A1A1A" w:themeColor="background1" w:themeShade="1A"/>
      <w:kern w:val="0"/>
      <w:sz w:val="22"/>
      <w:szCs w:val="20"/>
      <w:lang w:val="en-GB"/>
      <w14:ligatures w14:val="none"/>
    </w:rPr>
  </w:style>
  <w:style w:type="character" w:styleId="Kommentarzeichen">
    <w:name w:val="annotation reference"/>
    <w:basedOn w:val="Absatz-Standardschriftart"/>
    <w:uiPriority w:val="99"/>
    <w:semiHidden/>
    <w:unhideWhenUsed/>
    <w:rsid w:val="00B37B96"/>
    <w:rPr>
      <w:sz w:val="16"/>
      <w:szCs w:val="16"/>
    </w:rPr>
  </w:style>
  <w:style w:type="paragraph" w:styleId="Kommentartext">
    <w:name w:val="annotation text"/>
    <w:basedOn w:val="Standard"/>
    <w:link w:val="KommentartextZchn"/>
    <w:uiPriority w:val="99"/>
    <w:unhideWhenUsed/>
    <w:rsid w:val="00B37B96"/>
    <w:pPr>
      <w:spacing w:line="240" w:lineRule="auto"/>
    </w:pPr>
    <w:rPr>
      <w:sz w:val="20"/>
    </w:rPr>
  </w:style>
  <w:style w:type="character" w:customStyle="1" w:styleId="KommentartextZchn">
    <w:name w:val="Kommentartext Zchn"/>
    <w:basedOn w:val="Absatz-Standardschriftart"/>
    <w:link w:val="Kommentartext"/>
    <w:uiPriority w:val="99"/>
    <w:rsid w:val="00B37B96"/>
    <w:rPr>
      <w:rFonts w:eastAsiaTheme="minorEastAsia"/>
      <w:color w:val="1A1A1A" w:themeColor="background1" w:themeShade="1A"/>
      <w:kern w:val="0"/>
      <w:sz w:val="20"/>
      <w:szCs w:val="20"/>
      <w:lang w:val="en-GB"/>
      <w14:ligatures w14:val="none"/>
    </w:rPr>
  </w:style>
  <w:style w:type="paragraph" w:styleId="Kommentarthema">
    <w:name w:val="annotation subject"/>
    <w:basedOn w:val="Kommentartext"/>
    <w:next w:val="Kommentartext"/>
    <w:link w:val="KommentarthemaZchn"/>
    <w:uiPriority w:val="99"/>
    <w:semiHidden/>
    <w:unhideWhenUsed/>
    <w:rsid w:val="00B37B96"/>
    <w:rPr>
      <w:b/>
      <w:bCs/>
    </w:rPr>
  </w:style>
  <w:style w:type="character" w:customStyle="1" w:styleId="KommentarthemaZchn">
    <w:name w:val="Kommentarthema Zchn"/>
    <w:basedOn w:val="KommentartextZchn"/>
    <w:link w:val="Kommentarthema"/>
    <w:uiPriority w:val="99"/>
    <w:semiHidden/>
    <w:rsid w:val="00B37B96"/>
    <w:rPr>
      <w:rFonts w:eastAsiaTheme="minorEastAsia"/>
      <w:b/>
      <w:bCs/>
      <w:color w:val="1A1A1A" w:themeColor="background1" w:themeShade="1A"/>
      <w:kern w:val="0"/>
      <w:sz w:val="20"/>
      <w:szCs w:val="20"/>
      <w:lang w:val="en-GB"/>
      <w14:ligatures w14:val="none"/>
    </w:rPr>
  </w:style>
  <w:style w:type="paragraph" w:styleId="StandardWeb">
    <w:name w:val="Normal (Web)"/>
    <w:basedOn w:val="Standard"/>
    <w:uiPriority w:val="99"/>
    <w:semiHidden/>
    <w:unhideWhenUsed/>
    <w:rsid w:val="004046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541">
      <w:bodyDiv w:val="1"/>
      <w:marLeft w:val="0"/>
      <w:marRight w:val="0"/>
      <w:marTop w:val="0"/>
      <w:marBottom w:val="0"/>
      <w:divBdr>
        <w:top w:val="none" w:sz="0" w:space="0" w:color="auto"/>
        <w:left w:val="none" w:sz="0" w:space="0" w:color="auto"/>
        <w:bottom w:val="none" w:sz="0" w:space="0" w:color="auto"/>
        <w:right w:val="none" w:sz="0" w:space="0" w:color="auto"/>
      </w:divBdr>
      <w:divsChild>
        <w:div w:id="1705203695">
          <w:marLeft w:val="0"/>
          <w:marRight w:val="0"/>
          <w:marTop w:val="0"/>
          <w:marBottom w:val="0"/>
          <w:divBdr>
            <w:top w:val="none" w:sz="0" w:space="0" w:color="auto"/>
            <w:left w:val="none" w:sz="0" w:space="0" w:color="auto"/>
            <w:bottom w:val="none" w:sz="0" w:space="0" w:color="auto"/>
            <w:right w:val="none" w:sz="0" w:space="0" w:color="auto"/>
          </w:divBdr>
        </w:div>
      </w:divsChild>
    </w:div>
    <w:div w:id="269509443">
      <w:bodyDiv w:val="1"/>
      <w:marLeft w:val="0"/>
      <w:marRight w:val="0"/>
      <w:marTop w:val="0"/>
      <w:marBottom w:val="0"/>
      <w:divBdr>
        <w:top w:val="none" w:sz="0" w:space="0" w:color="auto"/>
        <w:left w:val="none" w:sz="0" w:space="0" w:color="auto"/>
        <w:bottom w:val="none" w:sz="0" w:space="0" w:color="auto"/>
        <w:right w:val="none" w:sz="0" w:space="0" w:color="auto"/>
      </w:divBdr>
    </w:div>
    <w:div w:id="293607783">
      <w:bodyDiv w:val="1"/>
      <w:marLeft w:val="0"/>
      <w:marRight w:val="0"/>
      <w:marTop w:val="0"/>
      <w:marBottom w:val="0"/>
      <w:divBdr>
        <w:top w:val="none" w:sz="0" w:space="0" w:color="auto"/>
        <w:left w:val="none" w:sz="0" w:space="0" w:color="auto"/>
        <w:bottom w:val="none" w:sz="0" w:space="0" w:color="auto"/>
        <w:right w:val="none" w:sz="0" w:space="0" w:color="auto"/>
      </w:divBdr>
    </w:div>
    <w:div w:id="669214100">
      <w:bodyDiv w:val="1"/>
      <w:marLeft w:val="0"/>
      <w:marRight w:val="0"/>
      <w:marTop w:val="0"/>
      <w:marBottom w:val="0"/>
      <w:divBdr>
        <w:top w:val="none" w:sz="0" w:space="0" w:color="auto"/>
        <w:left w:val="none" w:sz="0" w:space="0" w:color="auto"/>
        <w:bottom w:val="none" w:sz="0" w:space="0" w:color="auto"/>
        <w:right w:val="none" w:sz="0" w:space="0" w:color="auto"/>
      </w:divBdr>
    </w:div>
    <w:div w:id="697893637">
      <w:bodyDiv w:val="1"/>
      <w:marLeft w:val="0"/>
      <w:marRight w:val="0"/>
      <w:marTop w:val="0"/>
      <w:marBottom w:val="0"/>
      <w:divBdr>
        <w:top w:val="none" w:sz="0" w:space="0" w:color="auto"/>
        <w:left w:val="none" w:sz="0" w:space="0" w:color="auto"/>
        <w:bottom w:val="none" w:sz="0" w:space="0" w:color="auto"/>
        <w:right w:val="none" w:sz="0" w:space="0" w:color="auto"/>
      </w:divBdr>
    </w:div>
    <w:div w:id="998192991">
      <w:bodyDiv w:val="1"/>
      <w:marLeft w:val="0"/>
      <w:marRight w:val="0"/>
      <w:marTop w:val="0"/>
      <w:marBottom w:val="0"/>
      <w:divBdr>
        <w:top w:val="none" w:sz="0" w:space="0" w:color="auto"/>
        <w:left w:val="none" w:sz="0" w:space="0" w:color="auto"/>
        <w:bottom w:val="none" w:sz="0" w:space="0" w:color="auto"/>
        <w:right w:val="none" w:sz="0" w:space="0" w:color="auto"/>
      </w:divBdr>
    </w:div>
    <w:div w:id="1588804733">
      <w:bodyDiv w:val="1"/>
      <w:marLeft w:val="0"/>
      <w:marRight w:val="0"/>
      <w:marTop w:val="0"/>
      <w:marBottom w:val="0"/>
      <w:divBdr>
        <w:top w:val="none" w:sz="0" w:space="0" w:color="auto"/>
        <w:left w:val="none" w:sz="0" w:space="0" w:color="auto"/>
        <w:bottom w:val="none" w:sz="0" w:space="0" w:color="auto"/>
        <w:right w:val="none" w:sz="0" w:space="0" w:color="auto"/>
      </w:divBdr>
      <w:divsChild>
        <w:div w:id="463354519">
          <w:marLeft w:val="0"/>
          <w:marRight w:val="0"/>
          <w:marTop w:val="0"/>
          <w:marBottom w:val="0"/>
          <w:divBdr>
            <w:top w:val="none" w:sz="0" w:space="0" w:color="auto"/>
            <w:left w:val="none" w:sz="0" w:space="0" w:color="auto"/>
            <w:bottom w:val="none" w:sz="0" w:space="0" w:color="auto"/>
            <w:right w:val="none" w:sz="0" w:space="0" w:color="auto"/>
          </w:divBdr>
        </w:div>
      </w:divsChild>
    </w:div>
    <w:div w:id="1848329546">
      <w:bodyDiv w:val="1"/>
      <w:marLeft w:val="0"/>
      <w:marRight w:val="0"/>
      <w:marTop w:val="0"/>
      <w:marBottom w:val="0"/>
      <w:divBdr>
        <w:top w:val="none" w:sz="0" w:space="0" w:color="auto"/>
        <w:left w:val="none" w:sz="0" w:space="0" w:color="auto"/>
        <w:bottom w:val="none" w:sz="0" w:space="0" w:color="auto"/>
        <w:right w:val="none" w:sz="0" w:space="0" w:color="auto"/>
      </w:divBdr>
    </w:div>
    <w:div w:id="19278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ma.europa.eu/about-esma/data-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758B87D284262A50E9A75E65CD66C"/>
        <w:category>
          <w:name w:val="Allgemein"/>
          <w:gallery w:val="placeholder"/>
        </w:category>
        <w:types>
          <w:type w:val="bbPlcHdr"/>
        </w:types>
        <w:behaviors>
          <w:behavior w:val="content"/>
        </w:behaviors>
        <w:guid w:val="{25D3A54E-4043-499B-A3A3-D8B2F254CAB9}"/>
      </w:docPartPr>
      <w:docPartBody>
        <w:p w:rsidR="007D6FBE" w:rsidRDefault="00762CAA" w:rsidP="00762CAA">
          <w:pPr>
            <w:pStyle w:val="FA0758B87D284262A50E9A75E65CD66C"/>
          </w:pPr>
          <w:r w:rsidRPr="00DA1A90">
            <w:rPr>
              <w:rStyle w:val="Platzhaltertext"/>
            </w:rPr>
            <w:t>Click or tap here to enter text.</w:t>
          </w:r>
        </w:p>
      </w:docPartBody>
    </w:docPart>
    <w:docPart>
      <w:docPartPr>
        <w:name w:val="E16491F7964F49E3A6D1B8A0A569EF83"/>
        <w:category>
          <w:name w:val="Allgemein"/>
          <w:gallery w:val="placeholder"/>
        </w:category>
        <w:types>
          <w:type w:val="bbPlcHdr"/>
        </w:types>
        <w:behaviors>
          <w:behavior w:val="content"/>
        </w:behaviors>
        <w:guid w:val="{7C9768EC-84A2-4837-9B66-DBC26EDC30EC}"/>
      </w:docPartPr>
      <w:docPartBody>
        <w:p w:rsidR="007D6FBE" w:rsidRDefault="00762CAA" w:rsidP="00762CAA">
          <w:pPr>
            <w:pStyle w:val="E16491F7964F49E3A6D1B8A0A569EF83"/>
          </w:pPr>
          <w:r w:rsidRPr="00DA1A90">
            <w:rPr>
              <w:rStyle w:val="Platzhaltertext"/>
            </w:rPr>
            <w:t>Choose an item.</w:t>
          </w:r>
        </w:p>
      </w:docPartBody>
    </w:docPart>
    <w:docPart>
      <w:docPartPr>
        <w:name w:val="E0F8B48322CD44BB97F33885C11B1559"/>
        <w:category>
          <w:name w:val="Allgemein"/>
          <w:gallery w:val="placeholder"/>
        </w:category>
        <w:types>
          <w:type w:val="bbPlcHdr"/>
        </w:types>
        <w:behaviors>
          <w:behavior w:val="content"/>
        </w:behaviors>
        <w:guid w:val="{E5DA6FA9-6415-4C7E-B59E-88EFE264D2F3}"/>
      </w:docPartPr>
      <w:docPartBody>
        <w:p w:rsidR="007D6FBE" w:rsidRDefault="00762CAA" w:rsidP="00762CAA">
          <w:pPr>
            <w:pStyle w:val="E0F8B48322CD44BB97F33885C11B1559"/>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AA"/>
    <w:rsid w:val="00010672"/>
    <w:rsid w:val="00012431"/>
    <w:rsid w:val="00013877"/>
    <w:rsid w:val="00021A17"/>
    <w:rsid w:val="000254B9"/>
    <w:rsid w:val="000850BB"/>
    <w:rsid w:val="000954CF"/>
    <w:rsid w:val="000C451F"/>
    <w:rsid w:val="00133C25"/>
    <w:rsid w:val="001603C3"/>
    <w:rsid w:val="001C301C"/>
    <w:rsid w:val="003D09B5"/>
    <w:rsid w:val="0041526E"/>
    <w:rsid w:val="004E3CD3"/>
    <w:rsid w:val="00582FBC"/>
    <w:rsid w:val="006E24FD"/>
    <w:rsid w:val="00734A58"/>
    <w:rsid w:val="00755F07"/>
    <w:rsid w:val="00762CAA"/>
    <w:rsid w:val="007D0235"/>
    <w:rsid w:val="007D2CCF"/>
    <w:rsid w:val="007D6FBE"/>
    <w:rsid w:val="00817096"/>
    <w:rsid w:val="0088583E"/>
    <w:rsid w:val="008D3658"/>
    <w:rsid w:val="00963836"/>
    <w:rsid w:val="00A361C4"/>
    <w:rsid w:val="00A513B6"/>
    <w:rsid w:val="00A9519A"/>
    <w:rsid w:val="00AA5B41"/>
    <w:rsid w:val="00AE72FE"/>
    <w:rsid w:val="00AF3ED3"/>
    <w:rsid w:val="00AF7920"/>
    <w:rsid w:val="00C93313"/>
    <w:rsid w:val="00D11D54"/>
    <w:rsid w:val="00D81CC2"/>
    <w:rsid w:val="00D85D78"/>
    <w:rsid w:val="00D91A2E"/>
    <w:rsid w:val="00E412F3"/>
    <w:rsid w:val="00E4624D"/>
    <w:rsid w:val="00EB4C4B"/>
    <w:rsid w:val="00EC57B7"/>
    <w:rsid w:val="00F17122"/>
    <w:rsid w:val="00FA2DD3"/>
    <w:rsid w:val="00FD1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CAA"/>
    <w:rPr>
      <w:color w:val="808080"/>
    </w:rPr>
  </w:style>
  <w:style w:type="paragraph" w:customStyle="1" w:styleId="FA0758B87D284262A50E9A75E65CD66C">
    <w:name w:val="FA0758B87D284262A50E9A75E65CD66C"/>
    <w:rsid w:val="00762CAA"/>
  </w:style>
  <w:style w:type="paragraph" w:customStyle="1" w:styleId="E16491F7964F49E3A6D1B8A0A569EF83">
    <w:name w:val="E16491F7964F49E3A6D1B8A0A569EF83"/>
    <w:rsid w:val="00762CAA"/>
  </w:style>
  <w:style w:type="paragraph" w:customStyle="1" w:styleId="E0F8B48322CD44BB97F33885C11B1559">
    <w:name w:val="E0F8B48322CD44BB97F33885C11B1559"/>
    <w:rsid w:val="00762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9E63-08E3-4D56-AAED-0DD27DA4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5131</Words>
  <Characters>32327</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Röckendorf, Julian</cp:lastModifiedBy>
  <cp:revision>33</cp:revision>
  <dcterms:created xsi:type="dcterms:W3CDTF">2025-04-07T06:57:00Z</dcterms:created>
  <dcterms:modified xsi:type="dcterms:W3CDTF">2025-04-14T09:48:00Z</dcterms:modified>
</cp:coreProperties>
</file>