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42AAFBB0" w:rsidR="007E7997" w:rsidRPr="00C01571" w:rsidRDefault="00113E80" w:rsidP="00D77369">
          <w:pPr>
            <w:pStyle w:val="Subtitl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Content>
            <w:sdt>
              <w:sdtPr>
                <w:id w:val="651570699"/>
                <w:text/>
              </w:sdtPr>
              <w:sdtEndPr>
                <w:rPr>
                  <w:rStyle w:val="PlaceholderText"/>
                  <w:color w:val="808080"/>
                </w:rPr>
              </w:sdtEndPr>
              <w:sdtContent>
                <w:tc>
                  <w:tcPr>
                    <w:tcW w:w="4531" w:type="dxa"/>
                  </w:tcPr>
                  <w:p w14:paraId="5C8A6928" w14:textId="6AC52DDA" w:rsidR="00E40D2C" w:rsidRPr="00557BD2" w:rsidRDefault="002E7EED" w:rsidP="00743CD9">
                    <w:r>
                      <w:rPr>
                        <w:rStyle w:val="PlaceholderText"/>
                      </w:rPr>
                      <w:t xml:space="preserve"> I</w:t>
                    </w:r>
                    <w:r w:rsidRPr="00091050">
                      <w:rPr>
                        <w:rStyle w:val="PlaceholderText"/>
                      </w:rPr>
                      <w:t>nternational Organization for Standardization (ISO) TC 68</w:t>
                    </w:r>
                    <w:r>
                      <w:rPr>
                        <w:rStyle w:val="PlaceholderText"/>
                      </w:rPr>
                      <w:t xml:space="preserve"> (Financial Services) </w:t>
                    </w:r>
                    <w:r w:rsidRPr="00091050">
                      <w:rPr>
                        <w:rStyle w:val="PlaceholderText"/>
                      </w:rPr>
                      <w:t>AG2</w:t>
                    </w:r>
                    <w:r>
                      <w:rPr>
                        <w:rStyle w:val="PlaceholderText"/>
                      </w:rPr>
                      <w:t xml:space="preserve"> – Standards Advisory Group (SAG).</w:t>
                    </w:r>
                  </w:p>
                </w:tc>
              </w:sdtContent>
            </w:sdt>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22ECE1B6" w14:textId="5B2FF720" w:rsidR="00E40D2C" w:rsidRDefault="002E7EED"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996560612" w:edGrp="everyone" w:displacedByCustomXml="prev"/>
            <w:tc>
              <w:tcPr>
                <w:tcW w:w="4531" w:type="dxa"/>
              </w:tcPr>
              <w:p w14:paraId="7AB9C082" w14:textId="376D04DC" w:rsidR="00E40D2C" w:rsidRDefault="002E7EED"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22924511" w:edGrp="everyone" w:displacedByCustomXml="prev"/>
            <w:tc>
              <w:tcPr>
                <w:tcW w:w="4531" w:type="dxa"/>
              </w:tcPr>
              <w:p w14:paraId="5BB12D35" w14:textId="30E0BBBC" w:rsidR="00E40D2C" w:rsidRPr="00557BD2" w:rsidRDefault="002E7EED" w:rsidP="00743CD9">
                <w:r>
                  <w:t>Switzerland</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Heading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20112533" w14:textId="77777777" w:rsidR="00113E80" w:rsidRDefault="00113E80" w:rsidP="00113E80">
      <w:permStart w:id="495002546" w:edGrp="everyone"/>
      <w:r>
        <w:t>TYPE YOUR TEXT HERE</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7BE8A3E1" w14:textId="77777777" w:rsidR="00113E80" w:rsidRDefault="00113E80" w:rsidP="00113E80">
      <w:permStart w:id="212869392" w:edGrp="everyone"/>
      <w:r>
        <w:t>TYPE YOUR TEXT HERE</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77777777" w:rsidR="00113E80" w:rsidRDefault="00113E80" w:rsidP="00113E80">
      <w:permStart w:id="633560411" w:edGrp="everyone"/>
      <w:r>
        <w:t>TYPE YOUR TEXT HERE</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77777777" w:rsidR="00113E80" w:rsidRDefault="00113E80" w:rsidP="00113E80">
      <w:permStart w:id="953572439" w:edGrp="everyone"/>
      <w:r>
        <w:t>TYPE YOUR TEXT HERE</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77777777" w:rsidR="00113E80" w:rsidRDefault="00113E80" w:rsidP="00113E80">
      <w:permStart w:id="2044342554" w:edGrp="everyone"/>
      <w:r>
        <w:t>TYPE YOUR TEXT HERE</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023E9D3C" w14:textId="77777777" w:rsidR="00113E80" w:rsidRDefault="00113E80" w:rsidP="00113E80">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4F4CDE5" w14:textId="77777777" w:rsidR="00113E80" w:rsidRDefault="00113E80" w:rsidP="00113E80">
      <w:permStart w:id="710046495" w:edGrp="everyone"/>
      <w:r>
        <w:lastRenderedPageBreak/>
        <w:t>TYPE YOUR TEXT HERE</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77777777" w:rsidR="00113E80" w:rsidRDefault="00113E80" w:rsidP="00113E80">
      <w:permStart w:id="1760119091" w:edGrp="everyone"/>
      <w:r>
        <w:t>TYPE YOUR TEXT HERE</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77777777" w:rsidR="00113E80" w:rsidRDefault="00113E80" w:rsidP="00113E80">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77777777" w:rsidR="00113E80" w:rsidRDefault="00113E80" w:rsidP="00113E80">
      <w:permStart w:id="2082210732" w:edGrp="everyone"/>
      <w:r>
        <w:t>TYPE YOUR TEXT HERE</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lastRenderedPageBreak/>
        <w:t>&lt;ESMA_QUESTION_CSDC_11&gt;</w:t>
      </w:r>
    </w:p>
    <w:p w14:paraId="7FE7A2BC" w14:textId="77777777" w:rsidR="00113E80" w:rsidRDefault="00113E80" w:rsidP="00113E80">
      <w:permStart w:id="121250484" w:edGrp="everyone"/>
      <w:r>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EEE2452" w14:textId="1CA1113A" w:rsidR="00113E80" w:rsidRDefault="002E7EED" w:rsidP="002E7EED">
      <w:permStart w:id="1944546360" w:edGrp="everyone"/>
      <w:r w:rsidRPr="002E7EED">
        <w:t xml:space="preserve">The </w:t>
      </w:r>
      <w:r>
        <w:t>SAG</w:t>
      </w:r>
      <w:r w:rsidRPr="002E7EED">
        <w:t xml:space="preserve"> fully support</w:t>
      </w:r>
      <w:r>
        <w:t>s</w:t>
      </w:r>
      <w:r w:rsidRPr="002E7EED">
        <w:t xml:space="preserve"> the initiative to leverage open international standards by investment firms to enhance settlement transaction discipline.</w:t>
      </w:r>
      <w:r>
        <w:t xml:space="preserve"> I</w:t>
      </w:r>
      <w:r w:rsidRPr="002E7EED">
        <w:t xml:space="preserve">n a cross-border context, global open standards such </w:t>
      </w:r>
      <w:r>
        <w:t>as the LEI</w:t>
      </w:r>
      <w:r w:rsidRPr="002E7EED">
        <w:t xml:space="preserve"> (L</w:t>
      </w:r>
      <w:r>
        <w:t>egal Entity Identifier, ISO 17442</w:t>
      </w:r>
      <w:r w:rsidRPr="002E7EED">
        <w:t>) can remove administrative frictions inherent with jurisdiction-specific standards or identifiers.</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2A7B2D66" w14:textId="16461189" w:rsidR="00113E80" w:rsidRDefault="002E7EED" w:rsidP="00113E80">
      <w:permStart w:id="368068282" w:edGrp="everyone"/>
      <w:r>
        <w:t xml:space="preserve">The SAG </w:t>
      </w:r>
      <w:r w:rsidRPr="002E7EED">
        <w:t>supports the use of</w:t>
      </w:r>
      <w:r w:rsidR="00ED02D4">
        <w:t xml:space="preserve"> </w:t>
      </w:r>
      <w:r w:rsidRPr="002E7EED">
        <w:t>ISO 20</w:t>
      </w:r>
      <w:r>
        <w:t>0</w:t>
      </w:r>
      <w:r w:rsidRPr="002E7EED">
        <w:t>22 messaging standards and recommends the use of the LEI to identify counterparties as part of the messages in order to enhance capacity to read and analy</w:t>
      </w:r>
      <w:r>
        <w:t>z</w:t>
      </w:r>
      <w:r w:rsidRPr="002E7EED">
        <w:t xml:space="preserve">e </w:t>
      </w:r>
      <w:r>
        <w:t>data exchanged in ISO 20022 messages.</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lastRenderedPageBreak/>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77777777" w:rsidR="00113E80" w:rsidRDefault="00113E80" w:rsidP="00113E80">
      <w:permStart w:id="145703960" w:edGrp="everyone"/>
      <w:r>
        <w:t>TYPE YOUR TEXT HERE</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lastRenderedPageBreak/>
        <w:t>&lt;ESMA_QUESTION_CSDC_17&gt;</w:t>
      </w:r>
    </w:p>
    <w:p w14:paraId="0502D66B" w14:textId="77777777" w:rsidR="00113E80" w:rsidRDefault="00113E80" w:rsidP="00113E80">
      <w:permStart w:id="1657810091" w:edGrp="everyone"/>
      <w:r>
        <w:t>TYPE YOUR TEXT HERE</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5A609F2E" w14:textId="77777777" w:rsidR="00113E80" w:rsidRDefault="00113E80" w:rsidP="00113E80">
      <w:permStart w:id="628694048" w:edGrp="everyone"/>
      <w:r>
        <w:t>TYPE YOUR TEXT HERE</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77777777" w:rsidR="00113E80" w:rsidRDefault="00113E80" w:rsidP="00113E80">
      <w:permStart w:id="272843166" w:edGrp="everyone"/>
      <w:r>
        <w:t>TYPE YOUR TEXT HERE</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have other suggestions to incentivise partial settlement? If yes, please elaborate.</w:t>
      </w:r>
    </w:p>
    <w:p w14:paraId="4E4F0DBD" w14:textId="77777777" w:rsidR="00113E80" w:rsidRDefault="00113E80" w:rsidP="00113E80">
      <w:r>
        <w:t>&lt;ESMA_QUESTION_CSDC_21&gt;</w:t>
      </w:r>
    </w:p>
    <w:p w14:paraId="49CEEDF7" w14:textId="77777777" w:rsidR="00113E80" w:rsidRDefault="00113E80" w:rsidP="00113E80">
      <w:permStart w:id="117865647" w:edGrp="everyone"/>
      <w:r>
        <w:t>TYPE YOUR TEXT HERE</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77777777" w:rsidR="00113E80" w:rsidRDefault="00113E80" w:rsidP="00113E80">
      <w:permStart w:id="591729658" w:edGrp="everyone"/>
      <w:r>
        <w:t>TYPE YOUR TEXT HERE</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77777777" w:rsidR="00113E80" w:rsidRDefault="00113E80" w:rsidP="00113E80">
      <w:permStart w:id="367345271" w:edGrp="everyone"/>
      <w:r>
        <w:t>TYPE YOUR TEXT HERE</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lastRenderedPageBreak/>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32AFB811" w14:textId="77777777" w:rsidR="00113E80" w:rsidRDefault="00113E80" w:rsidP="00113E80">
      <w:permStart w:id="1900937655" w:edGrp="everyone"/>
      <w:r>
        <w:t>TYPE YOUR TEXT HERE</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77777777" w:rsidR="00113E80" w:rsidRDefault="00113E80" w:rsidP="00113E80">
      <w:permStart w:id="151126903" w:edGrp="everyone"/>
      <w:r>
        <w:t>TYPE YOUR TEXT HERE</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lastRenderedPageBreak/>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5A4397DC" w14:textId="77777777" w:rsidR="00113E80" w:rsidRDefault="00113E80" w:rsidP="00113E80">
      <w:permStart w:id="556666167" w:edGrp="everyone"/>
      <w:r>
        <w:t>TYPE YOUR TEXT HERE</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77777777" w:rsidR="00113E80" w:rsidRDefault="00113E80" w:rsidP="00113E80">
      <w:permStart w:id="219745450" w:edGrp="everyone"/>
      <w:r>
        <w:t>TYPE YOUR TEXT HERE</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68128E5" w14:textId="77777777" w:rsidR="00113E80" w:rsidRDefault="00113E80" w:rsidP="00113E80">
      <w:permStart w:id="970873259" w:edGrp="everyone"/>
      <w:r>
        <w:t>TYPE YOUR TEXT HERE</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77777777" w:rsidR="00113E80" w:rsidRDefault="00113E80" w:rsidP="00113E80">
      <w:permStart w:id="228340192" w:edGrp="everyone"/>
      <w:r>
        <w:t>TYPE YOUR TEXT HERE</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7777777"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77777777" w:rsidR="00113E80" w:rsidRDefault="00113E80" w:rsidP="00113E80">
      <w:permStart w:id="641089610" w:edGrp="everyone"/>
      <w:r>
        <w:t>TYPE YOUR TEXT HERE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77777777" w:rsidR="00113E80" w:rsidRDefault="00113E80" w:rsidP="00113E80">
      <w:permStart w:id="1185494481" w:edGrp="everyone"/>
      <w:r>
        <w:t>TYPE YOUR TEXT HERE</w:t>
      </w:r>
    </w:p>
    <w:permEnd w:id="1185494481"/>
    <w:p w14:paraId="3DD66736" w14:textId="77777777" w:rsidR="00113E80" w:rsidRDefault="00113E80" w:rsidP="00113E80">
      <w:r>
        <w:lastRenderedPageBreak/>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E84343E" w14:textId="77777777" w:rsidR="00113E80" w:rsidRDefault="00113E80" w:rsidP="00113E80">
      <w:permStart w:id="409142589" w:edGrp="everyone"/>
      <w:r>
        <w:t>TYPE YOUR TEXT HERE</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7F77CF68" w14:textId="77777777" w:rsidR="00113E80" w:rsidRDefault="00113E80" w:rsidP="00113E80">
      <w:permStart w:id="2044474510" w:edGrp="everyone"/>
      <w:r>
        <w:t>TYPE YOUR TEXT HERE</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4A4CB9D" w14:textId="77777777" w:rsidR="00113E80" w:rsidRDefault="00113E80" w:rsidP="00113E80">
      <w:permStart w:id="260911590" w:edGrp="everyone"/>
      <w:r>
        <w:t>TYPE YOUR TEXT HERE</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77777777" w:rsidR="00113E80" w:rsidRDefault="00113E80" w:rsidP="00113E80">
      <w:permStart w:id="610287984" w:edGrp="everyone"/>
      <w:r>
        <w:t>TYPE YOUR TEXT HERE</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77777777" w:rsidR="00113E80" w:rsidRDefault="00113E80" w:rsidP="00113E80">
      <w:permStart w:id="1084698351" w:edGrp="everyone"/>
      <w:r>
        <w:t>TYPE YOUR TEXT HERE</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77777777" w:rsidR="00113E80" w:rsidRDefault="00113E80" w:rsidP="00113E80">
      <w:permStart w:id="198186485" w:edGrp="everyone"/>
      <w:r>
        <w:t>TYPE YOUR TEXT HERE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that the transaction type should not become a mandatory matching field under Article 5(4) of CDR 2018/1229?</w:t>
      </w:r>
    </w:p>
    <w:p w14:paraId="7F94DE8B" w14:textId="77777777" w:rsidR="00113E80" w:rsidRDefault="00113E80" w:rsidP="00113E80">
      <w:r>
        <w:t>&lt;ESMA_QUESTION_CSDC_44&gt;</w:t>
      </w:r>
    </w:p>
    <w:p w14:paraId="0D2A711C" w14:textId="77777777" w:rsidR="00113E80" w:rsidRDefault="00113E80" w:rsidP="00113E80">
      <w:permStart w:id="1475766194" w:edGrp="everyone"/>
      <w:r>
        <w:t>TYPE YOUR TEXT HERE</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77777777" w:rsidR="00113E80" w:rsidRDefault="00113E80" w:rsidP="00113E80">
      <w:permStart w:id="961432849" w:edGrp="everyone"/>
      <w:r>
        <w:t>TYPE YOUR TEXT HERE</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77777777" w:rsidR="00113E80" w:rsidRDefault="00113E80" w:rsidP="00113E80">
      <w:permStart w:id="904798664" w:edGrp="everyone"/>
      <w:r>
        <w:t>TYPE YOUR TEXT HERE</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4C3810C" w14:textId="77777777" w:rsidR="00113E80" w:rsidRDefault="00113E80" w:rsidP="00113E80">
      <w:permStart w:id="355869798" w:edGrp="everyone"/>
      <w:r>
        <w:lastRenderedPageBreak/>
        <w:t>TYPE YOUR TEXT HERE</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77777777" w:rsidR="00113E80" w:rsidRDefault="00113E80" w:rsidP="00113E80">
      <w:permStart w:id="1531868113" w:edGrp="everyone"/>
      <w:r>
        <w:t>TYPE YOUR TEXT HERE</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77777777" w:rsidR="00113E80" w:rsidRDefault="00113E80" w:rsidP="00113E80">
      <w:permStart w:id="150763568" w:edGrp="everyone"/>
      <w:r>
        <w:t>TYPE YOUR TEXT HERE</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022777CA" w14:textId="77777777" w:rsidR="00113E80" w:rsidRDefault="00113E80" w:rsidP="00113E80">
      <w:permStart w:id="457271116" w:edGrp="everyone"/>
      <w:r>
        <w:lastRenderedPageBreak/>
        <w:t>TYPE YOUR TEXT HERE</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77777777" w:rsidR="00113E80" w:rsidRDefault="00113E80" w:rsidP="00113E80">
      <w:permStart w:id="1535070435" w:edGrp="everyone"/>
      <w:r>
        <w:t>TYPE YOUR TEXT HERE</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77777777" w:rsidR="00113E80" w:rsidRDefault="00113E80"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lastRenderedPageBreak/>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9A927" w14:textId="77777777" w:rsidR="00C6091D" w:rsidRDefault="00C6091D" w:rsidP="007E7997">
      <w:pPr>
        <w:spacing w:line="240" w:lineRule="auto"/>
      </w:pPr>
      <w:r>
        <w:separator/>
      </w:r>
    </w:p>
  </w:endnote>
  <w:endnote w:type="continuationSeparator" w:id="0">
    <w:p w14:paraId="3D024DC7" w14:textId="77777777" w:rsidR="00C6091D" w:rsidRDefault="00C6091D" w:rsidP="007E7997">
      <w:pPr>
        <w:spacing w:line="240" w:lineRule="auto"/>
      </w:pPr>
      <w:r>
        <w:continuationSeparator/>
      </w:r>
    </w:p>
  </w:endnote>
  <w:endnote w:type="continuationNotice" w:id="1">
    <w:p w14:paraId="58D96AE7" w14:textId="77777777" w:rsidR="00C6091D" w:rsidRDefault="00C60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0DB9" w14:textId="77777777" w:rsidR="00C6091D" w:rsidRDefault="00C6091D" w:rsidP="007E7997">
      <w:pPr>
        <w:spacing w:line="240" w:lineRule="auto"/>
      </w:pPr>
      <w:r>
        <w:separator/>
      </w:r>
    </w:p>
  </w:footnote>
  <w:footnote w:type="continuationSeparator" w:id="0">
    <w:p w14:paraId="0FB19752" w14:textId="77777777" w:rsidR="00C6091D" w:rsidRDefault="00C6091D" w:rsidP="007E7997">
      <w:pPr>
        <w:spacing w:line="240" w:lineRule="auto"/>
      </w:pPr>
      <w:r>
        <w:continuationSeparator/>
      </w:r>
    </w:p>
  </w:footnote>
  <w:footnote w:type="continuationNotice" w:id="1">
    <w:p w14:paraId="3F19AC18" w14:textId="77777777" w:rsidR="00C6091D" w:rsidRDefault="00C609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Header"/>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E7EED"/>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27B"/>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37447"/>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91D"/>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2D4"/>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56"/>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character" w:customStyle="1" w:styleId="normaltextrun">
    <w:name w:val="normaltextrun"/>
    <w:basedOn w:val="DefaultParagraphFon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cehold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cehold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E4CF9"/>
    <w:rsid w:val="005D66AB"/>
    <w:rsid w:val="006954E6"/>
    <w:rsid w:val="006D3543"/>
    <w:rsid w:val="00701E25"/>
    <w:rsid w:val="00813189"/>
    <w:rsid w:val="008222A0"/>
    <w:rsid w:val="00836D47"/>
    <w:rsid w:val="00837447"/>
    <w:rsid w:val="009B6B9C"/>
    <w:rsid w:val="00B07345"/>
    <w:rsid w:val="00B22006"/>
    <w:rsid w:val="00B46CAE"/>
    <w:rsid w:val="00D52831"/>
    <w:rsid w:val="00DC3796"/>
    <w:rsid w:val="00DC4211"/>
    <w:rsid w:val="00EE3D34"/>
    <w:rsid w:val="00F804DC"/>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307</Value>
      <Value>282</Value>
      <Value>9</Value>
      <Value>296</Value>
    </TaxCatchAll>
    <_dlc_DocId xmlns="d0fb0f98-34f9-4d57-9559-eb8efd17aa5e">ESMA74-2119945925-2205</_dlc_DocId>
    <_dlc_DocIdUrl xmlns="d0fb0f98-34f9-4d57-9559-eb8efd17aa5e">
      <Url>https://securitiesandmarketsauth.sharepoint.com/sites/sherpa-trdu/_layouts/15/DocIdRedir.aspx?ID=ESMA74-2119945925-2205</Url>
      <Description>ESMA74-2119945925-2205</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2FA012-DAE9-4B61-B234-F718242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2723</Words>
  <Characters>15524</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Peter Warms</cp:lastModifiedBy>
  <cp:revision>4</cp:revision>
  <cp:lastPrinted>2023-09-09T00:53:00Z</cp:lastPrinted>
  <dcterms:created xsi:type="dcterms:W3CDTF">2025-04-09T17:42:00Z</dcterms:created>
  <dcterms:modified xsi:type="dcterms:W3CDTF">2025-04-11T18:27:00Z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