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42AAFBB0" w:rsidR="007E7997" w:rsidRPr="00C01571" w:rsidRDefault="00113E80" w:rsidP="00D77369">
          <w:pPr>
            <w:pStyle w:val="Subtitl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headerReference w:type="first" r:id="rId16"/>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8" w:history="1">
            <w:r w:rsidRPr="005B6B12">
              <w:rPr>
                <w:rStyle w:val="Hyperlink"/>
              </w:rPr>
              <w:t>www.esma.europa.eu</w:t>
            </w:r>
          </w:hyperlink>
          <w:r w:rsidRPr="005B6B12">
            <w:t xml:space="preserve"> under the heading </w:t>
          </w:r>
          <w:r w:rsidRPr="00025A7F">
            <w:rPr>
              <w:rStyle w:val="Hyperlink"/>
            </w:rPr>
            <w:t>‘</w:t>
          </w:r>
          <w:hyperlink r:id="rId19"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EndPr/>
          <w:sdtContent>
            <w:tc>
              <w:tcPr>
                <w:tcW w:w="4531" w:type="dxa"/>
              </w:tcPr>
              <w:p w14:paraId="5C8A6928" w14:textId="0ACAD0AC" w:rsidR="00E40D2C" w:rsidRPr="00557BD2" w:rsidRDefault="001668C5" w:rsidP="00743CD9">
                <w:r>
                  <w:t>KDD – Central Securities Clearing Corporation</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7282155E" w:rsidR="00E40D2C" w:rsidRDefault="001668C5" w:rsidP="00743CD9">
                <w:r>
                  <w:t>CSD</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996560612" w:edGrp="everyone" w:displacedByCustomXml="prev"/>
            <w:tc>
              <w:tcPr>
                <w:tcW w:w="4531" w:type="dxa"/>
              </w:tcPr>
              <w:p w14:paraId="7AB9C082" w14:textId="11CDF801" w:rsidR="00E40D2C" w:rsidRDefault="001668C5"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68F4C140" w:rsidR="00E40D2C" w:rsidRPr="00557BD2" w:rsidRDefault="001668C5" w:rsidP="00743CD9">
                <w:r>
                  <w:t>Slovenia</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20112533" w14:textId="77777777" w:rsidR="00113E80" w:rsidRDefault="00113E80" w:rsidP="00113E80">
      <w:permStart w:id="495002546" w:edGrp="everyone"/>
      <w:r>
        <w:t>TYPE YOUR TEXT HERE</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77777777" w:rsidR="00113E80" w:rsidRDefault="00113E80" w:rsidP="00113E80">
      <w:permStart w:id="212869392" w:edGrp="everyone"/>
      <w:r>
        <w:t>TYPE YOUR TEXT HERE</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77777777" w:rsidR="00113E80" w:rsidRDefault="00113E80" w:rsidP="00113E80">
      <w:permStart w:id="633560411" w:edGrp="everyone"/>
      <w:r>
        <w:t>TYPE YOUR TEXT HERE</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77777777" w:rsidR="00113E80" w:rsidRDefault="00113E80" w:rsidP="00113E80">
      <w:permStart w:id="953572439" w:edGrp="everyone"/>
      <w:r>
        <w:t>TYPE YOUR TEXT HERE</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77777777" w:rsidR="00113E80" w:rsidRDefault="00113E80" w:rsidP="00113E80">
      <w:permStart w:id="2044342554" w:edGrp="everyone"/>
      <w:r>
        <w:t>TYPE YOUR TEXT HERE</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77777777" w:rsidR="00113E80" w:rsidRDefault="00113E80" w:rsidP="00113E80">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77777777" w:rsidR="00113E80" w:rsidRDefault="00113E80" w:rsidP="00113E80">
      <w:permStart w:id="710046495" w:edGrp="everyone"/>
      <w:r>
        <w:lastRenderedPageBreak/>
        <w:t>TYPE YOUR TEXT HERE</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77777777" w:rsidR="00113E80" w:rsidRDefault="00113E80" w:rsidP="00113E80">
      <w:permStart w:id="1760119091" w:edGrp="everyone"/>
      <w:r>
        <w:t>TYPE YOUR TEXT HERE</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77777777" w:rsidR="00113E80" w:rsidRDefault="00113E80" w:rsidP="00113E80">
      <w:permStart w:id="2082210732" w:edGrp="everyone"/>
      <w:r>
        <w:t>TYPE YOUR TEXT HERE</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lastRenderedPageBreak/>
        <w:t>&lt;ESMA_QUESTION_CSDC_11&gt;</w:t>
      </w:r>
    </w:p>
    <w:p w14:paraId="7FE7A2BC" w14:textId="77777777" w:rsidR="00113E80" w:rsidRDefault="00113E80" w:rsidP="00113E80">
      <w:permStart w:id="121250484" w:edGrp="everyone"/>
      <w:r>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EEE2452" w14:textId="77777777" w:rsidR="00113E80" w:rsidRDefault="00113E80" w:rsidP="00113E80">
      <w:permStart w:id="1944546360" w:edGrp="everyone"/>
      <w:r>
        <w:t>TYPE YOUR TEXT HERE</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2A7B2D66" w14:textId="77777777" w:rsidR="00113E80" w:rsidRDefault="00113E80" w:rsidP="00113E80">
      <w:permStart w:id="368068282" w:edGrp="everyone"/>
      <w:r>
        <w:t>TYPE YOUR TEXT HERE</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lastRenderedPageBreak/>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77777777" w:rsidR="00113E80" w:rsidRDefault="00113E80" w:rsidP="00113E80">
      <w:permStart w:id="145703960" w:edGrp="everyone"/>
      <w:r>
        <w:t>TYPE YOUR TEXT HERE</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77777777" w:rsidR="00113E80" w:rsidRDefault="00113E80" w:rsidP="00113E80">
      <w:permStart w:id="1657810091" w:edGrp="everyone"/>
      <w:r>
        <w:t>TYPE YOUR TEXT HERE</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lastRenderedPageBreak/>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19CE09DB" w14:textId="77777777" w:rsidR="0034202C" w:rsidRPr="00047A89" w:rsidRDefault="0034202C" w:rsidP="0034202C">
      <w:pPr>
        <w:spacing w:after="0" w:line="240" w:lineRule="auto"/>
      </w:pPr>
      <w:permStart w:id="628694048" w:edGrp="everyone"/>
      <w:r w:rsidRPr="00047A89">
        <w:t>KDD supports amendments to Art. 10 (CDR 2018/1229), whereby the interpretation of the final wording should allow for:</w:t>
      </w:r>
    </w:p>
    <w:p w14:paraId="105CE949" w14:textId="77777777" w:rsidR="0034202C" w:rsidRPr="00047A89" w:rsidRDefault="0034202C" w:rsidP="0034202C">
      <w:pPr>
        <w:spacing w:after="0" w:line="240" w:lineRule="auto"/>
      </w:pPr>
      <w:r w:rsidRPr="00047A89">
        <w:t xml:space="preserve">(a) flexibility of potential users of partial settlement functionality as to use or not to use such functionality, </w:t>
      </w:r>
    </w:p>
    <w:p w14:paraId="576E4283" w14:textId="77777777" w:rsidR="0034202C" w:rsidRPr="00047A89" w:rsidRDefault="0034202C" w:rsidP="0034202C">
      <w:pPr>
        <w:spacing w:after="0" w:line="240" w:lineRule="auto"/>
      </w:pPr>
      <w:r w:rsidRPr="00047A89">
        <w:t>(b) flexibility of CSDs, as each CSD is obliged to consider market specificities and its clients’ needs (e.g. direct holding model, specificities of smaller markets, smaller and cost-sensitive clients, etc), and</w:t>
      </w:r>
    </w:p>
    <w:p w14:paraId="3BFA8B7F" w14:textId="77777777" w:rsidR="0034202C" w:rsidRPr="00047A89" w:rsidRDefault="0034202C" w:rsidP="0034202C">
      <w:pPr>
        <w:spacing w:after="0" w:line="240" w:lineRule="auto"/>
      </w:pPr>
      <w:r w:rsidRPr="00047A89">
        <w:t xml:space="preserve">(c) pursuing the final goal of improving settlement discipline by encouraging CSDs to amend operational models in segments where any positive effects to settlement discipline are expected. </w:t>
      </w:r>
    </w:p>
    <w:p w14:paraId="15C65883" w14:textId="77777777" w:rsidR="0034202C" w:rsidRPr="00047A89" w:rsidRDefault="0034202C" w:rsidP="0034202C">
      <w:pPr>
        <w:spacing w:after="0" w:line="240" w:lineRule="auto"/>
      </w:pPr>
    </w:p>
    <w:p w14:paraId="753E571A" w14:textId="77777777" w:rsidR="0034202C" w:rsidRPr="00047A89" w:rsidRDefault="0034202C" w:rsidP="0034202C">
      <w:pPr>
        <w:spacing w:after="0" w:line="240" w:lineRule="auto"/>
      </w:pPr>
      <w:r w:rsidRPr="00047A89">
        <w:t>In C</w:t>
      </w:r>
      <w:r>
        <w:t xml:space="preserve">onsultation </w:t>
      </w:r>
      <w:r w:rsidRPr="00047A89">
        <w:t>P</w:t>
      </w:r>
      <w:r>
        <w:t>aper</w:t>
      </w:r>
      <w:r w:rsidRPr="00047A89">
        <w:t xml:space="preserve"> (page 29, pt. 97) ESMA acknowledges that partial settlement may not be useful for some type of transactions, such as collateral operations with central banks or initial issuances. Also other circumstances exist under which the use of partial settlement would not be applicable or its mandatory use would represent disproportionate costs compared to the benefits. </w:t>
      </w:r>
    </w:p>
    <w:p w14:paraId="73A08584" w14:textId="77777777" w:rsidR="0034202C" w:rsidRPr="00047A89" w:rsidRDefault="0034202C" w:rsidP="0034202C">
      <w:pPr>
        <w:spacing w:after="0" w:line="240" w:lineRule="auto"/>
      </w:pPr>
    </w:p>
    <w:p w14:paraId="702F0991" w14:textId="77777777" w:rsidR="0034202C" w:rsidRPr="00047A89" w:rsidRDefault="0034202C" w:rsidP="0034202C">
      <w:pPr>
        <w:spacing w:after="0" w:line="240" w:lineRule="auto"/>
      </w:pPr>
      <w:r w:rsidRPr="00047A89">
        <w:t>Specifically for Slovenian market, to assure the effectiveness of potential reduction of settlement fails, partial settlement functionality is available on certain securities accounts opened in KDD system. Such accounts are primarily intended to wholesale clients, who might potentially benefit from additional services such as partial settlement. There are no restrictions for any KDD participant or participant’s client to open securities account(s) that allows partial settlement functionality.</w:t>
      </w:r>
    </w:p>
    <w:p w14:paraId="578F002D" w14:textId="77777777" w:rsidR="0034202C" w:rsidRPr="00047A89" w:rsidRDefault="0034202C" w:rsidP="0034202C">
      <w:pPr>
        <w:spacing w:after="0" w:line="240" w:lineRule="auto"/>
      </w:pPr>
    </w:p>
    <w:p w14:paraId="2406ABF8" w14:textId="77777777" w:rsidR="0034202C" w:rsidRPr="00047A89" w:rsidRDefault="0034202C" w:rsidP="0034202C">
      <w:pPr>
        <w:spacing w:after="0" w:line="240" w:lineRule="auto"/>
      </w:pPr>
      <w:r w:rsidRPr="00047A89">
        <w:t xml:space="preserve">The rationale for partial settlement being available only on specific account type is evident. Namely, due to predominantly direct holding regime and retail clients with direct accounts </w:t>
      </w:r>
      <w:r w:rsidRPr="00047A89">
        <w:lastRenderedPageBreak/>
        <w:t>opened in KDD, partial settlement is for a good reason not available on accounts usually utilised by retail clients, since KDD participants (account operators) by rule check their clients’ securities balance before any intended securities transactions, and trading is not even instructed in case of insufficient securities balance. Hence, partial settlement functionality would be useless for such accounts. Nevertheless, retail client can still open account with partial settlement functionality when needed.</w:t>
      </w:r>
    </w:p>
    <w:p w14:paraId="2F0018F8" w14:textId="77777777" w:rsidR="0034202C" w:rsidRPr="00047A89" w:rsidRDefault="0034202C" w:rsidP="0034202C">
      <w:pPr>
        <w:spacing w:after="0" w:line="240" w:lineRule="auto"/>
      </w:pPr>
    </w:p>
    <w:p w14:paraId="5A609F2E" w14:textId="64FB9EB8" w:rsidR="00113E80" w:rsidRDefault="0034202C" w:rsidP="0034202C">
      <w:pPr>
        <w:spacing w:after="0" w:line="240" w:lineRule="auto"/>
      </w:pPr>
      <w:r w:rsidRPr="00047A89">
        <w:t>Given the above, the requirement that partial settlement is available for all CSD accounts would merely result in additional costs without creating any benefits for most clients, and importantly, without any positive effect on settlement fails figures. The wording of Art. 10 (CDR 2018/1229) should therefore provide for possibility that partial settlement is available to any client interested in partial settlement functionality, without the need for CSD to provide such functionality to all account types. Such a solution would better consider concrete operational models of individual CSDs and still allow participants to benefit from partial settlement without creating unnecessary costs to CSDs and thus to clients, particularly the ones not requiring such functionality.</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77777777" w:rsidR="00113E80" w:rsidRDefault="00113E80" w:rsidP="00113E80">
      <w:permStart w:id="272843166" w:edGrp="everyone"/>
      <w:r>
        <w:t>TYPE YOUR TEXT HERE</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49CEEDF7" w14:textId="07117703" w:rsidR="00113E80" w:rsidRDefault="0034202C" w:rsidP="00113E80">
      <w:permStart w:id="117865647" w:edGrp="everyone"/>
      <w:r w:rsidRPr="00047A89">
        <w:t>CSDs should be required to amend operational models only in segments where any positive effects to settlement discipline are expected, and not in segments where usage of partial settlement functionality cannot have any effects – please see detailed reasoning under Q19.</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77777777" w:rsidR="00113E80" w:rsidRDefault="00113E80" w:rsidP="00113E80">
      <w:permStart w:id="591729658" w:edGrp="everyone"/>
      <w:r>
        <w:t>TYPE YOUR TEXT HERE</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77777777" w:rsidR="00113E80" w:rsidRDefault="00113E80" w:rsidP="00113E80">
      <w:permStart w:id="367345271" w:edGrp="everyone"/>
      <w:r>
        <w:t>TYPE YOUR TEXT HERE</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 xml:space="preserve">Should CDR 2018/1229 be amended to require all CSDs to offer real-time gross settlement for a minimum window of time of each business day as well as a </w:t>
      </w:r>
      <w:r>
        <w:lastRenderedPageBreak/>
        <w:t>minimum number of settlement batches? Please provide arguments to justify your answer.</w:t>
      </w:r>
    </w:p>
    <w:p w14:paraId="2D626454" w14:textId="77777777" w:rsidR="00113E80" w:rsidRDefault="00113E80" w:rsidP="00113E80">
      <w:r>
        <w:t>&lt;ESMA_QUESTION_CSDC_25&gt;</w:t>
      </w:r>
    </w:p>
    <w:p w14:paraId="32AFB811" w14:textId="607107EA" w:rsidR="00113E80" w:rsidRDefault="0034202C" w:rsidP="00113E80">
      <w:permStart w:id="1900937655" w:edGrp="everyone"/>
      <w:r w:rsidRPr="00047A89">
        <w:t>Since availability of real-time settlement allows CSD participants and their clients for maximal efficiency, we see no benefit of imposing additional batch processing, as can be referred from proposed wording (…</w:t>
      </w:r>
      <w:r w:rsidRPr="00047A89">
        <w:rPr>
          <w:i/>
          <w:iCs/>
        </w:rPr>
        <w:t xml:space="preserve">require all CSDs to offer real-time gross settlement for a minimum window of time of each business day </w:t>
      </w:r>
      <w:r w:rsidRPr="00047A89">
        <w:rPr>
          <w:b/>
          <w:bCs/>
          <w:i/>
          <w:iCs/>
          <w:u w:val="single"/>
        </w:rPr>
        <w:t>as well as</w:t>
      </w:r>
      <w:r w:rsidRPr="00047A89">
        <w:rPr>
          <w:i/>
          <w:iCs/>
        </w:rPr>
        <w:t xml:space="preserve"> a number of settlement batches</w:t>
      </w:r>
      <w:r w:rsidRPr="00047A89">
        <w:t>). This would be a step backwards compared to the current CSD service level for its clients and would most likely deteriorate settlement efficiency.</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77777777" w:rsidR="00113E80" w:rsidRDefault="00113E80" w:rsidP="00113E80">
      <w:permStart w:id="151126903" w:edGrp="everyone"/>
      <w:r>
        <w:t>TYPE YOUR TEXT HERE</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with the proposed amendments to Table 1 of Annex I of CDR 2018/1229? If not, please elaborate.</w:t>
      </w:r>
    </w:p>
    <w:p w14:paraId="0C9564AA" w14:textId="77777777" w:rsidR="00113E80" w:rsidRDefault="00113E80" w:rsidP="00113E80">
      <w:r>
        <w:t>&lt;ESMA_QUESTION_CSDC_28&gt;</w:t>
      </w:r>
    </w:p>
    <w:p w14:paraId="5A4397DC" w14:textId="77777777" w:rsidR="00113E80" w:rsidRDefault="00113E80" w:rsidP="00113E80">
      <w:permStart w:id="556666167" w:edGrp="everyone"/>
      <w:r>
        <w:t>TYPE YOUR TEXT HERE</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77777777" w:rsidR="00113E80" w:rsidRDefault="00113E80" w:rsidP="00113E80">
      <w:permStart w:id="970873259" w:edGrp="everyone"/>
      <w:r>
        <w:lastRenderedPageBreak/>
        <w:t>TYPE YOUR TEXT HERE</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t>TYPE YOUR TEXT HERE</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7777777" w:rsidR="00113E80" w:rsidRDefault="00113E80" w:rsidP="00113E80">
      <w:permStart w:id="641089610" w:edGrp="everyone"/>
      <w:r>
        <w:lastRenderedPageBreak/>
        <w:t>TYPE YOUR TEXT HERE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77777777" w:rsidR="00113E80" w:rsidRDefault="00113E80" w:rsidP="00113E80">
      <w:permStart w:id="1185494481" w:edGrp="everyone"/>
      <w:r>
        <w:t>TYPE YOUR TEXT HERE</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lastRenderedPageBreak/>
        <w:t>What are your views on the use of UTI in general and in the case of netted transactions specifically?</w:t>
      </w:r>
    </w:p>
    <w:p w14:paraId="25DEC6FA" w14:textId="77777777" w:rsidR="00113E80" w:rsidRDefault="00113E80" w:rsidP="00113E80">
      <w:r>
        <w:t>&lt;ESMA_QUESTION_CSDC_38&gt;</w:t>
      </w:r>
    </w:p>
    <w:p w14:paraId="6E84343E" w14:textId="77777777" w:rsidR="00113E80" w:rsidRDefault="00113E80" w:rsidP="00113E80">
      <w:permStart w:id="409142589" w:edGrp="everyone"/>
      <w:r>
        <w:t>TYPE YOUR TEXT HERE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77777777" w:rsidR="00113E80" w:rsidRDefault="00113E80" w:rsidP="00113E80">
      <w:permStart w:id="2044474510" w:edGrp="everyone"/>
      <w:r>
        <w:t>TYPE YOUR TEXT HERE</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4A4CB9D" w14:textId="77777777" w:rsidR="00113E80" w:rsidRDefault="00113E80" w:rsidP="00113E80">
      <w:permStart w:id="260911590" w:edGrp="everyone"/>
      <w:r>
        <w:t>TYPE YOUR TEXT HERE</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77777777" w:rsidR="00113E80" w:rsidRDefault="00113E80" w:rsidP="00113E80">
      <w:permStart w:id="610287984" w:edGrp="everyone"/>
      <w:r>
        <w:t>TYPE YOUR TEXT HERE</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77777777" w:rsidR="00113E80" w:rsidRDefault="00113E80" w:rsidP="00113E80">
      <w:permStart w:id="1084698351" w:edGrp="everyone"/>
      <w:r>
        <w:t>TYPE YOUR TEXT HERE</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77777777" w:rsidR="00113E80" w:rsidRDefault="00113E80" w:rsidP="00113E80">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lastRenderedPageBreak/>
        <w:t>&lt;ESMA_QUESTION_CSDC_44&gt;</w:t>
      </w:r>
    </w:p>
    <w:p w14:paraId="0D2A711C" w14:textId="77777777" w:rsidR="00113E80" w:rsidRDefault="00113E80" w:rsidP="00113E80">
      <w:permStart w:id="1475766194" w:edGrp="everyone"/>
      <w:r>
        <w:t>TYPE YOUR TEXT HERE</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7777777" w:rsidR="00113E80" w:rsidRDefault="00113E80" w:rsidP="00113E80">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7777777" w:rsidR="00113E80" w:rsidRDefault="00113E80" w:rsidP="00113E80">
      <w:permStart w:id="904798664" w:edGrp="everyone"/>
      <w:r>
        <w:t>TYPE YOUR TEXT HERE</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77777777" w:rsidR="00113E80" w:rsidRDefault="00113E80" w:rsidP="00113E80">
      <w:permStart w:id="355869798" w:edGrp="everyone"/>
      <w:r>
        <w:t>TYPE YOUR TEXT HERE</w:t>
      </w:r>
    </w:p>
    <w:permEnd w:id="355869798"/>
    <w:p w14:paraId="7B3A7050" w14:textId="77777777" w:rsidR="00113E80" w:rsidRDefault="00113E80" w:rsidP="00113E80">
      <w:r>
        <w:lastRenderedPageBreak/>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77777777" w:rsidR="00113E80" w:rsidRDefault="00113E80" w:rsidP="00113E80">
      <w:permStart w:id="1531868113" w:edGrp="everyone"/>
      <w:r>
        <w:t>TYPE YOUR TEXT HERE</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7777777" w:rsidR="00113E80" w:rsidRDefault="00113E80" w:rsidP="00113E80">
      <w:permStart w:id="150763568" w:edGrp="everyone"/>
      <w:r>
        <w:t>TYPE YOUR TEXT HERE</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22777CA" w14:textId="77777777" w:rsidR="00113E80" w:rsidRDefault="00113E80" w:rsidP="00113E80">
      <w:permStart w:id="457271116" w:edGrp="everyone"/>
      <w:r>
        <w:t>TYPE YOUR TEXT HERE</w:t>
      </w:r>
    </w:p>
    <w:permEnd w:id="457271116"/>
    <w:p w14:paraId="3F2B26D3" w14:textId="77777777" w:rsidR="00113E80" w:rsidRDefault="00113E80" w:rsidP="00113E80">
      <w:r>
        <w:lastRenderedPageBreak/>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77777777" w:rsidR="00113E80" w:rsidRDefault="00113E80" w:rsidP="00113E80">
      <w:permStart w:id="1535070435" w:edGrp="everyone"/>
      <w:r>
        <w:t>TYPE YOUR TEXT HERE</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lastRenderedPageBreak/>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even" r:id="rId20"/>
      <w:headerReference w:type="default" r:id="rId21"/>
      <w:footerReference w:type="default" r:id="rId22"/>
      <w:headerReference w:type="firs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B763" w14:textId="77777777" w:rsidR="005715C7" w:rsidRDefault="005715C7" w:rsidP="007E7997">
      <w:pPr>
        <w:spacing w:line="240" w:lineRule="auto"/>
      </w:pPr>
      <w:r>
        <w:separator/>
      </w:r>
    </w:p>
  </w:endnote>
  <w:endnote w:type="continuationSeparator" w:id="0">
    <w:p w14:paraId="19DFEA4A" w14:textId="77777777" w:rsidR="005715C7" w:rsidRDefault="005715C7" w:rsidP="007E7997">
      <w:pPr>
        <w:spacing w:line="240" w:lineRule="auto"/>
      </w:pPr>
      <w:r>
        <w:continuationSeparator/>
      </w:r>
    </w:p>
  </w:endnote>
  <w:endnote w:type="continuationNotice" w:id="1">
    <w:p w14:paraId="34A170AF" w14:textId="77777777" w:rsidR="005715C7" w:rsidRDefault="00571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152E" w14:textId="77777777" w:rsidR="005715C7" w:rsidRDefault="005715C7" w:rsidP="007E7997">
      <w:pPr>
        <w:spacing w:line="240" w:lineRule="auto"/>
      </w:pPr>
      <w:r>
        <w:separator/>
      </w:r>
    </w:p>
  </w:footnote>
  <w:footnote w:type="continuationSeparator" w:id="0">
    <w:p w14:paraId="5FD441FE" w14:textId="77777777" w:rsidR="005715C7" w:rsidRDefault="005715C7" w:rsidP="007E7997">
      <w:pPr>
        <w:spacing w:line="240" w:lineRule="auto"/>
      </w:pPr>
      <w:r>
        <w:continuationSeparator/>
      </w:r>
    </w:p>
  </w:footnote>
  <w:footnote w:type="continuationNotice" w:id="1">
    <w:p w14:paraId="7F7F6C35" w14:textId="77777777" w:rsidR="005715C7" w:rsidRDefault="00571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8C60" w14:textId="77777777" w:rsidR="001668C5" w:rsidRDefault="00166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91A1" w14:textId="77777777" w:rsidR="001668C5" w:rsidRDefault="00166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84A7CEE"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6026" w14:textId="77777777" w:rsidR="001668C5" w:rsidRDefault="001668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A645" w14:textId="77777777" w:rsidR="001668C5" w:rsidRDefault="0016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18C"/>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8C5"/>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2C"/>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451"/>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cehold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E3451"/>
    <w:rsid w:val="004E4CF9"/>
    <w:rsid w:val="005D66AB"/>
    <w:rsid w:val="006954E6"/>
    <w:rsid w:val="006D3543"/>
    <w:rsid w:val="00701E25"/>
    <w:rsid w:val="00813189"/>
    <w:rsid w:val="008222A0"/>
    <w:rsid w:val="00836D47"/>
    <w:rsid w:val="009B6B9C"/>
    <w:rsid w:val="00B07345"/>
    <w:rsid w:val="00B22006"/>
    <w:rsid w:val="00B46CAE"/>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6ee69ee-eb04-4cc4-8631-12658645af0f"/>
    <ds:schemaRef ds:uri="d0fb0f98-34f9-4d57-9559-eb8efd17aa5e"/>
  </ds:schemaRefs>
</ds:datastoreItem>
</file>

<file path=customXml/itemProps4.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Metadata/LabelInfo.xml><?xml version="1.0" encoding="utf-8"?>
<clbl:labelList xmlns:clbl="http://schemas.microsoft.com/office/2020/mipLabelMetadata">
  <clbl:label id="{ff71480d-db51-4f4b-9ee7-3e5cb5e314ed}" enabled="1" method="Privileged" siteId="{71612205-d3e3-45f3-9abf-3b9e5d3e18a9}" contentBits="1"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23</Pages>
  <Words>3185</Words>
  <Characters>18159</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Vid Slamič</cp:lastModifiedBy>
  <cp:revision>3</cp:revision>
  <cp:lastPrinted>2023-09-09T00:53:00Z</cp:lastPrinted>
  <dcterms:created xsi:type="dcterms:W3CDTF">2025-04-11T08:08:00Z</dcterms:created>
  <dcterms:modified xsi:type="dcterms:W3CDTF">2025-04-11T08:28:00Z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