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EndPr>
        <w:rPr>
          <w:rFonts w:ascii="Times New Roman" w:eastAsia="Times New Roman" w:hAnsi="Times New Roman" w:cs="Times New Roman"/>
          <w:color w:val="auto"/>
        </w:rPr>
      </w:sdtEndPr>
      <w:sdtContent>
        <w:p w14:paraId="3B41FE3C" w14:textId="77777777" w:rsidR="00D465F8" w:rsidRDefault="00D465F8" w:rsidP="00F72D28">
          <w:pPr>
            <w:pStyle w:val="Title"/>
            <w:rPr>
              <w:rFonts w:asciiTheme="minorHAnsi" w:eastAsiaTheme="minorEastAsia" w:hAnsiTheme="minorHAnsi" w:cstheme="minorBidi"/>
              <w:b w:val="0"/>
              <w:color w:val="181818" w:themeColor="background1" w:themeShade="1A"/>
              <w:spacing w:val="0"/>
              <w:sz w:val="28"/>
              <w:szCs w:val="28"/>
            </w:rPr>
          </w:pPr>
        </w:p>
        <w:p w14:paraId="6F85FCB5" w14:textId="77777777" w:rsidR="00D465F8" w:rsidRDefault="00D465F8" w:rsidP="00F72D28">
          <w:pPr>
            <w:pStyle w:val="Title"/>
            <w:rPr>
              <w:rFonts w:asciiTheme="minorHAnsi" w:eastAsiaTheme="minorEastAsia" w:hAnsiTheme="minorHAnsi" w:cstheme="minorBidi"/>
              <w:b w:val="0"/>
              <w:color w:val="181818" w:themeColor="background1" w:themeShade="1A"/>
              <w:spacing w:val="0"/>
              <w:sz w:val="28"/>
              <w:szCs w:val="28"/>
            </w:rPr>
          </w:pPr>
        </w:p>
        <w:p w14:paraId="68819715" w14:textId="77777777" w:rsidR="00D465F8" w:rsidRDefault="00D465F8" w:rsidP="00F72D28">
          <w:pPr>
            <w:pStyle w:val="Title"/>
            <w:rPr>
              <w:rFonts w:asciiTheme="minorHAnsi" w:eastAsiaTheme="minorEastAsia" w:hAnsiTheme="minorHAnsi" w:cstheme="minorBidi"/>
              <w:b w:val="0"/>
              <w:color w:val="181818" w:themeColor="background1" w:themeShade="1A"/>
              <w:spacing w:val="0"/>
              <w:sz w:val="28"/>
              <w:szCs w:val="28"/>
            </w:rPr>
          </w:pPr>
        </w:p>
        <w:p w14:paraId="01438AE1" w14:textId="023C9089" w:rsidR="00563C1F" w:rsidRDefault="00EC6066" w:rsidP="00F72D28">
          <w:pPr>
            <w:pStyle w:val="Title"/>
          </w:pPr>
          <w:r>
            <w:t xml:space="preserve">Reply </w:t>
          </w:r>
          <w:r w:rsidR="00DD03DC">
            <w:t>F</w:t>
          </w:r>
          <w:r>
            <w:t>orm</w:t>
          </w:r>
        </w:p>
        <w:p w14:paraId="031F2108" w14:textId="42AAFBB0" w:rsidR="007E7997" w:rsidRPr="00C01571" w:rsidRDefault="00113E80" w:rsidP="00D77369">
          <w:pPr>
            <w:pStyle w:val="Subtitle"/>
            <w:rPr>
              <w:rFonts w:cs="Arial"/>
              <w:sz w:val="36"/>
              <w:szCs w:val="36"/>
            </w:rPr>
          </w:pPr>
          <w:r>
            <w:rPr>
              <w:rStyle w:val="normaltextrun"/>
              <w:rFonts w:ascii="Arial" w:hAnsi="Arial" w:cs="Arial"/>
              <w:color w:val="181818"/>
              <w:szCs w:val="28"/>
              <w:bdr w:val="none" w:sz="0" w:space="0" w:color="auto" w:frame="1"/>
            </w:rPr>
            <w:t xml:space="preserve">Consultation Paper on the Amendments to the RTS on Settlement Discipline </w:t>
          </w:r>
          <w:r w:rsidR="00D77369" w:rsidRPr="00C01571">
            <w:rPr>
              <w:noProof/>
              <w:sz w:val="36"/>
              <w:szCs w:val="36"/>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1"/>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0A241B"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5C42D2D2" w14:textId="77777777" w:rsidR="00D77369" w:rsidRDefault="00D77369" w:rsidP="00D77369"/>
        <w:p w14:paraId="0A9EB4DC" w14:textId="77777777" w:rsidR="00D77369" w:rsidRPr="00D77369" w:rsidRDefault="00D77369" w:rsidP="00D77369">
          <w:pPr>
            <w:sectPr w:rsidR="00D77369" w:rsidRPr="00D77369" w:rsidSect="0043139E">
              <w:footerReference w:type="even" r:id="rId14"/>
              <w:footerReference w:type="default" r:id="rId15"/>
              <w:headerReference w:type="first" r:id="rId16"/>
              <w:footerReference w:type="first" r:id="rId17"/>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Subtitle"/>
          </w:pPr>
          <w:r w:rsidRPr="005B6B12">
            <w:lastRenderedPageBreak/>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DB2FD6" w:rsidRDefault="002533FC" w:rsidP="00EC6066">
          <w:pPr>
            <w:pStyle w:val="ListParagraph"/>
            <w:rPr>
              <w:lang w:val="en-GB"/>
            </w:rPr>
          </w:pPr>
          <w:r w:rsidRPr="00DB2FD6">
            <w:rPr>
              <w:lang w:val="en-GB"/>
            </w:rPr>
            <w:t>respond to the question stated;</w:t>
          </w:r>
        </w:p>
        <w:p w14:paraId="72FD40F6" w14:textId="77777777" w:rsidR="002533FC" w:rsidRPr="00DB2FD6" w:rsidRDefault="002533FC" w:rsidP="00EC6066">
          <w:pPr>
            <w:pStyle w:val="ListParagraph"/>
            <w:rPr>
              <w:lang w:val="en-GB"/>
            </w:rPr>
          </w:pPr>
          <w:r w:rsidRPr="00DB2FD6">
            <w:rPr>
              <w:lang w:val="en-GB"/>
            </w:rPr>
            <w:t>indicate the specific question to which the comment relates;</w:t>
          </w:r>
        </w:p>
        <w:p w14:paraId="78B206B7" w14:textId="77777777" w:rsidR="002533FC" w:rsidRPr="00E13D25" w:rsidRDefault="002533FC" w:rsidP="00EC6066">
          <w:pPr>
            <w:pStyle w:val="ListParagraph"/>
          </w:pPr>
          <w:r w:rsidRPr="00E13D25">
            <w:t>contain a clear rationale; and</w:t>
          </w:r>
        </w:p>
        <w:p w14:paraId="60B8834E" w14:textId="77777777" w:rsidR="002533FC" w:rsidRPr="00DB2FD6" w:rsidRDefault="002533FC" w:rsidP="00EC6066">
          <w:pPr>
            <w:pStyle w:val="ListParagraph"/>
            <w:rPr>
              <w:lang w:val="en-GB"/>
            </w:rPr>
          </w:pPr>
          <w:r w:rsidRPr="00DB2FD6">
            <w:rPr>
              <w:lang w:val="en-GB"/>
            </w:rPr>
            <w:t>describe any alternatives ESMA should consider.</w:t>
          </w:r>
        </w:p>
        <w:p w14:paraId="219225AC" w14:textId="38E74FD1" w:rsidR="002533FC" w:rsidRPr="005B6B12" w:rsidRDefault="002533FC" w:rsidP="002533FC">
          <w:r w:rsidRPr="005B6B12">
            <w:t xml:space="preserve">ESMA will consider all comments received by </w:t>
          </w:r>
          <w:r w:rsidR="00113E80">
            <w:rPr>
              <w:b/>
            </w:rPr>
            <w:t>14 April 2025</w:t>
          </w:r>
          <w:r w:rsidRPr="005B6B12">
            <w:rPr>
              <w:b/>
            </w:rPr>
            <w:t xml:space="preserve">. </w:t>
          </w:r>
        </w:p>
        <w:p w14:paraId="7EBC0542" w14:textId="0CD5B31D" w:rsidR="002533FC" w:rsidRDefault="002533FC" w:rsidP="002533FC">
          <w:r w:rsidRPr="005B6B12">
            <w:t xml:space="preserve">All contributions should be submitted online at </w:t>
          </w:r>
          <w:hyperlink r:id="rId18" w:history="1">
            <w:r w:rsidRPr="005B6B12">
              <w:rPr>
                <w:rStyle w:val="Hyperlink"/>
              </w:rPr>
              <w:t>www.esma.europa.eu</w:t>
            </w:r>
          </w:hyperlink>
          <w:r w:rsidRPr="005B6B12">
            <w:t xml:space="preserve"> under the heading ‘Your input - Consultations’. </w:t>
          </w:r>
        </w:p>
        <w:p w14:paraId="5E44C845" w14:textId="77777777" w:rsidR="00EC6066" w:rsidRPr="0026459D" w:rsidRDefault="00EC6066" w:rsidP="00EC6066">
          <w:pPr>
            <w:pStyle w:val="Subtitle"/>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3046E949" w:rsidR="00EC6066" w:rsidRPr="00C5469A" w:rsidRDefault="00EC6066" w:rsidP="00EC6066">
          <w:pPr>
            <w:ind w:left="142"/>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w:t>
          </w:r>
          <w:r w:rsidR="00C62B79">
            <w:rPr>
              <w:bCs/>
            </w:rPr>
            <w:t>_</w:t>
          </w:r>
          <w:r w:rsidR="00ED75A2">
            <w:rPr>
              <w:bCs/>
            </w:rPr>
            <w:t>C</w:t>
          </w:r>
          <w:r w:rsidR="005B2269">
            <w:rPr>
              <w:bCs/>
            </w:rPr>
            <w:t>SDC</w:t>
          </w:r>
          <w:r w:rsidR="00C62B79">
            <w:rPr>
              <w:bCs/>
            </w:rPr>
            <w:t>_</w:t>
          </w:r>
          <w:r w:rsidRPr="00C5469A">
            <w:rPr>
              <w:bCs/>
            </w:rPr>
            <w:t xml:space="preserve">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1341D4ED"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DB2FD6" w:rsidRPr="00DB2FD6">
            <w:rPr>
              <w:bCs/>
            </w:rPr>
            <w:t xml:space="preserve"> </w:t>
          </w:r>
          <w:r w:rsidR="00ED75A2">
            <w:rPr>
              <w:bCs/>
            </w:rPr>
            <w:t>C</w:t>
          </w:r>
          <w:r w:rsidR="005B2269">
            <w:rPr>
              <w:bCs/>
            </w:rPr>
            <w:t>SDC</w:t>
          </w:r>
          <w:r w:rsidRPr="00C5469A">
            <w:rPr>
              <w:bCs/>
            </w:rPr>
            <w:t xml:space="preserve">_nameofrespondent. </w:t>
          </w:r>
        </w:p>
        <w:p w14:paraId="210BE93A" w14:textId="077AA6C4"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DB2FD6" w:rsidRPr="00DB2FD6">
            <w:rPr>
              <w:bCs/>
            </w:rPr>
            <w:t xml:space="preserve"> </w:t>
          </w:r>
          <w:r w:rsidR="00ED75A2">
            <w:rPr>
              <w:bCs/>
            </w:rPr>
            <w:t>C</w:t>
          </w:r>
          <w:r w:rsidR="005B2269">
            <w:rPr>
              <w:bCs/>
            </w:rPr>
            <w:t>SDC</w:t>
          </w:r>
          <w:r w:rsidRPr="00C5469A">
            <w:rPr>
              <w:bCs/>
            </w:rPr>
            <w:t>_ABCD.</w:t>
          </w:r>
        </w:p>
        <w:p w14:paraId="2E70CEDD" w14:textId="640173CC" w:rsidR="004035C7" w:rsidRDefault="00EC6066" w:rsidP="004035C7">
          <w:pPr>
            <w:ind w:left="142"/>
            <w:rPr>
              <w:bCs/>
              <w:i/>
              <w:iCs/>
            </w:rPr>
          </w:pPr>
          <w:r w:rsidRPr="0026459D">
            <w:rPr>
              <w:bCs/>
            </w:rPr>
            <w:t>•</w:t>
          </w:r>
          <w:r w:rsidRPr="0026459D">
            <w:rPr>
              <w:bCs/>
            </w:rPr>
            <w:tab/>
            <w:t>Upload the Word reply form containing your responses to ESMA’s website (</w:t>
          </w:r>
          <w:r w:rsidRPr="0026459D">
            <w:rPr>
              <w:b/>
            </w:rPr>
            <w:t xml:space="preserve">pdf </w:t>
          </w:r>
          <w:r w:rsidRPr="0026459D">
            <w:rPr>
              <w:b/>
            </w:rPr>
            <w:tab/>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9" w:history="1">
            <w:r w:rsidRPr="005B6B12">
              <w:rPr>
                <w:rStyle w:val="Hyperlink"/>
              </w:rPr>
              <w:t>www.esma.europa.eu</w:t>
            </w:r>
          </w:hyperlink>
          <w:r w:rsidRPr="005B6B12">
            <w:t xml:space="preserve"> under the heading </w:t>
          </w:r>
          <w:r w:rsidRPr="00025A7F">
            <w:rPr>
              <w:rStyle w:val="Hyperlink"/>
            </w:rPr>
            <w:t>‘</w:t>
          </w:r>
          <w:hyperlink r:id="rId20" w:history="1">
            <w:r>
              <w:rPr>
                <w:rStyle w:val="Hyperlink"/>
              </w:rPr>
              <w:t>Data protection</w:t>
            </w:r>
          </w:hyperlink>
          <w:r>
            <w:rPr>
              <w:rStyle w:val="Hyperlink"/>
            </w:rPr>
            <w:t>’</w:t>
          </w:r>
          <w:r w:rsidRPr="005B6B12">
            <w:t>.</w:t>
          </w:r>
        </w:p>
        <w:p w14:paraId="57A67DA5" w14:textId="77777777" w:rsidR="00EC6066" w:rsidRPr="005B6B12" w:rsidRDefault="00EC6066" w:rsidP="00EC6066">
          <w:pPr>
            <w:rPr>
              <w:b/>
            </w:rPr>
          </w:pPr>
          <w:r w:rsidRPr="005B6B12">
            <w:rPr>
              <w:b/>
            </w:rPr>
            <w:t>Who should read this paper?</w:t>
          </w:r>
        </w:p>
        <w:p w14:paraId="39BF27F5" w14:textId="1405DA9D" w:rsidR="00EC6066" w:rsidRDefault="00EC6066" w:rsidP="00EC6066">
          <w:r>
            <w:lastRenderedPageBreak/>
            <w:t xml:space="preserve">All interested stakeholders are invited to respond to this consultation paper. In particular, ESMA invites market infrastructures (CSDs, CCPs, trading venues), their members and participants, other investment firms, </w:t>
          </w:r>
          <w:r w:rsidR="001F6749">
            <w:t>credit institutions,</w:t>
          </w:r>
          <w:r>
            <w:t xml:space="preserve"> issuers, fund managers, retail and wholesale investors, and their representatives to provide their views to the questions asked in this paper. </w:t>
          </w:r>
        </w:p>
      </w:sdtContent>
    </w:sdt>
    <w:p w14:paraId="4690CAFC" w14:textId="77777777" w:rsidR="00EC6066" w:rsidRDefault="00EC6066" w:rsidP="00EC6066"/>
    <w:p w14:paraId="50C0B880" w14:textId="3D997326" w:rsidR="005171FF" w:rsidRDefault="005171FF">
      <w:pPr>
        <w:spacing w:after="120" w:line="264" w:lineRule="auto"/>
        <w:rPr>
          <w:rFonts w:asciiTheme="majorHAnsi" w:eastAsiaTheme="majorEastAsia" w:hAnsiTheme="majorHAnsi" w:cstheme="majorBidi"/>
          <w:sz w:val="28"/>
          <w:highlight w:val="yellow"/>
        </w:rPr>
      </w:pPr>
      <w:r>
        <w:rPr>
          <w:rFonts w:asciiTheme="majorHAnsi" w:eastAsiaTheme="majorEastAsia" w:hAnsiTheme="majorHAnsi" w:cstheme="majorBidi"/>
          <w:sz w:val="28"/>
          <w:highlight w:val="yellow"/>
        </w:rPr>
        <w:br w:type="page"/>
      </w:r>
    </w:p>
    <w:p w14:paraId="687A8108" w14:textId="18C0BEFD" w:rsidR="00635BCA" w:rsidRPr="00E40D2C" w:rsidRDefault="00635BCA" w:rsidP="00635BCA">
      <w:pPr>
        <w:pStyle w:val="Heading1"/>
        <w:rPr>
          <w:lang w:val="fr-BE"/>
        </w:rPr>
      </w:pPr>
      <w:r>
        <w:rPr>
          <w:lang w:val="fr-BE"/>
        </w:rPr>
        <w:lastRenderedPageBreak/>
        <w:t xml:space="preserve">General information about </w:t>
      </w:r>
      <w:r w:rsidRPr="00501EF4">
        <w:t>respondent</w:t>
      </w:r>
    </w:p>
    <w:tbl>
      <w:tblPr>
        <w:tblStyle w:val="TableGrid"/>
        <w:tblW w:w="0" w:type="auto"/>
        <w:tblLook w:val="04A0" w:firstRow="1" w:lastRow="0" w:firstColumn="1" w:lastColumn="0" w:noHBand="0" w:noVBand="1"/>
      </w:tblPr>
      <w:tblGrid>
        <w:gridCol w:w="4531"/>
        <w:gridCol w:w="4531"/>
      </w:tblGrid>
      <w:tr w:rsidR="00E40D2C" w:rsidRPr="00557BD2" w14:paraId="44F115DF" w14:textId="77777777" w:rsidTr="00743CD9">
        <w:tc>
          <w:tcPr>
            <w:tcW w:w="4531" w:type="dxa"/>
          </w:tcPr>
          <w:p w14:paraId="2E826C88" w14:textId="77777777" w:rsidR="00E40D2C" w:rsidRPr="00557BD2" w:rsidRDefault="00E40D2C" w:rsidP="00743CD9">
            <w:pPr>
              <w:rPr>
                <w:color w:val="00379F" w:themeColor="text1"/>
                <w:szCs w:val="22"/>
              </w:rPr>
            </w:pPr>
            <w:r w:rsidRPr="00557BD2">
              <w:rPr>
                <w:color w:val="00379F" w:themeColor="text1"/>
                <w:szCs w:val="22"/>
              </w:rPr>
              <w:t>Name of the company / organisation</w:t>
            </w:r>
          </w:p>
        </w:tc>
        <w:permStart w:id="289486921" w:edGrp="everyone" w:displacedByCustomXml="next"/>
        <w:sdt>
          <w:sdtPr>
            <w:id w:val="925615268"/>
            <w:placeholder>
              <w:docPart w:val="BB304192735D4F2E9B95179F2819F853"/>
            </w:placeholder>
          </w:sdtPr>
          <w:sdtContent>
            <w:tc>
              <w:tcPr>
                <w:tcW w:w="4531" w:type="dxa"/>
              </w:tcPr>
              <w:p w14:paraId="5C8A6928" w14:textId="332E7F7D" w:rsidR="00E40D2C" w:rsidRPr="00557BD2" w:rsidRDefault="00DC6F6D" w:rsidP="00743CD9">
                <w:r>
                  <w:t>The Global Legal Entity Identifier Foundation (GLEIF)</w:t>
                </w:r>
              </w:p>
            </w:tc>
          </w:sdtContent>
        </w:sdt>
      </w:tr>
      <w:tr w:rsidR="00E40D2C" w:rsidRPr="00557BD2" w14:paraId="749BD8C2" w14:textId="77777777" w:rsidTr="00743CD9">
        <w:tc>
          <w:tcPr>
            <w:tcW w:w="4531" w:type="dxa"/>
          </w:tcPr>
          <w:p w14:paraId="6FE0ECE4" w14:textId="77777777" w:rsidR="00E40D2C" w:rsidRDefault="00E40D2C" w:rsidP="00743CD9">
            <w:pPr>
              <w:rPr>
                <w:color w:val="00379F" w:themeColor="text1"/>
                <w:szCs w:val="22"/>
              </w:rPr>
            </w:pPr>
            <w:permStart w:id="1501374178" w:edGrp="everyone" w:colFirst="1" w:colLast="1"/>
            <w:permEnd w:id="289486921"/>
            <w:r>
              <w:rPr>
                <w:color w:val="00379F" w:themeColor="text1"/>
                <w:szCs w:val="22"/>
              </w:rPr>
              <w:t>Activity</w:t>
            </w:r>
          </w:p>
        </w:tc>
        <w:sdt>
          <w:sdtPr>
            <w:alias w:val="Select an activity"/>
            <w:tag w:val="Select an activity"/>
            <w:id w:val="1608545486"/>
            <w:placeholder>
              <w:docPart w:val="01EE1C7859204274A669423EC64EE100"/>
            </w:placeholder>
            <w:comboBox>
              <w:listItem w:value="Choose an item."/>
              <w:listItem w:displayText="CSD" w:value="CSD"/>
              <w:listItem w:displayText="Investment firm" w:value="Investment firm"/>
              <w:listItem w:displayText="Credit institution" w:value="Credit institution"/>
              <w:listItem w:displayText="Asset management company" w:value="Asset management company"/>
              <w:listItem w:displayText="Issuer" w:value="Issuer"/>
              <w:listItem w:displayText="Retail investor" w:value="Retail investor"/>
              <w:listItem w:displayText="Public authority" w:value="Public authority"/>
              <w:listItem w:displayText="Other" w:value="Other"/>
            </w:comboBox>
          </w:sdtPr>
          <w:sdtContent>
            <w:tc>
              <w:tcPr>
                <w:tcW w:w="4531" w:type="dxa"/>
              </w:tcPr>
              <w:p w14:paraId="22ECE1B6" w14:textId="0CA13D7B" w:rsidR="00E40D2C" w:rsidRDefault="00DC6F6D" w:rsidP="00743CD9">
                <w:r>
                  <w:t>Other</w:t>
                </w:r>
              </w:p>
            </w:tc>
          </w:sdtContent>
        </w:sdt>
      </w:tr>
      <w:permEnd w:id="1501374178"/>
      <w:tr w:rsidR="00E40D2C" w:rsidRPr="00557BD2" w14:paraId="431B28C6" w14:textId="77777777" w:rsidTr="00743CD9">
        <w:tc>
          <w:tcPr>
            <w:tcW w:w="4531" w:type="dxa"/>
          </w:tcPr>
          <w:p w14:paraId="19D77BEC" w14:textId="77777777" w:rsidR="00E40D2C" w:rsidRPr="00557BD2" w:rsidRDefault="00E40D2C" w:rsidP="00743CD9">
            <w:pPr>
              <w:rPr>
                <w:color w:val="00379F" w:themeColor="text1"/>
                <w:szCs w:val="22"/>
              </w:rPr>
            </w:pPr>
            <w:r>
              <w:rPr>
                <w:color w:val="00379F" w:themeColor="text1"/>
                <w:szCs w:val="22"/>
              </w:rPr>
              <w:t>Are you representing an association?</w:t>
            </w:r>
          </w:p>
        </w:tc>
        <w:sdt>
          <w:sdtPr>
            <w:id w:val="225122840"/>
            <w14:checkbox>
              <w14:checked w14:val="0"/>
              <w14:checkedState w14:val="2612" w14:font="MS Gothic"/>
              <w14:uncheckedState w14:val="2610" w14:font="MS Gothic"/>
            </w14:checkbox>
          </w:sdtPr>
          <w:sdtContent>
            <w:permStart w:id="996560612" w:edGrp="everyone" w:displacedByCustomXml="prev"/>
            <w:tc>
              <w:tcPr>
                <w:tcW w:w="4531" w:type="dxa"/>
              </w:tcPr>
              <w:p w14:paraId="7AB9C082" w14:textId="77777777" w:rsidR="00E40D2C" w:rsidRDefault="00E40D2C" w:rsidP="00743CD9">
                <w:r>
                  <w:rPr>
                    <w:rFonts w:ascii="MS Gothic" w:eastAsia="MS Gothic" w:hAnsi="MS Gothic" w:hint="eastAsia"/>
                  </w:rPr>
                  <w:t>☐</w:t>
                </w:r>
              </w:p>
            </w:tc>
            <w:permEnd w:id="996560612" w:displacedByCustomXml="next"/>
          </w:sdtContent>
        </w:sdt>
      </w:tr>
      <w:tr w:rsidR="00E40D2C" w:rsidRPr="00557BD2" w14:paraId="3720260B" w14:textId="77777777" w:rsidTr="00743CD9">
        <w:tc>
          <w:tcPr>
            <w:tcW w:w="4531" w:type="dxa"/>
          </w:tcPr>
          <w:p w14:paraId="03F7FCFD" w14:textId="77777777" w:rsidR="00E40D2C" w:rsidRPr="00557BD2" w:rsidRDefault="00E40D2C" w:rsidP="00743CD9">
            <w:pPr>
              <w:rPr>
                <w:color w:val="00379F" w:themeColor="text1"/>
                <w:szCs w:val="22"/>
              </w:rPr>
            </w:pPr>
            <w:r w:rsidRPr="00557BD2">
              <w:rPr>
                <w:color w:val="00379F" w:themeColor="text1"/>
                <w:szCs w:val="22"/>
              </w:rPr>
              <w:t>Country / Region</w:t>
            </w:r>
          </w:p>
        </w:tc>
        <w:sdt>
          <w:sdtPr>
            <w:alias w:val="Select a country/region"/>
            <w:tag w:val="Select a country/region"/>
            <w:id w:val="466400774"/>
            <w:placeholder>
              <w:docPart w:val="D404D71EE61B44F68217F5015889DA12"/>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1922924511" w:edGrp="everyone" w:displacedByCustomXml="prev"/>
            <w:tc>
              <w:tcPr>
                <w:tcW w:w="4531" w:type="dxa"/>
              </w:tcPr>
              <w:p w14:paraId="5BB12D35" w14:textId="642B2087" w:rsidR="00E40D2C" w:rsidRPr="00557BD2" w:rsidRDefault="00DA1A36" w:rsidP="00743CD9">
                <w:r>
                  <w:t>Germany</w:t>
                </w:r>
              </w:p>
            </w:tc>
            <w:permEnd w:id="1922924511" w:displacedByCustomXml="next"/>
          </w:sdtContent>
        </w:sdt>
      </w:tr>
    </w:tbl>
    <w:p w14:paraId="4B3A6DDF" w14:textId="77777777" w:rsidR="00E40D2C" w:rsidRPr="00053B66" w:rsidRDefault="00E40D2C" w:rsidP="00635BCA"/>
    <w:p w14:paraId="5D0F86B1" w14:textId="49DACBB9" w:rsidR="00413D4F" w:rsidRDefault="00635BCA" w:rsidP="00635BCA">
      <w:pPr>
        <w:pStyle w:val="Heading1"/>
        <w:rPr>
          <w:lang w:val="fr-BE"/>
        </w:rPr>
      </w:pPr>
      <w:r w:rsidRPr="00557BD2">
        <w:rPr>
          <w:lang w:val="fr-BE"/>
        </w:rPr>
        <w:t>Questions</w:t>
      </w:r>
    </w:p>
    <w:p w14:paraId="5230794C" w14:textId="77777777" w:rsidR="00113E80" w:rsidRDefault="00113E80">
      <w:pPr>
        <w:spacing w:after="120" w:line="264" w:lineRule="auto"/>
      </w:pPr>
      <w:r>
        <w:br w:type="page"/>
      </w:r>
    </w:p>
    <w:p w14:paraId="7D52DCC6" w14:textId="5E3F9284" w:rsidR="004F5A02" w:rsidRDefault="004F5A02" w:rsidP="004F5A02">
      <w:pPr>
        <w:rPr>
          <w:b/>
          <w:bCs/>
        </w:rPr>
      </w:pPr>
      <w:r w:rsidRPr="004F5A02">
        <w:rPr>
          <w:b/>
          <w:bCs/>
        </w:rPr>
        <w:lastRenderedPageBreak/>
        <w:t>3.1.1</w:t>
      </w:r>
      <w:r w:rsidRPr="004F5A02">
        <w:rPr>
          <w:b/>
          <w:bCs/>
        </w:rPr>
        <w:tab/>
        <w:t>Timing of allocations and confirmations</w:t>
      </w:r>
    </w:p>
    <w:p w14:paraId="2DC903F4" w14:textId="77777777" w:rsidR="005C5C54" w:rsidRPr="004F5A02" w:rsidRDefault="005C5C54" w:rsidP="004F5A02">
      <w:pPr>
        <w:rPr>
          <w:b/>
          <w:bCs/>
        </w:rPr>
      </w:pPr>
    </w:p>
    <w:p w14:paraId="78B91BA4" w14:textId="3B13F0DB" w:rsidR="00113E80" w:rsidRDefault="00113E80" w:rsidP="00113E80">
      <w:pPr>
        <w:pStyle w:val="Questionstyle"/>
        <w:numPr>
          <w:ilvl w:val="0"/>
          <w:numId w:val="14"/>
        </w:numPr>
        <w:tabs>
          <w:tab w:val="clear" w:pos="567"/>
        </w:tabs>
        <w:spacing w:after="240" w:line="256" w:lineRule="auto"/>
        <w:ind w:left="851" w:hanging="851"/>
      </w:pPr>
      <w:r>
        <w:rPr>
          <w:bCs/>
        </w:rPr>
        <w:t>Do you agree with the proposed amendments to Articles 2(2) and 3 of CDR 2018/1229?</w:t>
      </w:r>
    </w:p>
    <w:p w14:paraId="70664FD2" w14:textId="77777777" w:rsidR="00113E80" w:rsidRDefault="00113E80" w:rsidP="00113E80">
      <w:r>
        <w:t>&lt;ESMA_QUESTION_CSDC_1&gt;</w:t>
      </w:r>
    </w:p>
    <w:p w14:paraId="20112533" w14:textId="77777777" w:rsidR="00113E80" w:rsidRDefault="00113E80" w:rsidP="00113E80">
      <w:permStart w:id="495002546" w:edGrp="everyone"/>
      <w:r>
        <w:t>TYPE YOUR TEXT HERE</w:t>
      </w:r>
    </w:p>
    <w:permEnd w:id="495002546"/>
    <w:p w14:paraId="4CCCDD62" w14:textId="77777777" w:rsidR="00113E80" w:rsidRDefault="00113E80" w:rsidP="00113E80">
      <w:r>
        <w:t>&lt;ESMA_QUESTION_CSDC_1&gt;</w:t>
      </w:r>
    </w:p>
    <w:p w14:paraId="6A55D9DB" w14:textId="77777777" w:rsidR="00113E80" w:rsidRDefault="00113E80" w:rsidP="00113E80"/>
    <w:p w14:paraId="7A939DEB" w14:textId="77777777" w:rsidR="00113E80" w:rsidRDefault="00113E80" w:rsidP="00113E80">
      <w:pPr>
        <w:pStyle w:val="Questionstyle"/>
        <w:numPr>
          <w:ilvl w:val="0"/>
          <w:numId w:val="14"/>
        </w:numPr>
        <w:tabs>
          <w:tab w:val="clear" w:pos="567"/>
        </w:tabs>
        <w:spacing w:after="240" w:line="256" w:lineRule="auto"/>
        <w:ind w:left="851" w:hanging="851"/>
      </w:pPr>
      <w:r>
        <w:rPr>
          <w:bCs/>
        </w:rPr>
        <w:t>Would you see merit in introducing an obligation for investment firms to notify their professional clients the execution details of their orders as soon as these orders are fulfilled (in a way that allows STP)? If yes, should it be cumulative to the proposed amendments to Articles 2(2) and 3 of CDR 2018/1229?</w:t>
      </w:r>
    </w:p>
    <w:p w14:paraId="0C1E27C7" w14:textId="77777777" w:rsidR="00113E80" w:rsidRDefault="00113E80" w:rsidP="00113E80">
      <w:r>
        <w:t>&lt;ESMA_QUESTION_CSDC_2&gt;</w:t>
      </w:r>
    </w:p>
    <w:p w14:paraId="7BE8A3E1" w14:textId="77777777" w:rsidR="00113E80" w:rsidRDefault="00113E80" w:rsidP="00113E80">
      <w:permStart w:id="212869392" w:edGrp="everyone"/>
      <w:r>
        <w:t>TYPE YOUR TEXT HERE</w:t>
      </w:r>
    </w:p>
    <w:permEnd w:id="212869392"/>
    <w:p w14:paraId="26E3DD7C" w14:textId="77777777" w:rsidR="00113E80" w:rsidRDefault="00113E80" w:rsidP="00113E80">
      <w:r>
        <w:t>&lt;ESMA_QUESTION_CSDC_2&gt;</w:t>
      </w:r>
    </w:p>
    <w:p w14:paraId="0EB4A382" w14:textId="77777777" w:rsidR="00113E80" w:rsidRDefault="00113E80" w:rsidP="00113E80"/>
    <w:p w14:paraId="42F17450" w14:textId="77777777" w:rsidR="00113E80" w:rsidRDefault="00113E80" w:rsidP="00113E80">
      <w:pPr>
        <w:pStyle w:val="Questionstyle"/>
        <w:numPr>
          <w:ilvl w:val="0"/>
          <w:numId w:val="14"/>
        </w:numPr>
        <w:tabs>
          <w:tab w:val="clear" w:pos="567"/>
        </w:tabs>
        <w:spacing w:after="240" w:line="256" w:lineRule="auto"/>
        <w:ind w:left="851" w:hanging="851"/>
      </w:pPr>
      <w:r>
        <w:rPr>
          <w:bCs/>
        </w:rPr>
        <w:t>If you support an obligation for investment firms to notify their professional clients the execution as soon as the orders are fulfilled, do you think that clients should be allowed a maximum number of business hours for the allocations and confirmations from the moment of notification by investment firms, instead of having fixed deadlines? If yes, how many hours would be necessary for that?</w:t>
      </w:r>
    </w:p>
    <w:p w14:paraId="440802D8" w14:textId="77777777" w:rsidR="00113E80" w:rsidRDefault="00113E80" w:rsidP="00113E80">
      <w:r>
        <w:t>&lt;ESMA_QUESTION_CSDC_3&gt;</w:t>
      </w:r>
    </w:p>
    <w:p w14:paraId="0261F3E3" w14:textId="77777777" w:rsidR="00113E80" w:rsidRDefault="00113E80" w:rsidP="00113E80">
      <w:permStart w:id="633560411" w:edGrp="everyone"/>
      <w:r>
        <w:t>TYPE YOUR TEXT HERE</w:t>
      </w:r>
    </w:p>
    <w:permEnd w:id="633560411"/>
    <w:p w14:paraId="02D5EFA9" w14:textId="77777777" w:rsidR="00113E80" w:rsidRDefault="00113E80" w:rsidP="00113E80">
      <w:r>
        <w:t>&lt;ESMA_QUESTION_CSDC_3&gt;</w:t>
      </w:r>
    </w:p>
    <w:p w14:paraId="6457CF9B" w14:textId="77777777" w:rsidR="00113E80" w:rsidRDefault="00113E80" w:rsidP="00113E80"/>
    <w:p w14:paraId="17C45A67" w14:textId="77777777" w:rsidR="00113E80" w:rsidRDefault="00113E80" w:rsidP="00113E80">
      <w:pPr>
        <w:pStyle w:val="Questionstyle"/>
        <w:numPr>
          <w:ilvl w:val="0"/>
          <w:numId w:val="14"/>
        </w:numPr>
        <w:tabs>
          <w:tab w:val="clear" w:pos="567"/>
        </w:tabs>
        <w:spacing w:after="240" w:line="256" w:lineRule="auto"/>
        <w:ind w:left="851" w:hanging="851"/>
      </w:pPr>
      <w:r>
        <w:rPr>
          <w:bCs/>
        </w:rPr>
        <w:t>Should CDR 2018/1229 further specify the term ‘close of business’ for the purpose of Article 2(2)? If yes, how should this take into account the business day at CSD level?</w:t>
      </w:r>
    </w:p>
    <w:p w14:paraId="62CCDF3B" w14:textId="77777777" w:rsidR="00113E80" w:rsidRDefault="00113E80" w:rsidP="00113E80">
      <w:r>
        <w:t>&lt;ESMA_QUESTION_CSDC_4&gt;</w:t>
      </w:r>
    </w:p>
    <w:p w14:paraId="689CD504" w14:textId="77777777" w:rsidR="00113E80" w:rsidRDefault="00113E80" w:rsidP="00113E80">
      <w:permStart w:id="953572439" w:edGrp="everyone"/>
      <w:r>
        <w:t>TYPE YOUR TEXT HERE</w:t>
      </w:r>
    </w:p>
    <w:permEnd w:id="953572439"/>
    <w:p w14:paraId="63A4DA96" w14:textId="77777777" w:rsidR="00113E80" w:rsidRDefault="00113E80" w:rsidP="00113E80">
      <w:r>
        <w:t>&lt;ESMA_QUESTION_CSDC_4&gt;</w:t>
      </w:r>
    </w:p>
    <w:p w14:paraId="4662880E" w14:textId="77777777" w:rsidR="00113E80" w:rsidRDefault="00113E80" w:rsidP="00113E80"/>
    <w:p w14:paraId="4D0A5993" w14:textId="77777777" w:rsidR="00113E80" w:rsidRDefault="00113E80" w:rsidP="00113E80">
      <w:pPr>
        <w:pStyle w:val="Questionstyle"/>
        <w:numPr>
          <w:ilvl w:val="0"/>
          <w:numId w:val="14"/>
        </w:numPr>
        <w:tabs>
          <w:tab w:val="clear" w:pos="567"/>
        </w:tabs>
        <w:spacing w:after="240" w:line="256" w:lineRule="auto"/>
        <w:ind w:left="851" w:hanging="851"/>
      </w:pPr>
      <w:r>
        <w:rPr>
          <w:bCs/>
        </w:rPr>
        <w:t>Should the 10:00 CET deadline for professional clients in different time zones and retail clients be brought forward to 07:00 CET on T+1, to be aligned with the UK deadline?</w:t>
      </w:r>
    </w:p>
    <w:p w14:paraId="211B4A19" w14:textId="77777777" w:rsidR="00113E80" w:rsidRDefault="00113E80" w:rsidP="00113E80">
      <w:r>
        <w:t>&lt;ESMA_QUESTION_CSDC_5&gt;</w:t>
      </w:r>
    </w:p>
    <w:p w14:paraId="2EF677ED" w14:textId="77777777" w:rsidR="00113E80" w:rsidRDefault="00113E80" w:rsidP="00113E80">
      <w:permStart w:id="2044342554" w:edGrp="everyone"/>
      <w:r>
        <w:t>TYPE YOUR TEXT HERE</w:t>
      </w:r>
    </w:p>
    <w:permEnd w:id="2044342554"/>
    <w:p w14:paraId="40638694" w14:textId="77777777" w:rsidR="00113E80" w:rsidRDefault="00113E80" w:rsidP="00113E80">
      <w:r>
        <w:lastRenderedPageBreak/>
        <w:t>&lt;ESMA_QUESTION_CSDC_5&gt;</w:t>
      </w:r>
    </w:p>
    <w:p w14:paraId="452EC08B" w14:textId="77777777" w:rsidR="00113E80" w:rsidRDefault="00113E80" w:rsidP="00113E80"/>
    <w:p w14:paraId="2D9D7A1A" w14:textId="77777777" w:rsidR="00113E80" w:rsidRDefault="00113E80" w:rsidP="00113E80">
      <w:pPr>
        <w:pStyle w:val="Questionstyle"/>
        <w:numPr>
          <w:ilvl w:val="0"/>
          <w:numId w:val="14"/>
        </w:numPr>
        <w:tabs>
          <w:tab w:val="clear" w:pos="567"/>
        </w:tabs>
        <w:spacing w:after="240" w:line="256" w:lineRule="auto"/>
        <w:ind w:left="851" w:hanging="851"/>
      </w:pPr>
      <w:r>
        <w:t>Can you suggest any other means to achieve the same objective? If yes, please elaborate</w:t>
      </w:r>
    </w:p>
    <w:p w14:paraId="0D61F69D" w14:textId="77777777" w:rsidR="00113E80" w:rsidRDefault="00113E80" w:rsidP="00113E80">
      <w:r>
        <w:t>&lt;ESMA_QUESTION_CSDC_6&gt;</w:t>
      </w:r>
    </w:p>
    <w:p w14:paraId="023E9D3C" w14:textId="77777777" w:rsidR="00113E80" w:rsidRDefault="00113E80" w:rsidP="00113E80">
      <w:permStart w:id="1632175159" w:edGrp="everyone"/>
      <w:r>
        <w:t>TYPE YOUR TEXT HERE</w:t>
      </w:r>
    </w:p>
    <w:permEnd w:id="1632175159"/>
    <w:p w14:paraId="3722C31D" w14:textId="77777777" w:rsidR="00113E80" w:rsidRDefault="00113E80" w:rsidP="00113E80">
      <w:r>
        <w:t>&lt;ESMA_QUESTION_CSDC_6&gt;</w:t>
      </w:r>
    </w:p>
    <w:p w14:paraId="359036A3" w14:textId="77777777" w:rsidR="005C5C54" w:rsidRDefault="005C5C54" w:rsidP="00113E80"/>
    <w:p w14:paraId="4BA411D8" w14:textId="7C721964" w:rsidR="00113E80" w:rsidRDefault="005C5C54" w:rsidP="00113E80">
      <w:pPr>
        <w:rPr>
          <w:b/>
          <w:bCs/>
        </w:rPr>
      </w:pPr>
      <w:r w:rsidRPr="005C5C54">
        <w:rPr>
          <w:b/>
          <w:bCs/>
        </w:rPr>
        <w:t>3.1.2</w:t>
      </w:r>
      <w:r w:rsidRPr="005C5C54">
        <w:rPr>
          <w:b/>
          <w:bCs/>
        </w:rPr>
        <w:tab/>
        <w:t>Means for sending allocations and confirmations</w:t>
      </w:r>
    </w:p>
    <w:p w14:paraId="5113B20F" w14:textId="77777777" w:rsidR="005C5C54" w:rsidRPr="005C5C54" w:rsidRDefault="005C5C54" w:rsidP="00113E80">
      <w:pPr>
        <w:rPr>
          <w:b/>
          <w:bCs/>
        </w:rPr>
      </w:pPr>
    </w:p>
    <w:p w14:paraId="704D61EF" w14:textId="77777777" w:rsidR="00113E80" w:rsidRDefault="00113E80" w:rsidP="00113E80">
      <w:pPr>
        <w:pStyle w:val="Questionstyle"/>
        <w:numPr>
          <w:ilvl w:val="0"/>
          <w:numId w:val="14"/>
        </w:numPr>
        <w:tabs>
          <w:tab w:val="clear" w:pos="567"/>
        </w:tabs>
        <w:spacing w:after="240" w:line="256" w:lineRule="auto"/>
        <w:ind w:left="851" w:hanging="851"/>
      </w:pPr>
      <w:r>
        <w:t>Do you agree to make the use of electronic and machine-readable format that allow for STP mandatory for written allocations?</w:t>
      </w:r>
    </w:p>
    <w:p w14:paraId="63B2FF30" w14:textId="77777777" w:rsidR="00113E80" w:rsidRDefault="00113E80" w:rsidP="00113E80">
      <w:r>
        <w:t>&lt;ESMA_QUESTION_CSDC_7&gt;</w:t>
      </w:r>
    </w:p>
    <w:p w14:paraId="64F4CDE5" w14:textId="77777777" w:rsidR="00113E80" w:rsidRDefault="00113E80" w:rsidP="00113E80">
      <w:permStart w:id="710046495" w:edGrp="everyone"/>
      <w:r>
        <w:t>TYPE YOUR TEXT HERE</w:t>
      </w:r>
    </w:p>
    <w:permEnd w:id="710046495"/>
    <w:p w14:paraId="1E8BB4E4" w14:textId="77777777" w:rsidR="00113E80" w:rsidRDefault="00113E80" w:rsidP="00113E80">
      <w:r>
        <w:t>&lt;ESMA_QUESTION_CSDC_7&gt;</w:t>
      </w:r>
    </w:p>
    <w:p w14:paraId="70A75B7A" w14:textId="77777777" w:rsidR="00113E80" w:rsidRDefault="00113E80" w:rsidP="00113E80"/>
    <w:p w14:paraId="5F6D508D" w14:textId="77777777" w:rsidR="00113E80" w:rsidRDefault="00113E80" w:rsidP="00113E80">
      <w:pPr>
        <w:pStyle w:val="Questionstyle"/>
        <w:numPr>
          <w:ilvl w:val="0"/>
          <w:numId w:val="14"/>
        </w:numPr>
        <w:tabs>
          <w:tab w:val="clear" w:pos="567"/>
        </w:tabs>
        <w:spacing w:after="240" w:line="256" w:lineRule="auto"/>
        <w:ind w:left="851" w:hanging="851"/>
      </w:pPr>
      <w:r>
        <w:rPr>
          <w:bCs/>
        </w:rPr>
        <w:t>Would you see merit in introducing optionality for investment firms to set deadlines based on whether an electronic, machine-readable format of the communication is used? In such case, do you agree that an earlier deadline could be set for non-machine readable formats, so clients are disincentivised to use them? Which should be such deadline?</w:t>
      </w:r>
    </w:p>
    <w:p w14:paraId="7FB82D86" w14:textId="77777777" w:rsidR="00113E80" w:rsidRDefault="00113E80" w:rsidP="00113E80">
      <w:r>
        <w:t>&lt;ESMA_QUESTION_CSDC_8&gt;</w:t>
      </w:r>
    </w:p>
    <w:p w14:paraId="57B77AFE" w14:textId="77777777" w:rsidR="00113E80" w:rsidRDefault="00113E80" w:rsidP="00113E80">
      <w:permStart w:id="1760119091" w:edGrp="everyone"/>
      <w:r>
        <w:t>TYPE YOUR TEXT HERE</w:t>
      </w:r>
    </w:p>
    <w:permEnd w:id="1760119091"/>
    <w:p w14:paraId="34F6524B" w14:textId="77777777" w:rsidR="00113E80" w:rsidRDefault="00113E80" w:rsidP="00113E80">
      <w:r>
        <w:t>&lt;ESMA_QUESTION_CSDC_8&gt;</w:t>
      </w:r>
    </w:p>
    <w:p w14:paraId="68BFCFED" w14:textId="77777777" w:rsidR="00113E80" w:rsidRDefault="00113E80" w:rsidP="00113E80"/>
    <w:p w14:paraId="21989848" w14:textId="77777777" w:rsidR="00113E80" w:rsidRDefault="00113E80" w:rsidP="00113E80">
      <w:pPr>
        <w:pStyle w:val="Questionstyle"/>
        <w:numPr>
          <w:ilvl w:val="0"/>
          <w:numId w:val="14"/>
        </w:numPr>
        <w:tabs>
          <w:tab w:val="clear" w:pos="567"/>
        </w:tabs>
        <w:spacing w:after="240" w:line="256" w:lineRule="auto"/>
        <w:ind w:left="851" w:hanging="851"/>
      </w:pPr>
      <w:r>
        <w:t>Please provide quantitative evidence regarding the use of non-machine readable formats for written allocations and confirmations.</w:t>
      </w:r>
    </w:p>
    <w:p w14:paraId="7616CC2F" w14:textId="77777777" w:rsidR="00113E80" w:rsidRDefault="00113E80" w:rsidP="00113E80">
      <w:r>
        <w:t>&lt;ESMA_QUESTION_CSDC_9&gt;</w:t>
      </w:r>
    </w:p>
    <w:p w14:paraId="63A41298" w14:textId="77777777" w:rsidR="00113E80" w:rsidRDefault="00113E80" w:rsidP="00113E80">
      <w:permStart w:id="310472498" w:edGrp="everyone"/>
      <w:r>
        <w:t>TYPE YOUR TEXT HERE</w:t>
      </w:r>
    </w:p>
    <w:permEnd w:id="310472498"/>
    <w:p w14:paraId="286A443C" w14:textId="77777777" w:rsidR="00113E80" w:rsidRDefault="00113E80" w:rsidP="00113E80">
      <w:r>
        <w:t>&lt;ESMA_QUESTION_CSDC_9&gt;</w:t>
      </w:r>
    </w:p>
    <w:p w14:paraId="0FC884AC" w14:textId="77777777" w:rsidR="00113E80" w:rsidRDefault="00113E80" w:rsidP="00113E80"/>
    <w:p w14:paraId="1A9669EB" w14:textId="77777777" w:rsidR="00113E80" w:rsidRDefault="00113E80" w:rsidP="00113E80">
      <w:pPr>
        <w:pStyle w:val="Questionstyle"/>
        <w:numPr>
          <w:ilvl w:val="0"/>
          <w:numId w:val="14"/>
        </w:numPr>
        <w:tabs>
          <w:tab w:val="clear" w:pos="567"/>
        </w:tabs>
        <w:spacing w:after="240" w:line="256" w:lineRule="auto"/>
        <w:ind w:left="851" w:hanging="851"/>
      </w:pPr>
      <w:r>
        <w:rPr>
          <w:bCs/>
        </w:rPr>
        <w:t xml:space="preserve">Would it be necessary to introduce a similar obligation in other steps of the settlement chain? If yes, please elaborate. </w:t>
      </w:r>
    </w:p>
    <w:p w14:paraId="176A0F07" w14:textId="77777777" w:rsidR="00113E80" w:rsidRDefault="00113E80" w:rsidP="00113E80">
      <w:r>
        <w:t>&lt;ESMA_QUESTION_CSDC_10&gt;</w:t>
      </w:r>
    </w:p>
    <w:p w14:paraId="5ACF2AED" w14:textId="77777777" w:rsidR="00113E80" w:rsidRDefault="00113E80" w:rsidP="00113E80">
      <w:permStart w:id="2082210732" w:edGrp="everyone"/>
      <w:r>
        <w:t>TYPE YOUR TEXT HERE</w:t>
      </w:r>
    </w:p>
    <w:permEnd w:id="2082210732"/>
    <w:p w14:paraId="58AEA674" w14:textId="77777777" w:rsidR="00113E80" w:rsidRDefault="00113E80" w:rsidP="00113E80">
      <w:r>
        <w:t>&lt;ESMA_QUESTION_CSDC_10&gt;</w:t>
      </w:r>
    </w:p>
    <w:p w14:paraId="3F34A09C" w14:textId="77777777" w:rsidR="00113E80" w:rsidRDefault="00113E80" w:rsidP="00113E80"/>
    <w:p w14:paraId="61024CCC" w14:textId="77777777" w:rsidR="00113E80" w:rsidRDefault="00113E80" w:rsidP="00113E80">
      <w:pPr>
        <w:pStyle w:val="Questionstyle"/>
        <w:numPr>
          <w:ilvl w:val="0"/>
          <w:numId w:val="14"/>
        </w:numPr>
        <w:tabs>
          <w:tab w:val="clear" w:pos="567"/>
        </w:tabs>
        <w:spacing w:after="240" w:line="256" w:lineRule="auto"/>
        <w:ind w:left="851" w:hanging="851"/>
      </w:pPr>
      <w:r>
        <w:rPr>
          <w:bCs/>
        </w:rPr>
        <w:lastRenderedPageBreak/>
        <w:t>Can you suggest any other means to achieve the same objective? If yes, please elaborate</w:t>
      </w:r>
      <w:r>
        <w:t xml:space="preserve"> </w:t>
      </w:r>
    </w:p>
    <w:p w14:paraId="30491CEE" w14:textId="77777777" w:rsidR="00113E80" w:rsidRDefault="00113E80" w:rsidP="00113E80">
      <w:r>
        <w:t>&lt;ESMA_QUESTION_CSDC_11&gt;</w:t>
      </w:r>
    </w:p>
    <w:p w14:paraId="7FE7A2BC" w14:textId="77777777" w:rsidR="00113E80" w:rsidRDefault="00113E80" w:rsidP="00113E80">
      <w:permStart w:id="121250484" w:edGrp="everyone"/>
      <w:r>
        <w:t>TYPE YOUR TEXT HERE</w:t>
      </w:r>
    </w:p>
    <w:permEnd w:id="121250484"/>
    <w:p w14:paraId="745B030D" w14:textId="77777777" w:rsidR="00113E80" w:rsidRDefault="00113E80" w:rsidP="00113E80">
      <w:r>
        <w:t>&lt;ESMA_QUESTION_CSDC_11&gt;</w:t>
      </w:r>
    </w:p>
    <w:p w14:paraId="6290F432" w14:textId="77777777" w:rsidR="00113E80" w:rsidRPr="005C5C54" w:rsidRDefault="00113E80" w:rsidP="00113E80">
      <w:pPr>
        <w:rPr>
          <w:b/>
          <w:bCs/>
        </w:rPr>
      </w:pPr>
    </w:p>
    <w:p w14:paraId="49E16D18" w14:textId="11CB7E73" w:rsidR="005C5C54" w:rsidRPr="005C5C54" w:rsidRDefault="005C5C54" w:rsidP="00113E80">
      <w:pPr>
        <w:rPr>
          <w:b/>
          <w:bCs/>
        </w:rPr>
      </w:pPr>
      <w:r w:rsidRPr="005C5C54">
        <w:rPr>
          <w:b/>
          <w:bCs/>
        </w:rPr>
        <w:t>3.1.3</w:t>
      </w:r>
      <w:r w:rsidRPr="005C5C54">
        <w:rPr>
          <w:b/>
          <w:bCs/>
        </w:rPr>
        <w:tab/>
        <w:t>The use of international open communication procedures and standards for messaging and reference data to exchange allocations and confirmations</w:t>
      </w:r>
    </w:p>
    <w:p w14:paraId="6126B82C" w14:textId="77777777" w:rsidR="005C5C54" w:rsidRDefault="005C5C54" w:rsidP="00113E80"/>
    <w:p w14:paraId="6DF50059" w14:textId="77777777" w:rsidR="00113E80" w:rsidRDefault="00113E80" w:rsidP="00113E80">
      <w:pPr>
        <w:pStyle w:val="Questionstyle"/>
        <w:numPr>
          <w:ilvl w:val="0"/>
          <w:numId w:val="14"/>
        </w:numPr>
        <w:tabs>
          <w:tab w:val="clear" w:pos="567"/>
        </w:tabs>
        <w:spacing w:after="240" w:line="256" w:lineRule="auto"/>
        <w:ind w:left="851" w:hanging="851"/>
        <w:rPr>
          <w:bCs/>
        </w:rPr>
      </w:pPr>
      <w:r>
        <w:rPr>
          <w:bCs/>
        </w:rPr>
        <w:t>Do you agree with the proposed amendment to Article 2 of CDR 2018/1229?</w:t>
      </w:r>
    </w:p>
    <w:p w14:paraId="6B1B3C88" w14:textId="77777777" w:rsidR="00113E80" w:rsidRDefault="00113E80" w:rsidP="00113E80">
      <w:r>
        <w:t>&lt;ESMA_QUESTION_CSDC_12&gt;</w:t>
      </w:r>
    </w:p>
    <w:p w14:paraId="0EEE2452" w14:textId="75A26AB5" w:rsidR="00113E80" w:rsidRDefault="009424E0" w:rsidP="00113E80">
      <w:permStart w:id="1944546360" w:edGrp="everyone"/>
      <w:r>
        <w:t>The Global Legal Entity Identifier Foundation (GLEIF) fully support</w:t>
      </w:r>
      <w:r w:rsidR="0094139E">
        <w:t>s</w:t>
      </w:r>
      <w:r>
        <w:t xml:space="preserve"> the initiative to leverage open international standards by investment firms to enhance settlement transaction discipline.</w:t>
      </w:r>
    </w:p>
    <w:p w14:paraId="5E662D29" w14:textId="46881860" w:rsidR="009424E0" w:rsidRDefault="009424E0" w:rsidP="00113E80">
      <w:r>
        <w:t>Particularly in a cross-border context, global open standards</w:t>
      </w:r>
      <w:r w:rsidR="0094139E">
        <w:t>,</w:t>
      </w:r>
      <w:r>
        <w:t xml:space="preserve"> such as the ISO 17442 Legal Entity Identifier (LEI)</w:t>
      </w:r>
      <w:r w:rsidR="0094139E">
        <w:t>,</w:t>
      </w:r>
      <w:r>
        <w:t xml:space="preserve"> can remove administrative frictions inherent with jurisdiction-specific standards or identifiers. Such aspect is particularly important given the global nature </w:t>
      </w:r>
      <w:r w:rsidR="00036B85">
        <w:t>of financial markets and ensuring central securities depositories can easily access new markets in an efficient manner</w:t>
      </w:r>
      <w:r>
        <w:t>.</w:t>
      </w:r>
    </w:p>
    <w:permEnd w:id="1944546360"/>
    <w:p w14:paraId="60F41B74" w14:textId="77777777" w:rsidR="00113E80" w:rsidRDefault="00113E80" w:rsidP="00113E80">
      <w:r>
        <w:t>&lt;ESMA_QUESTION_CSDC_12&gt;</w:t>
      </w:r>
    </w:p>
    <w:p w14:paraId="0FCE1DCA" w14:textId="77777777" w:rsidR="00113E80" w:rsidRDefault="00113E80" w:rsidP="00113E80"/>
    <w:p w14:paraId="71599064" w14:textId="77777777" w:rsidR="00113E80" w:rsidRDefault="00113E80" w:rsidP="00113E80">
      <w:pPr>
        <w:pStyle w:val="Questionstyle"/>
        <w:numPr>
          <w:ilvl w:val="0"/>
          <w:numId w:val="14"/>
        </w:numPr>
        <w:tabs>
          <w:tab w:val="clear" w:pos="567"/>
        </w:tabs>
        <w:spacing w:after="240" w:line="256" w:lineRule="auto"/>
        <w:ind w:left="851" w:hanging="851"/>
      </w:pPr>
      <w:r>
        <w:t>Do you agree that settlement efficiency would improve if all parties in the transaction and settlement chain used the latest international standards, such as the ISO 20022 messaging standards, in particular whenever A2A messages and data are exchanged? If not, please elaborate. How long would it take for all parties to adapt to ISO20022?</w:t>
      </w:r>
    </w:p>
    <w:p w14:paraId="14054D82" w14:textId="77777777" w:rsidR="00113E80" w:rsidRDefault="00113E80" w:rsidP="00113E80">
      <w:r>
        <w:t>&lt;ESMA_QUESTION_CSDC_13&gt;</w:t>
      </w:r>
    </w:p>
    <w:p w14:paraId="2A7B2D66" w14:textId="2C55F08C" w:rsidR="00113E80" w:rsidRDefault="00DC6F6D" w:rsidP="00113E80">
      <w:permStart w:id="368068282" w:edGrp="everyone"/>
      <w:r>
        <w:t>GLEIF supports the use of the ISO 2022 messaging standards and recommends the use of the ISO 17442 LEI to identify counterparties as part of the messages in order to enhance capacity to read and analyse exchanged data.</w:t>
      </w:r>
    </w:p>
    <w:permEnd w:id="368068282"/>
    <w:p w14:paraId="52896C3C" w14:textId="77777777" w:rsidR="00113E80" w:rsidRDefault="00113E80" w:rsidP="00113E80">
      <w:r>
        <w:t>&lt;ESMA_QUESTION_CSDC_13&gt;</w:t>
      </w:r>
    </w:p>
    <w:p w14:paraId="7D0A0CE4" w14:textId="77777777" w:rsidR="00113E80" w:rsidRDefault="00113E80" w:rsidP="00113E80"/>
    <w:p w14:paraId="059D7188" w14:textId="77777777" w:rsidR="00113E80" w:rsidRDefault="00113E80" w:rsidP="00113E80">
      <w:pPr>
        <w:pStyle w:val="Questionstyle"/>
        <w:numPr>
          <w:ilvl w:val="0"/>
          <w:numId w:val="14"/>
        </w:numPr>
        <w:tabs>
          <w:tab w:val="clear" w:pos="567"/>
        </w:tabs>
        <w:spacing w:after="240" w:line="256" w:lineRule="auto"/>
        <w:ind w:left="851" w:hanging="851"/>
      </w:pPr>
      <w:r>
        <w:t>Can you provide figures (by number and type of financial entities, jurisdictions) regarding the current use of international open communication procedures and standards such as: a) ISO 20022, b) ISO 15022, c) others (please specify)?</w:t>
      </w:r>
    </w:p>
    <w:p w14:paraId="041914B3" w14:textId="77777777" w:rsidR="00113E80" w:rsidRDefault="00113E80" w:rsidP="00113E80">
      <w:r>
        <w:t>&lt;ESMA_QUESTION_CSDC_14&gt;</w:t>
      </w:r>
    </w:p>
    <w:p w14:paraId="513BC389" w14:textId="69F56F46" w:rsidR="00113E80" w:rsidRDefault="000453E8" w:rsidP="00113E80">
      <w:permStart w:id="1359430245" w:edGrp="everyone"/>
      <w:r w:rsidRPr="000453E8">
        <w:t xml:space="preserve">As of </w:t>
      </w:r>
      <w:r w:rsidRPr="000453E8">
        <w:rPr>
          <w:rStyle w:val="Strong"/>
          <w:rFonts w:eastAsiaTheme="majorEastAsia"/>
          <w:b w:val="0"/>
          <w:bCs w:val="0"/>
        </w:rPr>
        <w:t>April 2025</w:t>
      </w:r>
      <w:r w:rsidRPr="000453E8">
        <w:rPr>
          <w:b/>
          <w:bCs/>
        </w:rPr>
        <w:t>,</w:t>
      </w:r>
      <w:r w:rsidRPr="000453E8">
        <w:t xml:space="preserve"> approximately </w:t>
      </w:r>
      <w:r w:rsidRPr="000453E8">
        <w:rPr>
          <w:rStyle w:val="Strong"/>
          <w:rFonts w:eastAsiaTheme="majorEastAsia"/>
          <w:b w:val="0"/>
          <w:bCs w:val="0"/>
        </w:rPr>
        <w:t>2.91 million LEIs</w:t>
      </w:r>
      <w:r w:rsidRPr="000453E8">
        <w:t xml:space="preserve"> have been issued worldwide, with </w:t>
      </w:r>
      <w:r w:rsidRPr="000453E8">
        <w:rPr>
          <w:rStyle w:val="Strong"/>
          <w:rFonts w:eastAsiaTheme="majorEastAsia"/>
          <w:b w:val="0"/>
          <w:bCs w:val="0"/>
        </w:rPr>
        <w:t>2.70 million classified as active</w:t>
      </w:r>
      <w:r w:rsidRPr="000453E8">
        <w:t>.</w:t>
      </w:r>
      <w:r w:rsidRPr="000453E8">
        <w:br/>
      </w:r>
      <w:r w:rsidR="008125EC" w:rsidRPr="000453E8">
        <w:lastRenderedPageBreak/>
        <w:t xml:space="preserve">The </w:t>
      </w:r>
      <w:r w:rsidR="008125EC" w:rsidRPr="000453E8">
        <w:fldChar w:fldCharType="begin"/>
      </w:r>
      <w:r w:rsidR="008125EC" w:rsidRPr="000453E8">
        <w:instrText>HYPERLINK "https://www.gleif.org/en/lei-data/global-lei-index/lei-statistics"</w:instrText>
      </w:r>
      <w:r w:rsidR="008125EC" w:rsidRPr="000453E8">
        <w:fldChar w:fldCharType="separate"/>
      </w:r>
      <w:r w:rsidR="008125EC" w:rsidRPr="000453E8">
        <w:rPr>
          <w:rStyle w:val="Hyperlink"/>
        </w:rPr>
        <w:t>Global LEI Sys</w:t>
      </w:r>
      <w:r w:rsidR="008125EC" w:rsidRPr="000453E8">
        <w:rPr>
          <w:rStyle w:val="Hyperlink"/>
        </w:rPr>
        <w:t>t</w:t>
      </w:r>
      <w:r w:rsidR="008125EC" w:rsidRPr="000453E8">
        <w:rPr>
          <w:rStyle w:val="Hyperlink"/>
        </w:rPr>
        <w:t>em Statistics dashb</w:t>
      </w:r>
      <w:r w:rsidR="008125EC" w:rsidRPr="000453E8">
        <w:rPr>
          <w:rStyle w:val="Hyperlink"/>
        </w:rPr>
        <w:t>o</w:t>
      </w:r>
      <w:r w:rsidR="008125EC" w:rsidRPr="000453E8">
        <w:rPr>
          <w:rStyle w:val="Hyperlink"/>
        </w:rPr>
        <w:t>ard</w:t>
      </w:r>
      <w:r w:rsidR="008125EC" w:rsidRPr="000453E8">
        <w:fldChar w:fldCharType="end"/>
      </w:r>
      <w:r w:rsidR="008125EC" w:rsidRPr="000453E8">
        <w:t xml:space="preserve"> provides a comprehensive breakdown of the total number of active LEIs issued by jurisdiction. </w:t>
      </w:r>
    </w:p>
    <w:p w14:paraId="7B68BA33" w14:textId="33007F6B" w:rsidR="000453E8" w:rsidRDefault="000453E8" w:rsidP="000453E8">
      <w:pPr>
        <w:spacing w:before="100" w:beforeAutospacing="1" w:after="100" w:afterAutospacing="1"/>
      </w:pPr>
      <w:r>
        <w:t>T</w:t>
      </w:r>
      <w:r>
        <w:t>he highest number of active LEIs are concentrated in the following jurisdictions</w:t>
      </w:r>
      <w:r>
        <w:t>:</w:t>
      </w:r>
    </w:p>
    <w:p w14:paraId="7BBC28F1" w14:textId="6179BAAB" w:rsidR="000453E8" w:rsidRPr="00DA1A36" w:rsidRDefault="000453E8" w:rsidP="000453E8">
      <w:pPr>
        <w:numPr>
          <w:ilvl w:val="0"/>
          <w:numId w:val="17"/>
        </w:numPr>
        <w:spacing w:before="100" w:beforeAutospacing="1" w:after="100" w:afterAutospacing="1"/>
      </w:pPr>
      <w:r w:rsidRPr="00DA1A36">
        <w:rPr>
          <w:rStyle w:val="Strong"/>
          <w:rFonts w:eastAsiaTheme="majorEastAsia"/>
          <w:b w:val="0"/>
          <w:bCs w:val="0"/>
        </w:rPr>
        <w:t>United States</w:t>
      </w:r>
      <w:r w:rsidRPr="00DA1A36">
        <w:t xml:space="preserve"> – </w:t>
      </w:r>
      <w:r w:rsidR="00DA1A36" w:rsidRPr="00DA1A36">
        <w:t>11</w:t>
      </w:r>
      <w:r w:rsidRPr="00DA1A36">
        <w:t>.</w:t>
      </w:r>
      <w:r w:rsidR="00DA1A36" w:rsidRPr="00DA1A36">
        <w:t>2</w:t>
      </w:r>
      <w:r w:rsidRPr="00DA1A36">
        <w:t xml:space="preserve">% </w:t>
      </w:r>
    </w:p>
    <w:p w14:paraId="076020DC" w14:textId="77777777" w:rsidR="00DA1A36" w:rsidRPr="00DA1A36" w:rsidRDefault="00DA1A36" w:rsidP="000453E8">
      <w:pPr>
        <w:numPr>
          <w:ilvl w:val="0"/>
          <w:numId w:val="17"/>
        </w:numPr>
        <w:spacing w:before="100" w:beforeAutospacing="1" w:after="100" w:afterAutospacing="1"/>
      </w:pPr>
      <w:r w:rsidRPr="00DA1A36">
        <w:rPr>
          <w:rStyle w:val="Strong"/>
          <w:rFonts w:eastAsiaTheme="majorEastAsia"/>
          <w:b w:val="0"/>
          <w:bCs w:val="0"/>
        </w:rPr>
        <w:t xml:space="preserve">India </w:t>
      </w:r>
      <w:r w:rsidRPr="00DA1A36">
        <w:t xml:space="preserve">– </w:t>
      </w:r>
      <w:r w:rsidRPr="00DA1A36">
        <w:t xml:space="preserve"> 7.8%</w:t>
      </w:r>
    </w:p>
    <w:p w14:paraId="4E9F4515" w14:textId="77777777" w:rsidR="00DA1A36" w:rsidRPr="00DA1A36" w:rsidRDefault="00DA1A36" w:rsidP="000453E8">
      <w:pPr>
        <w:numPr>
          <w:ilvl w:val="0"/>
          <w:numId w:val="17"/>
        </w:numPr>
        <w:spacing w:before="100" w:beforeAutospacing="1" w:after="100" w:afterAutospacing="1"/>
      </w:pPr>
      <w:r w:rsidRPr="00DA1A36">
        <w:rPr>
          <w:rStyle w:val="Strong"/>
          <w:rFonts w:eastAsiaTheme="majorEastAsia"/>
          <w:b w:val="0"/>
          <w:bCs w:val="0"/>
        </w:rPr>
        <w:t xml:space="preserve">Italy </w:t>
      </w:r>
      <w:r w:rsidRPr="00DA1A36">
        <w:t xml:space="preserve">– </w:t>
      </w:r>
      <w:r w:rsidRPr="00DA1A36">
        <w:t xml:space="preserve"> 7.6%</w:t>
      </w:r>
    </w:p>
    <w:p w14:paraId="56D3089C" w14:textId="78FAEA4B" w:rsidR="00DA1A36" w:rsidRPr="00DA1A36" w:rsidRDefault="00DA1A36" w:rsidP="00DA1A36">
      <w:pPr>
        <w:numPr>
          <w:ilvl w:val="0"/>
          <w:numId w:val="17"/>
        </w:numPr>
        <w:spacing w:before="100" w:beforeAutospacing="1" w:after="100" w:afterAutospacing="1"/>
      </w:pPr>
      <w:r w:rsidRPr="00DA1A36">
        <w:rPr>
          <w:rStyle w:val="Strong"/>
          <w:rFonts w:eastAsiaTheme="majorEastAsia"/>
          <w:b w:val="0"/>
          <w:bCs w:val="0"/>
        </w:rPr>
        <w:t>United Kingdom</w:t>
      </w:r>
      <w:r w:rsidRPr="00DA1A36">
        <w:t xml:space="preserve"> – </w:t>
      </w:r>
      <w:r w:rsidRPr="00DA1A36">
        <w:t>7</w:t>
      </w:r>
      <w:r w:rsidRPr="00DA1A36">
        <w:t>.</w:t>
      </w:r>
      <w:r w:rsidRPr="00DA1A36">
        <w:t>1</w:t>
      </w:r>
      <w:r w:rsidRPr="00DA1A36">
        <w:t>%</w:t>
      </w:r>
    </w:p>
    <w:p w14:paraId="7C7B8D79" w14:textId="0AEA1017" w:rsidR="000453E8" w:rsidRPr="00DA1A36" w:rsidRDefault="00DA1A36" w:rsidP="000453E8">
      <w:pPr>
        <w:numPr>
          <w:ilvl w:val="0"/>
          <w:numId w:val="17"/>
        </w:numPr>
        <w:spacing w:before="100" w:beforeAutospacing="1" w:after="100" w:afterAutospacing="1"/>
      </w:pPr>
      <w:r w:rsidRPr="00DA1A36">
        <w:rPr>
          <w:rStyle w:val="Strong"/>
          <w:rFonts w:eastAsiaTheme="majorEastAsia"/>
          <w:b w:val="0"/>
          <w:bCs w:val="0"/>
        </w:rPr>
        <w:t>Spain</w:t>
      </w:r>
      <w:r w:rsidR="000453E8" w:rsidRPr="00DA1A36">
        <w:t xml:space="preserve"> – </w:t>
      </w:r>
      <w:r w:rsidRPr="00DA1A36">
        <w:t>6</w:t>
      </w:r>
      <w:r w:rsidR="000453E8" w:rsidRPr="00DA1A36">
        <w:t>.</w:t>
      </w:r>
      <w:r w:rsidRPr="00DA1A36">
        <w:t>1</w:t>
      </w:r>
      <w:r w:rsidR="000453E8" w:rsidRPr="00DA1A36">
        <w:t>%</w:t>
      </w:r>
    </w:p>
    <w:p w14:paraId="4249C0ED" w14:textId="77777777" w:rsidR="000453E8" w:rsidRPr="00DA1A36" w:rsidRDefault="000453E8" w:rsidP="000453E8">
      <w:pPr>
        <w:spacing w:before="100" w:beforeAutospacing="1" w:after="100" w:afterAutospacing="1"/>
      </w:pPr>
      <w:r w:rsidRPr="00DA1A36">
        <w:t>LEIs have been adopted by a wide range of legal entities, primarily:</w:t>
      </w:r>
    </w:p>
    <w:p w14:paraId="227B0EE1" w14:textId="77777777" w:rsidR="000453E8" w:rsidRPr="00DA1A36" w:rsidRDefault="000453E8" w:rsidP="000453E8">
      <w:pPr>
        <w:numPr>
          <w:ilvl w:val="0"/>
          <w:numId w:val="18"/>
        </w:numPr>
        <w:spacing w:before="100" w:beforeAutospacing="1" w:after="100" w:afterAutospacing="1"/>
      </w:pPr>
      <w:r w:rsidRPr="00DA1A36">
        <w:rPr>
          <w:rStyle w:val="Strong"/>
          <w:rFonts w:eastAsiaTheme="majorEastAsia"/>
          <w:b w:val="0"/>
          <w:bCs w:val="0"/>
        </w:rPr>
        <w:t>Banks, investment firms, and insurers</w:t>
      </w:r>
      <w:r w:rsidRPr="00DA1A36">
        <w:t xml:space="preserve"> – particularly those subject to regulatory reporting.</w:t>
      </w:r>
    </w:p>
    <w:p w14:paraId="65F68BDA" w14:textId="25CCAF22" w:rsidR="000453E8" w:rsidRDefault="000453E8" w:rsidP="000453E8">
      <w:pPr>
        <w:numPr>
          <w:ilvl w:val="0"/>
          <w:numId w:val="18"/>
        </w:numPr>
        <w:spacing w:before="100" w:beforeAutospacing="1" w:after="100" w:afterAutospacing="1"/>
      </w:pPr>
      <w:r w:rsidRPr="00DA1A36">
        <w:rPr>
          <w:rStyle w:val="Strong"/>
          <w:rFonts w:eastAsiaTheme="majorEastAsia"/>
          <w:b w:val="0"/>
          <w:bCs w:val="0"/>
        </w:rPr>
        <w:t>Corporates and non-financial entities</w:t>
      </w:r>
      <w:r w:rsidRPr="00DA1A36">
        <w:t xml:space="preserve"> – often as</w:t>
      </w:r>
      <w:r>
        <w:t xml:space="preserve"> counterparties in securities and derivatives markets or to meet KYC</w:t>
      </w:r>
      <w:r>
        <w:t xml:space="preserve"> </w:t>
      </w:r>
      <w:r>
        <w:t>obligations.</w:t>
      </w:r>
    </w:p>
    <w:p w14:paraId="3CE4FA94" w14:textId="2B98F190" w:rsidR="000453E8" w:rsidRDefault="000453E8" w:rsidP="000453E8">
      <w:pPr>
        <w:spacing w:before="100" w:beforeAutospacing="1" w:after="100" w:afterAutospacing="1"/>
      </w:pPr>
      <w:r>
        <w:t xml:space="preserve">The above data is aligned with the </w:t>
      </w:r>
      <w:r>
        <w:fldChar w:fldCharType="begin"/>
      </w:r>
      <w:r>
        <w:instrText>HYPERLINK "https://www.fsb.org/wp-content/uploads/P280519-2.pdf"</w:instrText>
      </w:r>
      <w:r>
        <w:fldChar w:fldCharType="separate"/>
      </w:r>
      <w:r>
        <w:rPr>
          <w:rStyle w:val="Hyperlink"/>
        </w:rPr>
        <w:t>FSB's 2019 Thematic Review on the Implementation of the L</w:t>
      </w:r>
      <w:r>
        <w:rPr>
          <w:rStyle w:val="Hyperlink"/>
        </w:rPr>
        <w:t>E</w:t>
      </w:r>
      <w:r>
        <w:rPr>
          <w:rStyle w:val="Hyperlink"/>
        </w:rPr>
        <w:t>I</w:t>
      </w:r>
      <w:r>
        <w:fldChar w:fldCharType="end"/>
      </w:r>
      <w:r w:rsidR="00DA1A36">
        <w:t xml:space="preserve">, </w:t>
      </w:r>
      <w:r>
        <w:t xml:space="preserve">which indicated that the </w:t>
      </w:r>
      <w:r>
        <w:t>LEI uptake was primarily driven by regulatory mandates such as:</w:t>
      </w:r>
    </w:p>
    <w:p w14:paraId="376DDCC1" w14:textId="77777777" w:rsidR="000453E8" w:rsidRDefault="000453E8" w:rsidP="000453E8">
      <w:pPr>
        <w:numPr>
          <w:ilvl w:val="0"/>
          <w:numId w:val="19"/>
        </w:numPr>
        <w:spacing w:before="100" w:beforeAutospacing="1" w:after="100" w:afterAutospacing="1"/>
      </w:pPr>
      <w:r>
        <w:t>EMIR (EU)</w:t>
      </w:r>
    </w:p>
    <w:p w14:paraId="0CBA9B8D" w14:textId="77777777" w:rsidR="000453E8" w:rsidRDefault="000453E8" w:rsidP="000453E8">
      <w:pPr>
        <w:numPr>
          <w:ilvl w:val="0"/>
          <w:numId w:val="19"/>
        </w:numPr>
        <w:spacing w:before="100" w:beforeAutospacing="1" w:after="100" w:afterAutospacing="1"/>
      </w:pPr>
      <w:r>
        <w:t>MiFID II / MiFIR (EU)</w:t>
      </w:r>
    </w:p>
    <w:p w14:paraId="6DEE35FA" w14:textId="77777777" w:rsidR="000453E8" w:rsidRDefault="000453E8" w:rsidP="000453E8">
      <w:pPr>
        <w:numPr>
          <w:ilvl w:val="0"/>
          <w:numId w:val="19"/>
        </w:numPr>
        <w:spacing w:before="100" w:beforeAutospacing="1" w:after="100" w:afterAutospacing="1"/>
      </w:pPr>
      <w:r>
        <w:t>Dodd-Frank Act (US)</w:t>
      </w:r>
    </w:p>
    <w:p w14:paraId="694B4E79" w14:textId="54F39734" w:rsidR="000453E8" w:rsidRDefault="00CB6027" w:rsidP="000453E8">
      <w:pPr>
        <w:spacing w:before="100" w:beforeAutospacing="1" w:after="100" w:afterAutospacing="1"/>
      </w:pPr>
      <w:r>
        <w:t>In recent years</w:t>
      </w:r>
      <w:r>
        <w:t>, newer regulations have further expanded</w:t>
      </w:r>
      <w:r w:rsidR="00DA1A36">
        <w:t xml:space="preserve"> the</w:t>
      </w:r>
      <w:r>
        <w:t xml:space="preserve"> LEI adoption</w:t>
      </w:r>
      <w:r w:rsidR="00DA1A36">
        <w:t>,</w:t>
      </w:r>
      <w:r>
        <w:t xml:space="preserve"> such as:</w:t>
      </w:r>
    </w:p>
    <w:p w14:paraId="10DF8369" w14:textId="0A87D65D" w:rsidR="00CB6027" w:rsidRPr="00DA1A36" w:rsidRDefault="00CB6027" w:rsidP="00CB6027">
      <w:pPr>
        <w:pStyle w:val="ListParagraph"/>
        <w:rPr>
          <w:rFonts w:ascii="Times New Roman" w:hAnsi="Times New Roman" w:cs="Times New Roman"/>
        </w:rPr>
      </w:pPr>
      <w:r w:rsidRPr="00DA1A36">
        <w:rPr>
          <w:rFonts w:ascii="Times New Roman" w:hAnsi="Times New Roman" w:cs="Times New Roman"/>
        </w:rPr>
        <w:t>SFTR (EU</w:t>
      </w:r>
      <w:r w:rsidRPr="00DA1A36">
        <w:rPr>
          <w:rFonts w:ascii="Times New Roman" w:hAnsi="Times New Roman" w:cs="Times New Roman"/>
        </w:rPr>
        <w:t>)</w:t>
      </w:r>
    </w:p>
    <w:p w14:paraId="2294D6BE" w14:textId="10534B0D" w:rsidR="00CB6027" w:rsidRPr="00DA1A36" w:rsidRDefault="00CB6027" w:rsidP="00CB6027">
      <w:pPr>
        <w:pStyle w:val="ListParagraph"/>
        <w:rPr>
          <w:rFonts w:ascii="Times New Roman" w:hAnsi="Times New Roman" w:cs="Times New Roman"/>
          <w:b/>
          <w:bCs/>
        </w:rPr>
      </w:pPr>
      <w:r w:rsidRPr="00DA1A36">
        <w:rPr>
          <w:rStyle w:val="Strong"/>
          <w:rFonts w:ascii="Times New Roman" w:hAnsi="Times New Roman" w:cs="Times New Roman"/>
          <w:b w:val="0"/>
          <w:bCs w:val="0"/>
        </w:rPr>
        <w:t xml:space="preserve">ISO 20022 </w:t>
      </w:r>
      <w:proofErr w:type="spellStart"/>
      <w:r w:rsidRPr="00DA1A36">
        <w:rPr>
          <w:rStyle w:val="Strong"/>
          <w:rFonts w:ascii="Times New Roman" w:hAnsi="Times New Roman" w:cs="Times New Roman"/>
          <w:b w:val="0"/>
          <w:bCs w:val="0"/>
        </w:rPr>
        <w:t>migration</w:t>
      </w:r>
      <w:proofErr w:type="spellEnd"/>
      <w:r w:rsidRPr="00DA1A36">
        <w:rPr>
          <w:rStyle w:val="Strong"/>
          <w:rFonts w:ascii="Times New Roman" w:hAnsi="Times New Roman" w:cs="Times New Roman"/>
          <w:b w:val="0"/>
          <w:bCs w:val="0"/>
        </w:rPr>
        <w:t xml:space="preserve"> (</w:t>
      </w:r>
      <w:r w:rsidR="00DA1A36">
        <w:rPr>
          <w:rStyle w:val="Strong"/>
          <w:rFonts w:ascii="Times New Roman" w:hAnsi="Times New Roman" w:cs="Times New Roman"/>
          <w:b w:val="0"/>
          <w:bCs w:val="0"/>
        </w:rPr>
        <w:t>INT</w:t>
      </w:r>
      <w:r w:rsidRPr="00DA1A36">
        <w:rPr>
          <w:rStyle w:val="Strong"/>
          <w:rFonts w:ascii="Times New Roman" w:hAnsi="Times New Roman" w:cs="Times New Roman"/>
          <w:b w:val="0"/>
          <w:bCs w:val="0"/>
        </w:rPr>
        <w:t>)</w:t>
      </w:r>
    </w:p>
    <w:p w14:paraId="643E9E65" w14:textId="0D4DA112" w:rsidR="00CB6027" w:rsidRPr="00DA1A36" w:rsidRDefault="00CB6027" w:rsidP="00CB6027">
      <w:pPr>
        <w:pStyle w:val="ListParagraph"/>
        <w:rPr>
          <w:rFonts w:ascii="Times New Roman" w:hAnsi="Times New Roman" w:cs="Times New Roman"/>
          <w:b/>
          <w:bCs/>
        </w:rPr>
      </w:pPr>
      <w:r w:rsidRPr="00DA1A36">
        <w:rPr>
          <w:rFonts w:ascii="Times New Roman" w:hAnsi="Times New Roman" w:cs="Times New Roman"/>
        </w:rPr>
        <w:t xml:space="preserve">EU AML </w:t>
      </w:r>
      <w:proofErr w:type="spellStart"/>
      <w:r w:rsidRPr="00DA1A36">
        <w:rPr>
          <w:rFonts w:ascii="Times New Roman" w:hAnsi="Times New Roman" w:cs="Times New Roman"/>
        </w:rPr>
        <w:t>Legislative</w:t>
      </w:r>
      <w:proofErr w:type="spellEnd"/>
      <w:r w:rsidRPr="00DA1A36">
        <w:rPr>
          <w:rFonts w:ascii="Times New Roman" w:hAnsi="Times New Roman" w:cs="Times New Roman"/>
        </w:rPr>
        <w:t xml:space="preserve"> Package</w:t>
      </w:r>
      <w:r w:rsidRPr="00DA1A36">
        <w:rPr>
          <w:rFonts w:ascii="Times New Roman" w:hAnsi="Times New Roman" w:cs="Times New Roman"/>
        </w:rPr>
        <w:t xml:space="preserve"> (EU)</w:t>
      </w:r>
    </w:p>
    <w:p w14:paraId="465BB17E" w14:textId="1F816875" w:rsidR="00CB6027" w:rsidRPr="00DA1A36" w:rsidRDefault="00CB6027" w:rsidP="00CB6027">
      <w:pPr>
        <w:pStyle w:val="ListParagraph"/>
        <w:numPr>
          <w:ilvl w:val="1"/>
          <w:numId w:val="20"/>
        </w:numPr>
        <w:rPr>
          <w:rFonts w:ascii="Times New Roman" w:hAnsi="Times New Roman" w:cs="Times New Roman"/>
        </w:rPr>
      </w:pPr>
      <w:r w:rsidRPr="00CB6027">
        <w:rPr>
          <w:rFonts w:ascii="Times New Roman" w:hAnsi="Times New Roman" w:cs="Times New Roman"/>
        </w:rPr>
        <w:t>AML-</w:t>
      </w:r>
      <w:proofErr w:type="spellStart"/>
      <w:r w:rsidRPr="00CB6027">
        <w:rPr>
          <w:rFonts w:ascii="Times New Roman" w:hAnsi="Times New Roman" w:cs="Times New Roman"/>
        </w:rPr>
        <w:t>Regulation</w:t>
      </w:r>
      <w:proofErr w:type="spellEnd"/>
      <w:r w:rsidRPr="00CB6027">
        <w:rPr>
          <w:rFonts w:ascii="Times New Roman" w:hAnsi="Times New Roman" w:cs="Times New Roman"/>
        </w:rPr>
        <w:t xml:space="preserve"> (AMLR)</w:t>
      </w:r>
    </w:p>
    <w:p w14:paraId="6380E591" w14:textId="77777777" w:rsidR="00CB6027" w:rsidRPr="00CB6027" w:rsidRDefault="00CB6027" w:rsidP="00CB6027">
      <w:pPr>
        <w:pStyle w:val="ListParagraph"/>
        <w:numPr>
          <w:ilvl w:val="1"/>
          <w:numId w:val="20"/>
        </w:numPr>
        <w:rPr>
          <w:rFonts w:ascii="Times New Roman" w:hAnsi="Times New Roman" w:cs="Times New Roman"/>
        </w:rPr>
      </w:pPr>
      <w:proofErr w:type="spellStart"/>
      <w:r w:rsidRPr="00CB6027">
        <w:rPr>
          <w:rFonts w:ascii="Times New Roman" w:hAnsi="Times New Roman" w:cs="Times New Roman"/>
        </w:rPr>
        <w:t>Transfer</w:t>
      </w:r>
      <w:proofErr w:type="spellEnd"/>
      <w:r w:rsidRPr="00CB6027">
        <w:rPr>
          <w:rFonts w:ascii="Times New Roman" w:hAnsi="Times New Roman" w:cs="Times New Roman"/>
        </w:rPr>
        <w:t xml:space="preserve"> </w:t>
      </w:r>
      <w:proofErr w:type="spellStart"/>
      <w:r w:rsidRPr="00CB6027">
        <w:rPr>
          <w:rFonts w:ascii="Times New Roman" w:hAnsi="Times New Roman" w:cs="Times New Roman"/>
        </w:rPr>
        <w:t>of</w:t>
      </w:r>
      <w:proofErr w:type="spellEnd"/>
      <w:r w:rsidRPr="00CB6027">
        <w:rPr>
          <w:rFonts w:ascii="Times New Roman" w:hAnsi="Times New Roman" w:cs="Times New Roman"/>
        </w:rPr>
        <w:t xml:space="preserve"> Funds </w:t>
      </w:r>
      <w:proofErr w:type="spellStart"/>
      <w:r w:rsidRPr="00CB6027">
        <w:rPr>
          <w:rFonts w:ascii="Times New Roman" w:hAnsi="Times New Roman" w:cs="Times New Roman"/>
        </w:rPr>
        <w:t>Regulation</w:t>
      </w:r>
      <w:proofErr w:type="spellEnd"/>
      <w:r w:rsidRPr="00CB6027">
        <w:rPr>
          <w:rFonts w:ascii="Times New Roman" w:hAnsi="Times New Roman" w:cs="Times New Roman"/>
        </w:rPr>
        <w:t xml:space="preserve"> (TFR)</w:t>
      </w:r>
    </w:p>
    <w:p w14:paraId="2C51877F" w14:textId="5C44F720" w:rsidR="00CB6027" w:rsidRPr="00CB6027" w:rsidRDefault="00CB6027" w:rsidP="00CB6027">
      <w:pPr>
        <w:pStyle w:val="ListParagraph"/>
        <w:rPr>
          <w:rFonts w:ascii="Times New Roman" w:hAnsi="Times New Roman" w:cs="Times New Roman"/>
        </w:rPr>
      </w:pPr>
      <w:proofErr w:type="spellStart"/>
      <w:r w:rsidRPr="00CB6027">
        <w:rPr>
          <w:rFonts w:ascii="Times New Roman" w:hAnsi="Times New Roman" w:cs="Times New Roman"/>
        </w:rPr>
        <w:t>Instant</w:t>
      </w:r>
      <w:proofErr w:type="spellEnd"/>
      <w:r w:rsidRPr="00CB6027">
        <w:rPr>
          <w:rFonts w:ascii="Times New Roman" w:hAnsi="Times New Roman" w:cs="Times New Roman"/>
        </w:rPr>
        <w:t xml:space="preserve"> </w:t>
      </w:r>
      <w:proofErr w:type="spellStart"/>
      <w:r w:rsidRPr="00CB6027">
        <w:rPr>
          <w:rFonts w:ascii="Times New Roman" w:hAnsi="Times New Roman" w:cs="Times New Roman"/>
        </w:rPr>
        <w:t>Payments</w:t>
      </w:r>
      <w:proofErr w:type="spellEnd"/>
      <w:r w:rsidRPr="00CB6027">
        <w:rPr>
          <w:rFonts w:ascii="Times New Roman" w:hAnsi="Times New Roman" w:cs="Times New Roman"/>
        </w:rPr>
        <w:t xml:space="preserve"> </w:t>
      </w:r>
      <w:proofErr w:type="spellStart"/>
      <w:r w:rsidRPr="00CB6027">
        <w:rPr>
          <w:rFonts w:ascii="Times New Roman" w:hAnsi="Times New Roman" w:cs="Times New Roman"/>
        </w:rPr>
        <w:t>Regulation</w:t>
      </w:r>
      <w:proofErr w:type="spellEnd"/>
      <w:r w:rsidRPr="00CB6027">
        <w:rPr>
          <w:rFonts w:ascii="Times New Roman" w:hAnsi="Times New Roman" w:cs="Times New Roman"/>
        </w:rPr>
        <w:t xml:space="preserve"> (</w:t>
      </w:r>
      <w:r w:rsidRPr="00DA1A36">
        <w:rPr>
          <w:rFonts w:ascii="Times New Roman" w:hAnsi="Times New Roman" w:cs="Times New Roman"/>
        </w:rPr>
        <w:t>EU</w:t>
      </w:r>
      <w:r w:rsidRPr="00CB6027">
        <w:rPr>
          <w:rFonts w:ascii="Times New Roman" w:hAnsi="Times New Roman" w:cs="Times New Roman"/>
        </w:rPr>
        <w:t>)</w:t>
      </w:r>
    </w:p>
    <w:p w14:paraId="52F8E755" w14:textId="00D43884" w:rsidR="00CB6027" w:rsidRPr="00DA1A36" w:rsidRDefault="0012487E" w:rsidP="00CB6027">
      <w:pPr>
        <w:pStyle w:val="ListParagraph"/>
        <w:rPr>
          <w:rFonts w:ascii="Times New Roman" w:hAnsi="Times New Roman" w:cs="Times New Roman"/>
        </w:rPr>
      </w:pPr>
      <w:r w:rsidRPr="00DA1A36">
        <w:rPr>
          <w:rFonts w:ascii="Times New Roman" w:hAnsi="Times New Roman" w:cs="Times New Roman"/>
          <w:lang w:val="en-US"/>
        </w:rPr>
        <w:t>MiCA</w:t>
      </w:r>
      <w:r w:rsidRPr="00DA1A36">
        <w:rPr>
          <w:rFonts w:ascii="Times New Roman" w:hAnsi="Times New Roman" w:cs="Times New Roman"/>
          <w:lang w:val="en-US"/>
        </w:rPr>
        <w:t xml:space="preserve"> (EU)</w:t>
      </w:r>
    </w:p>
    <w:p w14:paraId="6648FBEE" w14:textId="7719A293" w:rsidR="0012487E" w:rsidRPr="00DA1A36" w:rsidRDefault="0012487E" w:rsidP="00CB6027">
      <w:pPr>
        <w:pStyle w:val="ListParagraph"/>
        <w:rPr>
          <w:rFonts w:ascii="Times New Roman" w:hAnsi="Times New Roman" w:cs="Times New Roman"/>
        </w:rPr>
      </w:pPr>
      <w:r w:rsidRPr="00DA1A36">
        <w:rPr>
          <w:rFonts w:ascii="Times New Roman" w:hAnsi="Times New Roman" w:cs="Times New Roman"/>
          <w:lang w:val="en-US"/>
        </w:rPr>
        <w:t>ISO 20002 CHAPS (UK)</w:t>
      </w:r>
    </w:p>
    <w:p w14:paraId="58FFB381" w14:textId="2494A27F" w:rsidR="00CB6027" w:rsidRPr="00DA1A36" w:rsidRDefault="0012487E" w:rsidP="00087B62">
      <w:pPr>
        <w:pStyle w:val="ListParagraph"/>
        <w:rPr>
          <w:rFonts w:ascii="Times New Roman" w:hAnsi="Times New Roman" w:cs="Times New Roman"/>
        </w:rPr>
      </w:pPr>
      <w:r w:rsidRPr="00DA1A36">
        <w:rPr>
          <w:rFonts w:ascii="Times New Roman" w:hAnsi="Times New Roman" w:cs="Times New Roman"/>
        </w:rPr>
        <w:t xml:space="preserve">RBI </w:t>
      </w:r>
      <w:proofErr w:type="spellStart"/>
      <w:r w:rsidRPr="00DA1A36">
        <w:rPr>
          <w:rFonts w:ascii="Times New Roman" w:hAnsi="Times New Roman" w:cs="Times New Roman"/>
        </w:rPr>
        <w:t>regulations</w:t>
      </w:r>
      <w:proofErr w:type="spellEnd"/>
      <w:r w:rsidRPr="00DA1A36">
        <w:rPr>
          <w:rFonts w:ascii="Times New Roman" w:hAnsi="Times New Roman" w:cs="Times New Roman"/>
        </w:rPr>
        <w:t xml:space="preserve"> (India) m</w:t>
      </w:r>
      <w:proofErr w:type="spellStart"/>
      <w:r w:rsidRPr="00DA1A36">
        <w:rPr>
          <w:rFonts w:ascii="Times New Roman" w:hAnsi="Times New Roman" w:cs="Times New Roman"/>
        </w:rPr>
        <w:t>andating</w:t>
      </w:r>
      <w:proofErr w:type="spellEnd"/>
      <w:r w:rsidRPr="00DA1A36">
        <w:rPr>
          <w:rFonts w:ascii="Times New Roman" w:hAnsi="Times New Roman" w:cs="Times New Roman"/>
        </w:rPr>
        <w:t xml:space="preserve"> the </w:t>
      </w:r>
      <w:proofErr w:type="spellStart"/>
      <w:r w:rsidRPr="00DA1A36">
        <w:rPr>
          <w:rFonts w:ascii="Times New Roman" w:hAnsi="Times New Roman" w:cs="Times New Roman"/>
        </w:rPr>
        <w:t>phase-wise</w:t>
      </w:r>
      <w:proofErr w:type="spellEnd"/>
      <w:r w:rsidRPr="00DA1A36">
        <w:rPr>
          <w:rFonts w:ascii="Times New Roman" w:hAnsi="Times New Roman" w:cs="Times New Roman"/>
        </w:rPr>
        <w:t xml:space="preserve"> </w:t>
      </w:r>
      <w:proofErr w:type="spellStart"/>
      <w:r w:rsidRPr="00DA1A36">
        <w:rPr>
          <w:rFonts w:ascii="Times New Roman" w:hAnsi="Times New Roman" w:cs="Times New Roman"/>
        </w:rPr>
        <w:t>impementation</w:t>
      </w:r>
      <w:proofErr w:type="spellEnd"/>
      <w:r w:rsidRPr="00DA1A36">
        <w:rPr>
          <w:rFonts w:ascii="Times New Roman" w:hAnsi="Times New Roman" w:cs="Times New Roman"/>
        </w:rPr>
        <w:t xml:space="preserve"> </w:t>
      </w:r>
      <w:proofErr w:type="spellStart"/>
      <w:r w:rsidRPr="00DA1A36">
        <w:rPr>
          <w:rFonts w:ascii="Times New Roman" w:hAnsi="Times New Roman" w:cs="Times New Roman"/>
        </w:rPr>
        <w:t>of</w:t>
      </w:r>
      <w:proofErr w:type="spellEnd"/>
      <w:r w:rsidRPr="00DA1A36">
        <w:rPr>
          <w:rFonts w:ascii="Times New Roman" w:hAnsi="Times New Roman" w:cs="Times New Roman"/>
        </w:rPr>
        <w:t xml:space="preserve"> the LEI </w:t>
      </w:r>
      <w:proofErr w:type="spellStart"/>
      <w:r w:rsidRPr="00DA1A36">
        <w:rPr>
          <w:rFonts w:ascii="Times New Roman" w:hAnsi="Times New Roman" w:cs="Times New Roman"/>
        </w:rPr>
        <w:t>accross</w:t>
      </w:r>
      <w:proofErr w:type="spellEnd"/>
      <w:r w:rsidRPr="00DA1A36">
        <w:rPr>
          <w:rFonts w:ascii="Times New Roman" w:hAnsi="Times New Roman" w:cs="Times New Roman"/>
        </w:rPr>
        <w:t xml:space="preserve"> </w:t>
      </w:r>
      <w:proofErr w:type="spellStart"/>
      <w:r w:rsidR="00087B62" w:rsidRPr="00DA1A36">
        <w:rPr>
          <w:rFonts w:ascii="Times New Roman" w:hAnsi="Times New Roman" w:cs="Times New Roman"/>
        </w:rPr>
        <w:t>multiple</w:t>
      </w:r>
      <w:proofErr w:type="spellEnd"/>
      <w:r w:rsidRPr="00DA1A36">
        <w:rPr>
          <w:rFonts w:ascii="Times New Roman" w:hAnsi="Times New Roman" w:cs="Times New Roman"/>
        </w:rPr>
        <w:t xml:space="preserve"> </w:t>
      </w:r>
      <w:proofErr w:type="spellStart"/>
      <w:r w:rsidRPr="00DA1A36">
        <w:rPr>
          <w:rFonts w:ascii="Times New Roman" w:hAnsi="Times New Roman" w:cs="Times New Roman"/>
        </w:rPr>
        <w:t>types</w:t>
      </w:r>
      <w:proofErr w:type="spellEnd"/>
      <w:r w:rsidRPr="00DA1A36">
        <w:rPr>
          <w:rFonts w:ascii="Times New Roman" w:hAnsi="Times New Roman" w:cs="Times New Roman"/>
        </w:rPr>
        <w:t xml:space="preserve"> </w:t>
      </w:r>
      <w:proofErr w:type="spellStart"/>
      <w:r w:rsidRPr="00DA1A36">
        <w:rPr>
          <w:rFonts w:ascii="Times New Roman" w:hAnsi="Times New Roman" w:cs="Times New Roman"/>
        </w:rPr>
        <w:t>of</w:t>
      </w:r>
      <w:proofErr w:type="spellEnd"/>
      <w:r w:rsidRPr="00DA1A36">
        <w:rPr>
          <w:rFonts w:ascii="Times New Roman" w:hAnsi="Times New Roman" w:cs="Times New Roman"/>
        </w:rPr>
        <w:t xml:space="preserve"> </w:t>
      </w:r>
      <w:proofErr w:type="spellStart"/>
      <w:r w:rsidRPr="00DA1A36">
        <w:rPr>
          <w:rFonts w:ascii="Times New Roman" w:hAnsi="Times New Roman" w:cs="Times New Roman"/>
        </w:rPr>
        <w:t>transactions</w:t>
      </w:r>
      <w:proofErr w:type="spellEnd"/>
    </w:p>
    <w:permEnd w:id="1359430245"/>
    <w:p w14:paraId="7CC9348F" w14:textId="77777777" w:rsidR="00113E80" w:rsidRDefault="00113E80" w:rsidP="00113E80">
      <w:r>
        <w:t>&lt;ESMA_QUESTION_CSDC_14&gt;</w:t>
      </w:r>
    </w:p>
    <w:p w14:paraId="4DF25154" w14:textId="77777777" w:rsidR="00113E80" w:rsidRDefault="00113E80" w:rsidP="00113E80"/>
    <w:p w14:paraId="6426D543" w14:textId="77777777" w:rsidR="00113E80" w:rsidRDefault="00113E80" w:rsidP="00113E80">
      <w:pPr>
        <w:pStyle w:val="Questionstyle"/>
        <w:numPr>
          <w:ilvl w:val="0"/>
          <w:numId w:val="14"/>
        </w:numPr>
        <w:tabs>
          <w:tab w:val="clear" w:pos="567"/>
        </w:tabs>
        <w:spacing w:after="240" w:line="256" w:lineRule="auto"/>
        <w:ind w:left="851" w:hanging="851"/>
      </w:pPr>
      <w:r>
        <w:rPr>
          <w:bCs/>
        </w:rPr>
        <w:lastRenderedPageBreak/>
        <w:t>Do you agree with the proposal of the EU Industry Task Force whereby allocation requirements should be aligned with CSD-level matching requirements? If not, please elaborate.</w:t>
      </w:r>
    </w:p>
    <w:p w14:paraId="40D04BB3" w14:textId="77777777" w:rsidR="00113E80" w:rsidRDefault="00113E80" w:rsidP="00113E80">
      <w:r>
        <w:t>&lt;ESMA_QUESTION_CSDC_15&gt;</w:t>
      </w:r>
    </w:p>
    <w:p w14:paraId="11F4DC22" w14:textId="77777777" w:rsidR="00113E80" w:rsidRDefault="00113E80" w:rsidP="00113E80">
      <w:permStart w:id="145703960" w:edGrp="everyone"/>
      <w:r>
        <w:t>TYPE YOUR TEXT HERE</w:t>
      </w:r>
    </w:p>
    <w:permEnd w:id="145703960"/>
    <w:p w14:paraId="79ADD07A" w14:textId="77777777" w:rsidR="00113E80" w:rsidRDefault="00113E80" w:rsidP="00113E80">
      <w:r>
        <w:t>&lt;ESMA_QUESTION_CSDC_15&gt;</w:t>
      </w:r>
    </w:p>
    <w:p w14:paraId="1C23C724" w14:textId="77777777" w:rsidR="00113E80" w:rsidRDefault="00113E80" w:rsidP="00113E80"/>
    <w:p w14:paraId="239B7C6F" w14:textId="77777777" w:rsidR="00113E80" w:rsidRDefault="00113E80" w:rsidP="00113E80">
      <w:pPr>
        <w:pStyle w:val="Questionstyle"/>
        <w:numPr>
          <w:ilvl w:val="0"/>
          <w:numId w:val="14"/>
        </w:numPr>
        <w:tabs>
          <w:tab w:val="clear" w:pos="567"/>
        </w:tabs>
        <w:spacing w:after="240" w:line="256" w:lineRule="auto"/>
        <w:ind w:left="851" w:hanging="851"/>
      </w:pPr>
      <w:r>
        <w:rPr>
          <w:bCs/>
        </w:rPr>
        <w:t>Can you suggest any other means to achieve the same objective? If yes, please elaborate.</w:t>
      </w:r>
    </w:p>
    <w:p w14:paraId="1F016553" w14:textId="77777777" w:rsidR="00113E80" w:rsidRDefault="00113E80" w:rsidP="00113E80">
      <w:r>
        <w:t>&lt;ESMA_QUESTION_CSDC_16&gt;</w:t>
      </w:r>
    </w:p>
    <w:p w14:paraId="1398E112" w14:textId="77777777" w:rsidR="00113E80" w:rsidRDefault="00113E80" w:rsidP="00113E80">
      <w:permStart w:id="1663978526" w:edGrp="everyone"/>
      <w:r>
        <w:t>TYPE YOUR TEXT HERE</w:t>
      </w:r>
    </w:p>
    <w:permEnd w:id="1663978526"/>
    <w:p w14:paraId="6AFF20B1" w14:textId="77777777" w:rsidR="00113E80" w:rsidRDefault="00113E80" w:rsidP="00113E80">
      <w:r>
        <w:t>&lt;ESMA_QUESTION_CSDC_16&gt;</w:t>
      </w:r>
    </w:p>
    <w:p w14:paraId="50316FC7" w14:textId="77777777" w:rsidR="005C5C54" w:rsidRDefault="005C5C54" w:rsidP="00113E80">
      <w:pPr>
        <w:rPr>
          <w:b/>
          <w:bCs/>
        </w:rPr>
      </w:pPr>
    </w:p>
    <w:p w14:paraId="2706860F" w14:textId="63265255" w:rsidR="005C5C54" w:rsidRPr="005C5C54" w:rsidRDefault="005C5C54" w:rsidP="00113E80">
      <w:pPr>
        <w:rPr>
          <w:b/>
          <w:bCs/>
        </w:rPr>
      </w:pPr>
      <w:r w:rsidRPr="005C5C54">
        <w:rPr>
          <w:b/>
          <w:bCs/>
        </w:rPr>
        <w:t>3.1.4</w:t>
      </w:r>
      <w:r w:rsidRPr="005C5C54">
        <w:rPr>
          <w:b/>
          <w:bCs/>
        </w:rPr>
        <w:tab/>
        <w:t>Onboarding of new clients</w:t>
      </w:r>
    </w:p>
    <w:p w14:paraId="58960622" w14:textId="77777777" w:rsidR="00113E80" w:rsidRDefault="00113E80" w:rsidP="00113E80"/>
    <w:p w14:paraId="0E762C7B" w14:textId="77777777" w:rsidR="00113E80" w:rsidRDefault="00113E80" w:rsidP="00113E80">
      <w:pPr>
        <w:pStyle w:val="Questionstyle"/>
        <w:numPr>
          <w:ilvl w:val="0"/>
          <w:numId w:val="14"/>
        </w:numPr>
        <w:tabs>
          <w:tab w:val="clear" w:pos="567"/>
        </w:tabs>
        <w:spacing w:after="240" w:line="256" w:lineRule="auto"/>
        <w:ind w:left="851" w:hanging="851"/>
      </w:pPr>
      <w:r>
        <w:t>Do you agree with the proposed regulatory change to introduce an obligation for investment firms to collect the data necessary to settle a trade from professional clients during their onboarding and to keep it updated? If not, please explain.</w:t>
      </w:r>
    </w:p>
    <w:p w14:paraId="66953443" w14:textId="77777777" w:rsidR="00113E80" w:rsidRDefault="00113E80" w:rsidP="00113E80">
      <w:r>
        <w:t>&lt;ESMA_QUESTION_CSDC_17&gt;</w:t>
      </w:r>
    </w:p>
    <w:p w14:paraId="0502D66B" w14:textId="77777777" w:rsidR="00113E80" w:rsidRDefault="00113E80" w:rsidP="00113E80">
      <w:permStart w:id="1657810091" w:edGrp="everyone"/>
      <w:r>
        <w:t>TYPE YOUR TEXT HERE</w:t>
      </w:r>
    </w:p>
    <w:permEnd w:id="1657810091"/>
    <w:p w14:paraId="58E885CF" w14:textId="77777777" w:rsidR="00113E80" w:rsidRDefault="00113E80" w:rsidP="00113E80">
      <w:r>
        <w:t>&lt;ESMA_QUESTION_CSDC_17&gt;</w:t>
      </w:r>
    </w:p>
    <w:p w14:paraId="6B624637" w14:textId="77777777" w:rsidR="00113E80" w:rsidRDefault="00113E80" w:rsidP="00113E80"/>
    <w:p w14:paraId="342C9B06" w14:textId="77777777" w:rsidR="00113E80" w:rsidRDefault="00113E80" w:rsidP="00113E80">
      <w:pPr>
        <w:pStyle w:val="Questionstyle"/>
        <w:numPr>
          <w:ilvl w:val="0"/>
          <w:numId w:val="14"/>
        </w:numPr>
        <w:tabs>
          <w:tab w:val="clear" w:pos="567"/>
        </w:tabs>
        <w:spacing w:after="240" w:line="256" w:lineRule="auto"/>
        <w:ind w:left="851" w:hanging="851"/>
      </w:pPr>
      <w:r>
        <w:t>Can you suggest any other means to achieve the same objective? If yes, please elaborate.</w:t>
      </w:r>
    </w:p>
    <w:p w14:paraId="2E441683" w14:textId="77777777" w:rsidR="00113E80" w:rsidRDefault="00113E80" w:rsidP="00113E80">
      <w:r>
        <w:t>&lt;ESMA_QUESTION_CSDC_18&gt;</w:t>
      </w:r>
    </w:p>
    <w:p w14:paraId="0520778F" w14:textId="77777777" w:rsidR="00113E80" w:rsidRDefault="00113E80" w:rsidP="00113E80">
      <w:permStart w:id="693599968" w:edGrp="everyone"/>
      <w:r>
        <w:t>TYPE YOUR TEXT HERE</w:t>
      </w:r>
    </w:p>
    <w:permEnd w:id="693599968"/>
    <w:p w14:paraId="499765DE" w14:textId="77777777" w:rsidR="00113E80" w:rsidRDefault="00113E80" w:rsidP="00113E80">
      <w:r>
        <w:t>&lt;ESMA_QUESTION_CSDC_18&gt;</w:t>
      </w:r>
    </w:p>
    <w:p w14:paraId="060AEB64" w14:textId="77777777" w:rsidR="005A35CA" w:rsidRDefault="005A35CA" w:rsidP="00113E80"/>
    <w:p w14:paraId="361D05CA" w14:textId="4970F6D9" w:rsidR="005A35CA" w:rsidRPr="005A35CA" w:rsidRDefault="005A35CA" w:rsidP="00113E80">
      <w:pPr>
        <w:rPr>
          <w:b/>
          <w:bCs/>
        </w:rPr>
      </w:pPr>
      <w:r w:rsidRPr="005A35CA">
        <w:rPr>
          <w:b/>
          <w:bCs/>
        </w:rPr>
        <w:t>3.1.6</w:t>
      </w:r>
      <w:r w:rsidRPr="005A35CA">
        <w:rPr>
          <w:b/>
          <w:bCs/>
        </w:rPr>
        <w:tab/>
        <w:t>Partial settlement</w:t>
      </w:r>
    </w:p>
    <w:p w14:paraId="502BC2F9" w14:textId="77777777" w:rsidR="00113E80" w:rsidRDefault="00113E80" w:rsidP="00113E80"/>
    <w:p w14:paraId="39E3B5AE" w14:textId="77777777" w:rsidR="00113E80" w:rsidRDefault="00113E80" w:rsidP="00113E80">
      <w:pPr>
        <w:pStyle w:val="Questionstyle"/>
        <w:numPr>
          <w:ilvl w:val="0"/>
          <w:numId w:val="14"/>
        </w:numPr>
        <w:tabs>
          <w:tab w:val="clear" w:pos="567"/>
        </w:tabs>
        <w:spacing w:after="240" w:line="256" w:lineRule="auto"/>
        <w:ind w:left="851" w:hanging="851"/>
      </w:pPr>
      <w:r>
        <w:t>Do you agree with the proposed amendment to Article 10 of CDR 2018/1229? If not, please elaborate.</w:t>
      </w:r>
    </w:p>
    <w:p w14:paraId="6FBDAB46" w14:textId="77777777" w:rsidR="00113E80" w:rsidRDefault="00113E80" w:rsidP="00113E80">
      <w:r>
        <w:t>&lt;ESMA_QUESTION_CSDC_19&gt;</w:t>
      </w:r>
    </w:p>
    <w:p w14:paraId="5A609F2E" w14:textId="77777777" w:rsidR="00113E80" w:rsidRDefault="00113E80" w:rsidP="00113E80">
      <w:permStart w:id="628694048" w:edGrp="everyone"/>
      <w:r>
        <w:t>TYPE YOUR TEXT HERE</w:t>
      </w:r>
    </w:p>
    <w:permEnd w:id="628694048"/>
    <w:p w14:paraId="47C78033" w14:textId="77777777" w:rsidR="00113E80" w:rsidRDefault="00113E80" w:rsidP="00113E80">
      <w:r>
        <w:t>&lt;ESMA_QUESTION_CSDC_19&gt;</w:t>
      </w:r>
    </w:p>
    <w:p w14:paraId="4B8E1239" w14:textId="77777777" w:rsidR="00113E80" w:rsidRDefault="00113E80" w:rsidP="00113E80"/>
    <w:p w14:paraId="245DEB8D" w14:textId="77777777" w:rsidR="00113E80" w:rsidRDefault="00113E80" w:rsidP="00113E80">
      <w:pPr>
        <w:pStyle w:val="Questionstyle"/>
        <w:numPr>
          <w:ilvl w:val="0"/>
          <w:numId w:val="14"/>
        </w:numPr>
        <w:tabs>
          <w:tab w:val="clear" w:pos="567"/>
        </w:tabs>
        <w:spacing w:after="240" w:line="256" w:lineRule="auto"/>
        <w:ind w:left="851" w:hanging="851"/>
      </w:pPr>
      <w:r>
        <w:lastRenderedPageBreak/>
        <w:t>Do you agree with the deletion of Article 12 of CDR 2018/1229? If not, please elaborate.</w:t>
      </w:r>
    </w:p>
    <w:p w14:paraId="422247B4" w14:textId="77777777" w:rsidR="00113E80" w:rsidRDefault="00113E80" w:rsidP="00113E80">
      <w:r>
        <w:t>&lt;ESMA_QUESTION_CSDC_20&gt;</w:t>
      </w:r>
    </w:p>
    <w:p w14:paraId="3825A92C" w14:textId="77777777" w:rsidR="00113E80" w:rsidRDefault="00113E80" w:rsidP="00113E80">
      <w:permStart w:id="272843166" w:edGrp="everyone"/>
      <w:r>
        <w:t>TYPE YOUR TEXT HERE</w:t>
      </w:r>
    </w:p>
    <w:permEnd w:id="272843166"/>
    <w:p w14:paraId="17D7BC3A" w14:textId="77777777" w:rsidR="00113E80" w:rsidRDefault="00113E80" w:rsidP="00113E80">
      <w:r>
        <w:t>&lt;ESMA_QUESTION_CSDC_20&gt;</w:t>
      </w:r>
    </w:p>
    <w:p w14:paraId="4A5CBC3C" w14:textId="77777777" w:rsidR="00113E80" w:rsidRDefault="00113E80" w:rsidP="00113E80"/>
    <w:p w14:paraId="62AE285B" w14:textId="77777777" w:rsidR="00113E80" w:rsidRDefault="00113E80" w:rsidP="00113E80">
      <w:pPr>
        <w:pStyle w:val="Questionstyle"/>
        <w:numPr>
          <w:ilvl w:val="0"/>
          <w:numId w:val="14"/>
        </w:numPr>
        <w:tabs>
          <w:tab w:val="clear" w:pos="567"/>
        </w:tabs>
        <w:spacing w:after="240" w:line="256" w:lineRule="auto"/>
        <w:ind w:left="851" w:hanging="851"/>
      </w:pPr>
      <w:r>
        <w:t>Do you have other suggestions to incentivise partial settlement? If yes, please elaborate.</w:t>
      </w:r>
    </w:p>
    <w:p w14:paraId="4E4F0DBD" w14:textId="77777777" w:rsidR="00113E80" w:rsidRDefault="00113E80" w:rsidP="00113E80">
      <w:r>
        <w:t>&lt;ESMA_QUESTION_CSDC_21&gt;</w:t>
      </w:r>
    </w:p>
    <w:p w14:paraId="49CEEDF7" w14:textId="77777777" w:rsidR="00113E80" w:rsidRDefault="00113E80" w:rsidP="00113E80">
      <w:permStart w:id="117865647" w:edGrp="everyone"/>
      <w:r>
        <w:t>TYPE YOUR TEXT HERE</w:t>
      </w:r>
    </w:p>
    <w:permEnd w:id="117865647"/>
    <w:p w14:paraId="228C028F" w14:textId="77777777" w:rsidR="00113E80" w:rsidRDefault="00113E80" w:rsidP="00113E80">
      <w:r>
        <w:t>&lt;ESMA_QUESTION_CSDC_21&gt;</w:t>
      </w:r>
    </w:p>
    <w:p w14:paraId="704AFC04" w14:textId="77777777" w:rsidR="00113E80" w:rsidRDefault="00113E80" w:rsidP="00113E80"/>
    <w:p w14:paraId="07B31E04" w14:textId="77777777" w:rsidR="00113E80" w:rsidRDefault="00113E80" w:rsidP="00113E80">
      <w:pPr>
        <w:pStyle w:val="Questionstyle"/>
        <w:numPr>
          <w:ilvl w:val="0"/>
          <w:numId w:val="14"/>
        </w:numPr>
        <w:tabs>
          <w:tab w:val="clear" w:pos="567"/>
        </w:tabs>
        <w:spacing w:after="240" w:line="256" w:lineRule="auto"/>
        <w:ind w:left="851" w:hanging="851"/>
      </w:pPr>
      <w:r>
        <w:t>Do you think that some types of transactions should not be subject to partial settlement? If yes, could you provide a list and the supporting reasoning?</w:t>
      </w:r>
    </w:p>
    <w:p w14:paraId="7D933CF7" w14:textId="77777777" w:rsidR="00113E80" w:rsidRDefault="00113E80" w:rsidP="00113E80">
      <w:r>
        <w:t>&lt;ESMA_QUESTION_CSDC_22&gt;</w:t>
      </w:r>
    </w:p>
    <w:p w14:paraId="1496D4CE" w14:textId="77777777" w:rsidR="00113E80" w:rsidRDefault="00113E80" w:rsidP="00113E80">
      <w:permStart w:id="591729658" w:edGrp="everyone"/>
      <w:r>
        <w:t>TYPE YOUR TEXT HERE</w:t>
      </w:r>
    </w:p>
    <w:permEnd w:id="591729658"/>
    <w:p w14:paraId="796EAD16" w14:textId="77777777" w:rsidR="00113E80" w:rsidRDefault="00113E80" w:rsidP="00113E80">
      <w:r>
        <w:t>&lt;ESMA_QUESTION_CSDC_22&gt;</w:t>
      </w:r>
    </w:p>
    <w:p w14:paraId="199C4201" w14:textId="77777777" w:rsidR="005A35CA" w:rsidRDefault="005A35CA" w:rsidP="00113E80"/>
    <w:p w14:paraId="25F3256C" w14:textId="491C960F" w:rsidR="00113E80" w:rsidRDefault="005A35CA" w:rsidP="00113E80">
      <w:pPr>
        <w:rPr>
          <w:b/>
          <w:bCs/>
        </w:rPr>
      </w:pPr>
      <w:r w:rsidRPr="005A35CA">
        <w:rPr>
          <w:b/>
          <w:bCs/>
        </w:rPr>
        <w:t>3.1.7. Auto-collateralisation</w:t>
      </w:r>
    </w:p>
    <w:p w14:paraId="117CC27B" w14:textId="77777777" w:rsidR="005A35CA" w:rsidRPr="005A35CA" w:rsidRDefault="005A35CA" w:rsidP="00113E80">
      <w:pPr>
        <w:rPr>
          <w:b/>
          <w:bCs/>
        </w:rPr>
      </w:pPr>
    </w:p>
    <w:p w14:paraId="7BEF6098" w14:textId="77777777" w:rsidR="00113E80" w:rsidRDefault="00113E80" w:rsidP="00113E80">
      <w:pPr>
        <w:pStyle w:val="Questionstyle"/>
        <w:numPr>
          <w:ilvl w:val="0"/>
          <w:numId w:val="14"/>
        </w:numPr>
        <w:tabs>
          <w:tab w:val="clear" w:pos="567"/>
        </w:tabs>
        <w:spacing w:after="240" w:line="256" w:lineRule="auto"/>
        <w:ind w:left="851" w:hanging="851"/>
      </w:pPr>
      <w:r>
        <w:rPr>
          <w:bCs/>
        </w:rPr>
        <w:t xml:space="preserve">Do you agree with the introduction of an obligation for CSDs to facilitate the provision of intraday cash credit secured with collateral via an auto-collateralisation facility? If not, please elaborate. </w:t>
      </w:r>
    </w:p>
    <w:p w14:paraId="2959A88C" w14:textId="77777777" w:rsidR="00113E80" w:rsidRDefault="00113E80" w:rsidP="00113E80">
      <w:r>
        <w:t>&lt;ESMA_QUESTION_CSDC_23&gt;</w:t>
      </w:r>
    </w:p>
    <w:p w14:paraId="6FA3CA1D" w14:textId="77777777" w:rsidR="00113E80" w:rsidRDefault="00113E80" w:rsidP="00113E80">
      <w:permStart w:id="367345271" w:edGrp="everyone"/>
      <w:r>
        <w:t>TYPE YOUR TEXT HERE</w:t>
      </w:r>
    </w:p>
    <w:permEnd w:id="367345271"/>
    <w:p w14:paraId="798DB0C5" w14:textId="77777777" w:rsidR="00113E80" w:rsidRDefault="00113E80" w:rsidP="00113E80">
      <w:r>
        <w:t>&lt;ESMA_QUESTION_CSDC_23&gt;</w:t>
      </w:r>
    </w:p>
    <w:p w14:paraId="4BC367AF" w14:textId="77777777" w:rsidR="00113E80" w:rsidRDefault="00113E80" w:rsidP="00113E80"/>
    <w:p w14:paraId="226D70A1" w14:textId="77777777" w:rsidR="00113E80" w:rsidRDefault="00113E80" w:rsidP="00113E80">
      <w:pPr>
        <w:pStyle w:val="Questionstyle"/>
        <w:numPr>
          <w:ilvl w:val="0"/>
          <w:numId w:val="14"/>
        </w:numPr>
        <w:tabs>
          <w:tab w:val="clear" w:pos="567"/>
        </w:tabs>
        <w:spacing w:after="240" w:line="256" w:lineRule="auto"/>
        <w:ind w:left="851" w:hanging="851"/>
      </w:pPr>
      <w:r>
        <w:t>Can you suggest any other means to achieve the same objective? If yes, please elaborate.</w:t>
      </w:r>
    </w:p>
    <w:p w14:paraId="5B8691F9" w14:textId="77777777" w:rsidR="00113E80" w:rsidRDefault="00113E80" w:rsidP="00113E80">
      <w:r>
        <w:t>&lt;ESMA_QUESTION_CSDC_24&gt;</w:t>
      </w:r>
    </w:p>
    <w:p w14:paraId="549AF438" w14:textId="77777777" w:rsidR="00113E80" w:rsidRDefault="00113E80" w:rsidP="00113E80">
      <w:permStart w:id="1759915737" w:edGrp="everyone"/>
      <w:r>
        <w:t>TYPE YOUR TEXT HERE</w:t>
      </w:r>
    </w:p>
    <w:permEnd w:id="1759915737"/>
    <w:p w14:paraId="5797DE5C" w14:textId="77777777" w:rsidR="00113E80" w:rsidRDefault="00113E80" w:rsidP="00113E80">
      <w:r>
        <w:t>&lt;ESMA_QUESTION_CSDC_24&gt;</w:t>
      </w:r>
    </w:p>
    <w:p w14:paraId="3A23B0BA" w14:textId="77777777" w:rsidR="00FE2F18" w:rsidRDefault="00FE2F18" w:rsidP="00113E80"/>
    <w:p w14:paraId="51140CAE" w14:textId="2F73B2DA" w:rsidR="00FE2F18" w:rsidRPr="00FE2F18" w:rsidRDefault="00FE2F18" w:rsidP="00113E80">
      <w:pPr>
        <w:rPr>
          <w:b/>
          <w:bCs/>
        </w:rPr>
      </w:pPr>
      <w:r w:rsidRPr="00FE2F18">
        <w:rPr>
          <w:b/>
          <w:bCs/>
        </w:rPr>
        <w:t>3.1.8</w:t>
      </w:r>
      <w:r w:rsidRPr="00FE2F18">
        <w:rPr>
          <w:b/>
          <w:bCs/>
        </w:rPr>
        <w:tab/>
        <w:t>Real-time gross settlement versus batches</w:t>
      </w:r>
    </w:p>
    <w:p w14:paraId="783A5D57" w14:textId="77777777" w:rsidR="00113E80" w:rsidRDefault="00113E80" w:rsidP="00113E80"/>
    <w:p w14:paraId="721BBE5A" w14:textId="77777777" w:rsidR="00113E80" w:rsidRDefault="00113E80" w:rsidP="00113E80">
      <w:pPr>
        <w:pStyle w:val="Questionstyle"/>
        <w:numPr>
          <w:ilvl w:val="0"/>
          <w:numId w:val="14"/>
        </w:numPr>
        <w:tabs>
          <w:tab w:val="clear" w:pos="567"/>
        </w:tabs>
        <w:spacing w:after="240" w:line="256" w:lineRule="auto"/>
        <w:ind w:left="851" w:hanging="851"/>
      </w:pPr>
      <w:r>
        <w:t xml:space="preserve">Should CDR 2018/1229 be amended to require all CSDs to offer real-time gross settlement for a minimum window of time of each business day as well as a </w:t>
      </w:r>
      <w:r>
        <w:lastRenderedPageBreak/>
        <w:t>minimum number of settlement batches? Please provide arguments to justify your answer.</w:t>
      </w:r>
    </w:p>
    <w:p w14:paraId="2D626454" w14:textId="77777777" w:rsidR="00113E80" w:rsidRDefault="00113E80" w:rsidP="00113E80">
      <w:r>
        <w:t>&lt;ESMA_QUESTION_CSDC_25&gt;</w:t>
      </w:r>
    </w:p>
    <w:p w14:paraId="32AFB811" w14:textId="77777777" w:rsidR="00113E80" w:rsidRDefault="00113E80" w:rsidP="00113E80">
      <w:permStart w:id="1900937655" w:edGrp="everyone"/>
      <w:r>
        <w:t>TYPE YOUR TEXT HERE</w:t>
      </w:r>
    </w:p>
    <w:permEnd w:id="1900937655"/>
    <w:p w14:paraId="1A353DF1" w14:textId="77777777" w:rsidR="00113E80" w:rsidRDefault="00113E80" w:rsidP="00113E80">
      <w:r>
        <w:t>&lt;ESMA_QUESTION_CSDC_25&gt;</w:t>
      </w:r>
    </w:p>
    <w:p w14:paraId="07961142" w14:textId="77777777" w:rsidR="00113E80" w:rsidRDefault="00113E80" w:rsidP="00113E80"/>
    <w:p w14:paraId="2320C820" w14:textId="77777777" w:rsidR="00113E80" w:rsidRDefault="00113E80" w:rsidP="00113E80">
      <w:pPr>
        <w:pStyle w:val="Questionstyle"/>
        <w:numPr>
          <w:ilvl w:val="0"/>
          <w:numId w:val="14"/>
        </w:numPr>
        <w:tabs>
          <w:tab w:val="clear" w:pos="567"/>
        </w:tabs>
        <w:spacing w:after="240" w:line="256" w:lineRule="auto"/>
        <w:ind w:left="851" w:hanging="851"/>
      </w:pPr>
      <w:r>
        <w:t>What should be the length of the minimum window of time of each business day for real-time gross settlement and the minimum number of settlement batches that should be offered, per business day? Please provide arguments to justify your answer.</w:t>
      </w:r>
    </w:p>
    <w:p w14:paraId="3BAA417A" w14:textId="77777777" w:rsidR="00113E80" w:rsidRDefault="00113E80" w:rsidP="00113E80">
      <w:r>
        <w:t>&lt;ESMA_QUESTION_CSDC_26&gt;</w:t>
      </w:r>
    </w:p>
    <w:p w14:paraId="0D9EB499" w14:textId="77777777" w:rsidR="00113E80" w:rsidRDefault="00113E80" w:rsidP="00113E80">
      <w:permStart w:id="151126903" w:edGrp="everyone"/>
      <w:r>
        <w:t>TYPE YOUR TEXT HERE</w:t>
      </w:r>
    </w:p>
    <w:permEnd w:id="151126903"/>
    <w:p w14:paraId="1C830BCE" w14:textId="77777777" w:rsidR="00113E80" w:rsidRDefault="00113E80" w:rsidP="00113E80">
      <w:r>
        <w:t>&lt;ESMA_QUESTION_CSDC_26&gt;</w:t>
      </w:r>
    </w:p>
    <w:p w14:paraId="6A68967B" w14:textId="77777777" w:rsidR="00113E80" w:rsidRDefault="00113E80" w:rsidP="00113E80"/>
    <w:p w14:paraId="4961D2D0" w14:textId="77777777" w:rsidR="00113E80" w:rsidRDefault="00113E80" w:rsidP="00113E80">
      <w:pPr>
        <w:pStyle w:val="Questionstyle"/>
        <w:numPr>
          <w:ilvl w:val="0"/>
          <w:numId w:val="14"/>
        </w:numPr>
        <w:tabs>
          <w:tab w:val="clear" w:pos="567"/>
        </w:tabs>
        <w:spacing w:after="240" w:line="256" w:lineRule="auto"/>
        <w:ind w:left="851" w:hanging="851"/>
      </w:pPr>
      <w:r>
        <w:rPr>
          <w:bCs/>
        </w:rPr>
        <w:t>Can you suggest any other means to achieve the same objective? If yes, please elaborate.</w:t>
      </w:r>
    </w:p>
    <w:p w14:paraId="48E13F24" w14:textId="77777777" w:rsidR="00113E80" w:rsidRDefault="00113E80" w:rsidP="00113E80">
      <w:r>
        <w:t>&lt;ESMA_QUESTION_CSDC_27&gt;</w:t>
      </w:r>
    </w:p>
    <w:p w14:paraId="04403028" w14:textId="77777777" w:rsidR="00113E80" w:rsidRDefault="00113E80" w:rsidP="00113E80">
      <w:permStart w:id="1363037524" w:edGrp="everyone"/>
      <w:r>
        <w:t>TYPE YOUR TEXT HERE</w:t>
      </w:r>
    </w:p>
    <w:permEnd w:id="1363037524"/>
    <w:p w14:paraId="2D842D79" w14:textId="77777777" w:rsidR="00113E80" w:rsidRDefault="00113E80" w:rsidP="00113E80">
      <w:r>
        <w:t>&lt;ESMA_QUESTION_CSDC_27&gt;</w:t>
      </w:r>
    </w:p>
    <w:p w14:paraId="7C07E120" w14:textId="77777777" w:rsidR="00FE2F18" w:rsidRDefault="00FE2F18" w:rsidP="00113E80"/>
    <w:p w14:paraId="42D1449D" w14:textId="3E88CC69" w:rsidR="00113E80" w:rsidRPr="00FE2F18" w:rsidRDefault="00FE2F18" w:rsidP="00113E80">
      <w:pPr>
        <w:rPr>
          <w:b/>
          <w:bCs/>
        </w:rPr>
      </w:pPr>
      <w:r w:rsidRPr="00FE2F18">
        <w:rPr>
          <w:b/>
          <w:bCs/>
        </w:rPr>
        <w:t>3.1.9 Reporting top failing participants</w:t>
      </w:r>
    </w:p>
    <w:p w14:paraId="5E89A68E" w14:textId="77777777" w:rsidR="00FE2F18" w:rsidRDefault="00FE2F18" w:rsidP="00113E80"/>
    <w:p w14:paraId="714203B7" w14:textId="77777777" w:rsidR="00113E80" w:rsidRDefault="00113E80" w:rsidP="00113E80">
      <w:pPr>
        <w:pStyle w:val="Questionstyle"/>
        <w:numPr>
          <w:ilvl w:val="0"/>
          <w:numId w:val="14"/>
        </w:numPr>
        <w:tabs>
          <w:tab w:val="clear" w:pos="567"/>
        </w:tabs>
        <w:spacing w:after="240" w:line="256" w:lineRule="auto"/>
        <w:ind w:left="851" w:hanging="851"/>
      </w:pPr>
      <w:r>
        <w:t>Do you agree with the proposed amendments to Table 1 of Annex I of CDR 2018/1229? If not, please elaborate.</w:t>
      </w:r>
    </w:p>
    <w:p w14:paraId="0C9564AA" w14:textId="77777777" w:rsidR="00113E80" w:rsidRDefault="00113E80" w:rsidP="00113E80">
      <w:r>
        <w:t>&lt;ESMA_QUESTION_CSDC_28&gt;</w:t>
      </w:r>
    </w:p>
    <w:p w14:paraId="5A4397DC" w14:textId="77777777" w:rsidR="00113E80" w:rsidRDefault="00113E80" w:rsidP="00113E80">
      <w:permStart w:id="556666167" w:edGrp="everyone"/>
      <w:r>
        <w:t>TYPE YOUR TEXT HERE</w:t>
      </w:r>
    </w:p>
    <w:permEnd w:id="556666167"/>
    <w:p w14:paraId="6E25C569" w14:textId="77777777" w:rsidR="00113E80" w:rsidRDefault="00113E80" w:rsidP="00113E80">
      <w:r>
        <w:t>&lt;ESMA_QUESTION_CSDC_28&gt;</w:t>
      </w:r>
    </w:p>
    <w:p w14:paraId="3A133BF7" w14:textId="77777777" w:rsidR="00113E80" w:rsidRDefault="00113E80" w:rsidP="00113E80"/>
    <w:p w14:paraId="0EF03F16" w14:textId="77777777" w:rsidR="00113E80" w:rsidRDefault="00113E80" w:rsidP="00113E80">
      <w:pPr>
        <w:pStyle w:val="Questionstyle"/>
        <w:numPr>
          <w:ilvl w:val="0"/>
          <w:numId w:val="14"/>
        </w:numPr>
        <w:tabs>
          <w:tab w:val="clear" w:pos="567"/>
        </w:tabs>
        <w:spacing w:after="240" w:line="256" w:lineRule="auto"/>
        <w:ind w:left="851" w:hanging="851"/>
      </w:pPr>
      <w:r>
        <w:t>Should top 10 failing participants be reported both in absolute terms (current approach) and in relative terms (according to the proposed amendments to Table 1 of Annex I of CDR 2018/1229)?</w:t>
      </w:r>
    </w:p>
    <w:p w14:paraId="31B0E5FE" w14:textId="77777777" w:rsidR="00113E80" w:rsidRDefault="00113E80" w:rsidP="00113E80">
      <w:r>
        <w:t>&lt;ESMA_QUESTION_CSDC_29&gt;</w:t>
      </w:r>
    </w:p>
    <w:p w14:paraId="6A74012F" w14:textId="77777777" w:rsidR="00113E80" w:rsidRDefault="00113E80" w:rsidP="00113E80">
      <w:permStart w:id="219745450" w:edGrp="everyone"/>
      <w:r>
        <w:t>TYPE YOUR TEXT HERE</w:t>
      </w:r>
    </w:p>
    <w:permEnd w:id="219745450"/>
    <w:p w14:paraId="7F5E65F3" w14:textId="77777777" w:rsidR="00113E80" w:rsidRDefault="00113E80" w:rsidP="00113E80">
      <w:r>
        <w:t>&lt;ESMA_QUESTION_CSDC_29&gt;</w:t>
      </w:r>
    </w:p>
    <w:p w14:paraId="637A2179" w14:textId="77777777" w:rsidR="00113E80" w:rsidRDefault="00113E80" w:rsidP="00113E80"/>
    <w:p w14:paraId="5F630515" w14:textId="77777777" w:rsidR="00113E80" w:rsidRDefault="00113E80" w:rsidP="00113E80">
      <w:pPr>
        <w:pStyle w:val="Questionstyle"/>
        <w:numPr>
          <w:ilvl w:val="0"/>
          <w:numId w:val="14"/>
        </w:numPr>
        <w:tabs>
          <w:tab w:val="clear" w:pos="567"/>
        </w:tabs>
        <w:spacing w:after="240" w:line="256" w:lineRule="auto"/>
        <w:ind w:left="851" w:hanging="851"/>
      </w:pPr>
      <w:r>
        <w:t>Do you have additional suggestions regarding the requirements for CSDs to report settlement fails data specified in Annex I and Annex II of CDR 2018/1229? If yes, please elaborate.</w:t>
      </w:r>
    </w:p>
    <w:p w14:paraId="74C6E692" w14:textId="77777777" w:rsidR="00113E80" w:rsidRDefault="00113E80" w:rsidP="00113E80">
      <w:r>
        <w:lastRenderedPageBreak/>
        <w:t>&lt;ESMA_QUESTION_CSDC_30&gt;</w:t>
      </w:r>
    </w:p>
    <w:p w14:paraId="0D88571E" w14:textId="4D32EDD7" w:rsidR="00113E80" w:rsidRDefault="005C42C7" w:rsidP="00113E80">
      <w:permStart w:id="1283796359" w:edGrp="everyone"/>
      <w:r>
        <w:t xml:space="preserve">GLEIF welcomes ESMA’s initiative to maintain the requirement for CSDs </w:t>
      </w:r>
      <w:r w:rsidR="00A02A18">
        <w:t>to report participant’s</w:t>
      </w:r>
      <w:r>
        <w:t xml:space="preserve"> LEI</w:t>
      </w:r>
      <w:r w:rsidR="00A02A18">
        <w:t xml:space="preserve"> as part of the general information on settlement fails communicated to authorities </w:t>
      </w:r>
      <w:proofErr w:type="gramStart"/>
      <w:r w:rsidR="00A02A18">
        <w:t>on a monthly basis</w:t>
      </w:r>
      <w:proofErr w:type="gramEnd"/>
      <w:r w:rsidR="00A02A18">
        <w:t xml:space="preserve">. </w:t>
      </w:r>
    </w:p>
    <w:p w14:paraId="1E10F544" w14:textId="525FAFAD" w:rsidR="00A76F60" w:rsidRDefault="00A02A18" w:rsidP="00113E80">
      <w:r>
        <w:t>As a global readily available standard, the requirement for participants to disclose their LEI as part of the onboard</w:t>
      </w:r>
      <w:r w:rsidR="0094139E">
        <w:t>ing</w:t>
      </w:r>
      <w:r>
        <w:t xml:space="preserve"> process guarantees an efficient means of identifying who are the participants and the underlying risks that they can pose </w:t>
      </w:r>
      <w:r w:rsidR="00A76F60">
        <w:t>from a settlement discipline perspective</w:t>
      </w:r>
      <w:r>
        <w:t xml:space="preserve">. </w:t>
      </w:r>
    </w:p>
    <w:p w14:paraId="630B6A8B" w14:textId="13076741" w:rsidR="00A02A18" w:rsidRDefault="00A02A18" w:rsidP="00113E80">
      <w:r>
        <w:t>It should be further noted that such requirement is consistent with the customer onboarding requirements set out in the new Anti-Money Laundering Regulation (AMLR).</w:t>
      </w:r>
    </w:p>
    <w:p w14:paraId="44D3992C" w14:textId="46E0062F" w:rsidR="003A2E93" w:rsidRPr="00A76F60" w:rsidRDefault="00A76F60" w:rsidP="00113E80">
      <w:pPr>
        <w:rPr>
          <w:lang w:val="en-US"/>
        </w:rPr>
      </w:pPr>
      <w:r w:rsidRPr="00A76F60">
        <w:rPr>
          <w:lang w:val="en-US"/>
        </w:rPr>
        <w:t xml:space="preserve">To ensure that the benefits linked to the LEI are fully leveraged, GLEIF </w:t>
      </w:r>
      <w:r w:rsidR="0094139E">
        <w:rPr>
          <w:lang w:val="en-US"/>
        </w:rPr>
        <w:t>also suggests</w:t>
      </w:r>
      <w:r w:rsidRPr="00A76F60">
        <w:rPr>
          <w:lang w:val="en-US"/>
        </w:rPr>
        <w:t xml:space="preserve"> clarifying</w:t>
      </w:r>
      <w:r>
        <w:rPr>
          <w:lang w:val="en-US"/>
        </w:rPr>
        <w:t xml:space="preserve"> in Annex I</w:t>
      </w:r>
      <w:r w:rsidRPr="00A76F60">
        <w:rPr>
          <w:lang w:val="en-US"/>
        </w:rPr>
        <w:t xml:space="preserve"> that the LEI must conform with the Regulatory Oversight Committee (ROC) policy. Such clarification is a necessary step to ensure the LEI reference data included is regularly updated, therefore guaranteeing an efficient means of counterparty identification</w:t>
      </w:r>
      <w:r>
        <w:rPr>
          <w:lang w:val="en-US"/>
        </w:rPr>
        <w:t>.</w:t>
      </w:r>
    </w:p>
    <w:permEnd w:id="1283796359"/>
    <w:p w14:paraId="4282D8EA" w14:textId="7F7EF6EB" w:rsidR="00113E80" w:rsidRDefault="00113E80" w:rsidP="00113E80">
      <w:r>
        <w:t>&lt;ESMA_QUESTION_CSDC_30&gt;</w:t>
      </w:r>
    </w:p>
    <w:p w14:paraId="2520B536" w14:textId="77777777" w:rsidR="00FE2F18" w:rsidRPr="00FE2F18" w:rsidRDefault="00FE2F18" w:rsidP="00113E80">
      <w:pPr>
        <w:rPr>
          <w:b/>
          <w:bCs/>
        </w:rPr>
      </w:pPr>
    </w:p>
    <w:p w14:paraId="64702871" w14:textId="4757E5B4" w:rsidR="00FE2F18" w:rsidRPr="00FE2F18" w:rsidRDefault="00FE2F18" w:rsidP="00113E80">
      <w:pPr>
        <w:rPr>
          <w:b/>
          <w:bCs/>
        </w:rPr>
      </w:pPr>
      <w:r w:rsidRPr="00FE2F18">
        <w:rPr>
          <w:b/>
          <w:bCs/>
        </w:rPr>
        <w:t>3.1.10</w:t>
      </w:r>
      <w:r w:rsidRPr="00FE2F18">
        <w:rPr>
          <w:b/>
          <w:bCs/>
        </w:rPr>
        <w:tab/>
        <w:t>Reporting the reasons for settlement fails</w:t>
      </w:r>
    </w:p>
    <w:p w14:paraId="30C859A2" w14:textId="77777777" w:rsidR="00113E80" w:rsidRDefault="00113E80" w:rsidP="00113E80"/>
    <w:p w14:paraId="1123606A" w14:textId="77777777" w:rsidR="00113E80" w:rsidRDefault="00113E80" w:rsidP="00113E80">
      <w:pPr>
        <w:pStyle w:val="Questionstyle"/>
        <w:numPr>
          <w:ilvl w:val="0"/>
          <w:numId w:val="14"/>
        </w:numPr>
        <w:tabs>
          <w:tab w:val="clear" w:pos="567"/>
        </w:tabs>
        <w:spacing w:after="240" w:line="256" w:lineRule="auto"/>
        <w:ind w:left="851" w:hanging="851"/>
      </w:pPr>
      <w:r>
        <w:rPr>
          <w:bCs/>
        </w:rPr>
        <w:t>Do you agree with the proposed amendments to Article 13(1)(a) of CDR 2018/1229? Or can you suggest alternative options so that CSDs have visibility of the root causes of settlement fails at participants level?</w:t>
      </w:r>
    </w:p>
    <w:p w14:paraId="15367DB4" w14:textId="77777777" w:rsidR="00113E80" w:rsidRDefault="00113E80" w:rsidP="00113E80">
      <w:r>
        <w:t>&lt;ESMA_QUESTION_CSDC_31&gt;</w:t>
      </w:r>
    </w:p>
    <w:p w14:paraId="668128E5" w14:textId="77777777" w:rsidR="00113E80" w:rsidRDefault="00113E80" w:rsidP="00113E80">
      <w:permStart w:id="970873259" w:edGrp="everyone"/>
      <w:r>
        <w:t>TYPE YOUR TEXT HERE</w:t>
      </w:r>
    </w:p>
    <w:permEnd w:id="970873259"/>
    <w:p w14:paraId="040AD67A" w14:textId="77777777" w:rsidR="00113E80" w:rsidRDefault="00113E80" w:rsidP="00113E80">
      <w:r>
        <w:t>&lt;ESMA_QUESTION_CSDC_31&gt;</w:t>
      </w:r>
    </w:p>
    <w:p w14:paraId="2ED2AE69" w14:textId="77777777" w:rsidR="00113E80" w:rsidRDefault="00113E80" w:rsidP="00113E80"/>
    <w:p w14:paraId="6379AC70" w14:textId="77777777" w:rsidR="00113E80" w:rsidRDefault="00113E80" w:rsidP="00113E80">
      <w:pPr>
        <w:pStyle w:val="Questionstyle"/>
        <w:numPr>
          <w:ilvl w:val="0"/>
          <w:numId w:val="14"/>
        </w:numPr>
        <w:tabs>
          <w:tab w:val="clear" w:pos="567"/>
        </w:tabs>
        <w:spacing w:after="240" w:line="256" w:lineRule="auto"/>
        <w:ind w:left="851" w:hanging="851"/>
      </w:pPr>
      <w:r>
        <w:t xml:space="preserve">Based on the experience since the implementation of the settlement discipline regime under CSDR, please describe the main root causes of settlement fails identified so far. Please specify the relevant categories in more granular terms, going beyond “lack of securities”, “lack of cash” and “instructions put on hold”. </w:t>
      </w:r>
    </w:p>
    <w:p w14:paraId="4DD92AAA" w14:textId="77777777" w:rsidR="00113E80" w:rsidRDefault="00113E80" w:rsidP="00113E80">
      <w:r>
        <w:t>&lt;ESMA_QUESTION_CSDC_32&gt;</w:t>
      </w:r>
    </w:p>
    <w:p w14:paraId="1F469DC4" w14:textId="77777777" w:rsidR="00113E80" w:rsidRDefault="00113E80" w:rsidP="00113E80">
      <w:permStart w:id="228340192" w:edGrp="everyone"/>
      <w:r>
        <w:t>TYPE YOUR TEXT HERE</w:t>
      </w:r>
    </w:p>
    <w:permEnd w:id="228340192"/>
    <w:p w14:paraId="731F3228" w14:textId="77777777" w:rsidR="00113E80" w:rsidRDefault="00113E80" w:rsidP="00113E80">
      <w:r>
        <w:t>&lt;ESMA_QUESTION_CSDC_32&gt;</w:t>
      </w:r>
    </w:p>
    <w:p w14:paraId="0ED40D17" w14:textId="77777777" w:rsidR="00113E80" w:rsidRDefault="00113E80" w:rsidP="00113E80"/>
    <w:p w14:paraId="7806D5D6" w14:textId="77777777" w:rsidR="00113E80" w:rsidRDefault="00113E80" w:rsidP="00113E80">
      <w:pPr>
        <w:pStyle w:val="Questionstyle"/>
        <w:numPr>
          <w:ilvl w:val="0"/>
          <w:numId w:val="14"/>
        </w:numPr>
        <w:tabs>
          <w:tab w:val="clear" w:pos="567"/>
        </w:tabs>
        <w:spacing w:after="240" w:line="256" w:lineRule="auto"/>
        <w:ind w:left="851" w:hanging="851"/>
      </w:pPr>
      <w:r>
        <w:t>According to Article 13(2) of the CDR, CSDs shall establish working arrangements with their top failing participants to analyse the main reasons for settlement fails. Do you believe that this provision has proven useful in analysing the root causes of fails and in preventing them? Do you have suggestions on other actions which CSDs could take with respect to top failing participants?</w:t>
      </w:r>
    </w:p>
    <w:p w14:paraId="39467292" w14:textId="77777777" w:rsidR="00113E80" w:rsidRDefault="00113E80" w:rsidP="00113E80">
      <w:r>
        <w:lastRenderedPageBreak/>
        <w:t>&lt;ESMA_QUESTION_CSDC_33&gt;</w:t>
      </w:r>
    </w:p>
    <w:p w14:paraId="5EA62061" w14:textId="77777777" w:rsidR="00113E80" w:rsidRDefault="00113E80" w:rsidP="00113E80">
      <w:permStart w:id="1495876337" w:edGrp="everyone"/>
      <w:r>
        <w:t>TYPE YOUR TEXT HERE</w:t>
      </w:r>
    </w:p>
    <w:permEnd w:id="1495876337"/>
    <w:p w14:paraId="2635252C" w14:textId="77777777" w:rsidR="00113E80" w:rsidRDefault="00113E80" w:rsidP="00113E80">
      <w:r>
        <w:t>&lt;ESMA_QUESTION_CSDC_33&gt;</w:t>
      </w:r>
    </w:p>
    <w:p w14:paraId="5FDFCD18" w14:textId="77777777" w:rsidR="00113E80" w:rsidRDefault="00113E80" w:rsidP="00113E80"/>
    <w:p w14:paraId="034E5DAE" w14:textId="7AEDA29A" w:rsidR="005E6387" w:rsidRDefault="005E6387" w:rsidP="00113E80">
      <w:pPr>
        <w:rPr>
          <w:b/>
          <w:bCs/>
        </w:rPr>
      </w:pPr>
      <w:r w:rsidRPr="005E6387">
        <w:rPr>
          <w:b/>
          <w:bCs/>
        </w:rPr>
        <w:t xml:space="preserve">3.1.11 </w:t>
      </w:r>
      <w:r w:rsidRPr="005E6387">
        <w:rPr>
          <w:b/>
          <w:bCs/>
        </w:rPr>
        <w:tab/>
        <w:t>CSDs’ public disclosure on settlement fails</w:t>
      </w:r>
    </w:p>
    <w:p w14:paraId="231DB31B" w14:textId="77777777" w:rsidR="005E6387" w:rsidRPr="005E6387" w:rsidRDefault="005E6387" w:rsidP="00113E80">
      <w:pPr>
        <w:rPr>
          <w:b/>
          <w:bCs/>
        </w:rPr>
      </w:pPr>
    </w:p>
    <w:p w14:paraId="27CBEFD5" w14:textId="77777777" w:rsidR="00113E80" w:rsidRDefault="00113E80" w:rsidP="00113E80">
      <w:pPr>
        <w:pStyle w:val="Questionstyle"/>
        <w:numPr>
          <w:ilvl w:val="0"/>
          <w:numId w:val="14"/>
        </w:numPr>
        <w:tabs>
          <w:tab w:val="clear" w:pos="567"/>
        </w:tabs>
        <w:spacing w:after="240" w:line="256" w:lineRule="auto"/>
        <w:ind w:left="851" w:hanging="851"/>
      </w:pPr>
      <w:r>
        <w:t>Do you agree with the proposed amendments to Table 1 of Annex III of CDR 2018/1229 to include information on the breakdown of the settlement fails per asset class? If not, please elaborate.</w:t>
      </w:r>
    </w:p>
    <w:p w14:paraId="55BC7740" w14:textId="77777777" w:rsidR="00113E80" w:rsidRDefault="00113E80" w:rsidP="00113E80">
      <w:r>
        <w:t>&lt;ESMA_QUESTION_CSDC_34&gt;</w:t>
      </w:r>
    </w:p>
    <w:p w14:paraId="3A37A6EB" w14:textId="77777777" w:rsidR="00113E80" w:rsidRDefault="00113E80" w:rsidP="00113E80">
      <w:permStart w:id="641089610" w:edGrp="everyone"/>
      <w:r>
        <w:t>TYPE YOUR TEXT HERE</w:t>
      </w:r>
    </w:p>
    <w:permEnd w:id="641089610"/>
    <w:p w14:paraId="040B68F4" w14:textId="77777777" w:rsidR="00113E80" w:rsidRDefault="00113E80" w:rsidP="00113E80">
      <w:r>
        <w:t>&lt;ESMA_QUESTION_CSDC_34&gt;</w:t>
      </w:r>
    </w:p>
    <w:p w14:paraId="44C61B7A" w14:textId="77777777" w:rsidR="00113E80" w:rsidRDefault="00113E80" w:rsidP="00113E80"/>
    <w:p w14:paraId="7F18F20E" w14:textId="77777777" w:rsidR="00113E80" w:rsidRDefault="00113E80" w:rsidP="00113E80">
      <w:pPr>
        <w:pStyle w:val="Questionstyle"/>
        <w:numPr>
          <w:ilvl w:val="0"/>
          <w:numId w:val="14"/>
        </w:numPr>
        <w:tabs>
          <w:tab w:val="clear" w:pos="567"/>
        </w:tabs>
        <w:spacing w:after="240" w:line="256" w:lineRule="auto"/>
        <w:ind w:left="851" w:hanging="851"/>
      </w:pPr>
      <w:r>
        <w:t>Do you think that CSDs should publish additional information on settlement fails? If yes, please specify.</w:t>
      </w:r>
    </w:p>
    <w:p w14:paraId="7B0B0203" w14:textId="77777777" w:rsidR="00113E80" w:rsidRDefault="00113E80" w:rsidP="00113E80">
      <w:r>
        <w:t>&lt;ESMA_QUESTION_CSDC_35&gt;</w:t>
      </w:r>
    </w:p>
    <w:p w14:paraId="705921E7" w14:textId="77777777" w:rsidR="00113E80" w:rsidRDefault="00113E80" w:rsidP="00113E80">
      <w:permStart w:id="497168460" w:edGrp="everyone"/>
      <w:r>
        <w:t>TYPE YOUR TEXT HERE</w:t>
      </w:r>
    </w:p>
    <w:permEnd w:id="497168460"/>
    <w:p w14:paraId="26767BA7" w14:textId="77777777" w:rsidR="00113E80" w:rsidRDefault="00113E80" w:rsidP="00113E80">
      <w:r>
        <w:t>&lt;ESMA_QUESTION_CSDC_35&gt;</w:t>
      </w:r>
    </w:p>
    <w:p w14:paraId="2A727C54" w14:textId="77777777" w:rsidR="00113E80" w:rsidRDefault="00113E80" w:rsidP="00113E80"/>
    <w:p w14:paraId="05186102" w14:textId="77777777" w:rsidR="00113E80" w:rsidRDefault="00113E80" w:rsidP="00113E80">
      <w:pPr>
        <w:pStyle w:val="Questionstyle"/>
        <w:numPr>
          <w:ilvl w:val="0"/>
          <w:numId w:val="14"/>
        </w:numPr>
        <w:tabs>
          <w:tab w:val="clear" w:pos="567"/>
        </w:tabs>
        <w:spacing w:after="240" w:line="256" w:lineRule="auto"/>
        <w:ind w:left="851" w:hanging="851"/>
      </w:pPr>
      <w:r>
        <w:t>Should the frequency of publication of settlement fails data by CSDs increase? Which should be the right frequency?</w:t>
      </w:r>
    </w:p>
    <w:p w14:paraId="134E4FF0" w14:textId="77777777" w:rsidR="00113E80" w:rsidRDefault="00113E80" w:rsidP="00113E80">
      <w:r>
        <w:t>&lt;ESMA_QUESTION_CSDC_36&gt;</w:t>
      </w:r>
    </w:p>
    <w:p w14:paraId="3E5D653B" w14:textId="77777777" w:rsidR="00113E80" w:rsidRDefault="00113E80" w:rsidP="00113E80">
      <w:permStart w:id="114362908" w:edGrp="everyone"/>
      <w:r>
        <w:t>TYPE YOUR TEXT HERE</w:t>
      </w:r>
    </w:p>
    <w:permEnd w:id="114362908"/>
    <w:p w14:paraId="70E7604E" w14:textId="5F32BB1F" w:rsidR="00113E80" w:rsidRDefault="00113E80" w:rsidP="00113E80">
      <w:r>
        <w:t>&lt;ESMA_QUESTION_CSDC_36&gt;</w:t>
      </w:r>
    </w:p>
    <w:p w14:paraId="41F00432" w14:textId="77777777" w:rsidR="005E6387" w:rsidRDefault="005E6387" w:rsidP="00113E80"/>
    <w:p w14:paraId="7BF3AE2D" w14:textId="372D4812" w:rsidR="005E6387" w:rsidRPr="005E6387" w:rsidRDefault="005E6387" w:rsidP="00113E80">
      <w:pPr>
        <w:rPr>
          <w:b/>
          <w:bCs/>
        </w:rPr>
      </w:pPr>
      <w:r w:rsidRPr="005E6387">
        <w:rPr>
          <w:b/>
          <w:bCs/>
        </w:rPr>
        <w:t>3.2.1</w:t>
      </w:r>
      <w:r w:rsidRPr="005E6387">
        <w:rPr>
          <w:b/>
          <w:bCs/>
        </w:rPr>
        <w:tab/>
        <w:t>Unique transaction identifier (UTI)</w:t>
      </w:r>
    </w:p>
    <w:p w14:paraId="68785019" w14:textId="77777777" w:rsidR="005E6387" w:rsidRDefault="005E6387" w:rsidP="00113E80"/>
    <w:p w14:paraId="77668466" w14:textId="77777777" w:rsidR="00113E80" w:rsidRDefault="00113E80" w:rsidP="00113E80">
      <w:pPr>
        <w:pStyle w:val="Questionstyle"/>
        <w:numPr>
          <w:ilvl w:val="0"/>
          <w:numId w:val="14"/>
        </w:numPr>
        <w:tabs>
          <w:tab w:val="clear" w:pos="567"/>
        </w:tabs>
        <w:spacing w:after="240" w:line="256" w:lineRule="auto"/>
        <w:ind w:left="851" w:hanging="851"/>
      </w:pPr>
      <w:r>
        <w:rPr>
          <w:bCs/>
        </w:rPr>
        <w:t>Do you agree that the use of UTI should not be made mandatory through a regulatory change?</w:t>
      </w:r>
    </w:p>
    <w:p w14:paraId="32F224D5" w14:textId="77777777" w:rsidR="00113E80" w:rsidRDefault="00113E80" w:rsidP="00113E80">
      <w:r>
        <w:t>&lt;ESMA_QUESTION_CSDC_37&gt;</w:t>
      </w:r>
    </w:p>
    <w:p w14:paraId="0E7BC8E3" w14:textId="77777777" w:rsidR="00113E80" w:rsidRDefault="00113E80" w:rsidP="00113E80">
      <w:permStart w:id="1185494481" w:edGrp="everyone"/>
      <w:r>
        <w:t>TYPE YOUR TEXT HERE</w:t>
      </w:r>
    </w:p>
    <w:permEnd w:id="1185494481"/>
    <w:p w14:paraId="3DD66736" w14:textId="77777777" w:rsidR="00113E80" w:rsidRDefault="00113E80" w:rsidP="00113E80">
      <w:r>
        <w:t>&lt;ESMA_QUESTION_CSDC_37&gt;</w:t>
      </w:r>
    </w:p>
    <w:p w14:paraId="654245AD" w14:textId="77777777" w:rsidR="00113E80" w:rsidRDefault="00113E80" w:rsidP="00113E80"/>
    <w:p w14:paraId="3A77ED7E" w14:textId="77777777" w:rsidR="00113E80" w:rsidRDefault="00113E80" w:rsidP="00113E80">
      <w:pPr>
        <w:pStyle w:val="Questionstyle"/>
        <w:numPr>
          <w:ilvl w:val="0"/>
          <w:numId w:val="14"/>
        </w:numPr>
        <w:tabs>
          <w:tab w:val="clear" w:pos="567"/>
        </w:tabs>
        <w:spacing w:after="240" w:line="256" w:lineRule="auto"/>
        <w:ind w:left="851" w:hanging="851"/>
      </w:pPr>
      <w:r>
        <w:t>What are your views on the use of UTI in general and in the case of netted transactions specifically?</w:t>
      </w:r>
    </w:p>
    <w:p w14:paraId="25DEC6FA" w14:textId="77777777" w:rsidR="00113E80" w:rsidRDefault="00113E80" w:rsidP="00113E80">
      <w:r>
        <w:t>&lt;ESMA_QUESTION_CSDC_38&gt;</w:t>
      </w:r>
    </w:p>
    <w:p w14:paraId="6E84343E" w14:textId="77777777" w:rsidR="00113E80" w:rsidRDefault="00113E80" w:rsidP="00113E80">
      <w:permStart w:id="409142589" w:edGrp="everyone"/>
      <w:r>
        <w:t>TYPE YOUR TEXT HERE</w:t>
      </w:r>
    </w:p>
    <w:permEnd w:id="409142589"/>
    <w:p w14:paraId="60D51D0A" w14:textId="77777777" w:rsidR="00113E80" w:rsidRDefault="00113E80" w:rsidP="00113E80">
      <w:r>
        <w:t>&lt;ESMA_QUESTION_CSDC_38&gt;</w:t>
      </w:r>
    </w:p>
    <w:p w14:paraId="7206039E" w14:textId="77777777" w:rsidR="005E6387" w:rsidRDefault="005E6387" w:rsidP="00113E80"/>
    <w:p w14:paraId="1A81D763" w14:textId="0799F7D1" w:rsidR="005E6387" w:rsidRPr="005E6387" w:rsidRDefault="005E6387" w:rsidP="00113E80">
      <w:pPr>
        <w:rPr>
          <w:b/>
          <w:bCs/>
        </w:rPr>
      </w:pPr>
      <w:r w:rsidRPr="005E6387">
        <w:rPr>
          <w:b/>
          <w:bCs/>
        </w:rPr>
        <w:t>3.2.2</w:t>
      </w:r>
      <w:r w:rsidRPr="005E6387">
        <w:rPr>
          <w:b/>
          <w:bCs/>
        </w:rPr>
        <w:tab/>
        <w:t>SSIs format</w:t>
      </w:r>
    </w:p>
    <w:p w14:paraId="6AC805D6" w14:textId="77777777" w:rsidR="00113E80" w:rsidRDefault="00113E80" w:rsidP="00113E80"/>
    <w:p w14:paraId="1694D097" w14:textId="77777777" w:rsidR="00113E80" w:rsidRDefault="00113E80" w:rsidP="00113E80">
      <w:pPr>
        <w:pStyle w:val="Questionstyle"/>
        <w:numPr>
          <w:ilvl w:val="0"/>
          <w:numId w:val="14"/>
        </w:numPr>
        <w:tabs>
          <w:tab w:val="clear" w:pos="567"/>
        </w:tabs>
        <w:spacing w:after="240" w:line="256" w:lineRule="auto"/>
        <w:ind w:left="851" w:hanging="851"/>
      </w:pPr>
      <w:r>
        <w:t xml:space="preserve">Should the market standards for the storage and exchange of SSIs be left to the industry or is regulatory action at EU level necessary? </w:t>
      </w:r>
    </w:p>
    <w:p w14:paraId="6612EF6B" w14:textId="77777777" w:rsidR="00113E80" w:rsidRDefault="00113E80" w:rsidP="00113E80">
      <w:r>
        <w:t>&lt;ESMA_QUESTION_CSDC_39&gt;</w:t>
      </w:r>
    </w:p>
    <w:p w14:paraId="7F77CF68" w14:textId="77777777" w:rsidR="00113E80" w:rsidRDefault="00113E80" w:rsidP="00113E80">
      <w:permStart w:id="2044474510" w:edGrp="everyone"/>
      <w:r>
        <w:t>TYPE YOUR TEXT HERE</w:t>
      </w:r>
    </w:p>
    <w:permEnd w:id="2044474510"/>
    <w:p w14:paraId="325CCC6E" w14:textId="77777777" w:rsidR="00113E80" w:rsidRDefault="00113E80" w:rsidP="00113E80">
      <w:r>
        <w:t>&lt;ESMA_QUESTION_CSDC_39&gt;</w:t>
      </w:r>
    </w:p>
    <w:p w14:paraId="4FB7AEFD" w14:textId="77777777" w:rsidR="005E6387" w:rsidRDefault="005E6387" w:rsidP="00113E80">
      <w:pPr>
        <w:rPr>
          <w:b/>
          <w:bCs/>
        </w:rPr>
      </w:pPr>
    </w:p>
    <w:p w14:paraId="2D1B7759" w14:textId="28D00760" w:rsidR="00113E80" w:rsidRPr="005E6387" w:rsidRDefault="005E6387" w:rsidP="00113E80">
      <w:pPr>
        <w:rPr>
          <w:b/>
          <w:bCs/>
        </w:rPr>
      </w:pPr>
      <w:r w:rsidRPr="005E6387">
        <w:rPr>
          <w:b/>
          <w:bCs/>
        </w:rPr>
        <w:t>3.2.3</w:t>
      </w:r>
      <w:r w:rsidRPr="005E6387">
        <w:rPr>
          <w:b/>
          <w:bCs/>
        </w:rPr>
        <w:tab/>
        <w:t>Place of settlement (PSET) as mandatory field of written allocations</w:t>
      </w:r>
    </w:p>
    <w:p w14:paraId="2E10A1B9" w14:textId="77777777" w:rsidR="005E6387" w:rsidRDefault="005E6387" w:rsidP="00113E80"/>
    <w:p w14:paraId="11BE4D94" w14:textId="77777777" w:rsidR="00113E80" w:rsidRDefault="00113E80" w:rsidP="00113E80">
      <w:pPr>
        <w:pStyle w:val="Questionstyle"/>
        <w:numPr>
          <w:ilvl w:val="0"/>
          <w:numId w:val="14"/>
        </w:numPr>
        <w:tabs>
          <w:tab w:val="clear" w:pos="567"/>
        </w:tabs>
        <w:spacing w:after="240" w:line="256" w:lineRule="auto"/>
        <w:ind w:left="851" w:hanging="851"/>
      </w:pPr>
      <w:r>
        <w:t xml:space="preserve">How can the PSET contribute to improve settlement efficiency and reduce settlement fails? Do you have suggestions on how to make the use of PSET more consistent across the market? If yes, please elaborate. </w:t>
      </w:r>
    </w:p>
    <w:p w14:paraId="4CB2DBBD" w14:textId="77777777" w:rsidR="00113E80" w:rsidRDefault="00113E80" w:rsidP="00113E80">
      <w:r>
        <w:t>&lt;ESMA_QUESTION_CSDC_40&gt;</w:t>
      </w:r>
    </w:p>
    <w:p w14:paraId="04A4CB9D" w14:textId="77777777" w:rsidR="00113E80" w:rsidRDefault="00113E80" w:rsidP="00113E80">
      <w:permStart w:id="260911590" w:edGrp="everyone"/>
      <w:r>
        <w:t>TYPE YOUR TEXT HERE</w:t>
      </w:r>
    </w:p>
    <w:permEnd w:id="260911590"/>
    <w:p w14:paraId="4123F35E" w14:textId="77777777" w:rsidR="00113E80" w:rsidRDefault="00113E80" w:rsidP="00113E80">
      <w:r>
        <w:t>&lt;ESMA_QUESTION_CSDC_40&gt;</w:t>
      </w:r>
    </w:p>
    <w:p w14:paraId="1B3C32DE" w14:textId="77777777" w:rsidR="00113E80" w:rsidRDefault="00113E80" w:rsidP="00113E80"/>
    <w:p w14:paraId="6F7840B1" w14:textId="77777777" w:rsidR="00113E80" w:rsidRDefault="00113E80" w:rsidP="00113E80">
      <w:pPr>
        <w:pStyle w:val="Questionstyle"/>
        <w:numPr>
          <w:ilvl w:val="0"/>
          <w:numId w:val="14"/>
        </w:numPr>
        <w:tabs>
          <w:tab w:val="clear" w:pos="567"/>
        </w:tabs>
        <w:spacing w:after="240" w:line="256" w:lineRule="auto"/>
        <w:ind w:left="851" w:hanging="851"/>
      </w:pPr>
      <w:r>
        <w:rPr>
          <w:bCs/>
        </w:rPr>
        <w:t>Do you agree that the PSET should not be made a mandatory field of written allocations under Article 2(1) of CDR 2018/1229? If you have a different view, please elaborate.</w:t>
      </w:r>
    </w:p>
    <w:p w14:paraId="7356C287" w14:textId="77777777" w:rsidR="00113E80" w:rsidRDefault="00113E80" w:rsidP="00113E80">
      <w:r>
        <w:t>&lt;ESMA_QUESTION_CSDC_41&gt;</w:t>
      </w:r>
    </w:p>
    <w:p w14:paraId="6271BB8A" w14:textId="77777777" w:rsidR="00113E80" w:rsidRDefault="00113E80" w:rsidP="00113E80">
      <w:permStart w:id="610287984" w:edGrp="everyone"/>
      <w:r>
        <w:t>TYPE YOUR TEXT HERE</w:t>
      </w:r>
    </w:p>
    <w:permEnd w:id="610287984"/>
    <w:p w14:paraId="403478C5" w14:textId="77777777" w:rsidR="00113E80" w:rsidRDefault="00113E80" w:rsidP="00113E80">
      <w:r>
        <w:t>&lt;ESMA_QUESTION_CSDC_41&gt;</w:t>
      </w:r>
    </w:p>
    <w:p w14:paraId="32BF96C1" w14:textId="77777777" w:rsidR="005E6387" w:rsidRDefault="005E6387" w:rsidP="00113E80"/>
    <w:p w14:paraId="5D937E2B" w14:textId="646C3BFD" w:rsidR="005E6387" w:rsidRPr="005E6387" w:rsidRDefault="005E6387" w:rsidP="00113E80">
      <w:pPr>
        <w:rPr>
          <w:b/>
          <w:bCs/>
        </w:rPr>
      </w:pPr>
      <w:r w:rsidRPr="005E6387">
        <w:rPr>
          <w:b/>
          <w:bCs/>
        </w:rPr>
        <w:t>3.2.4</w:t>
      </w:r>
      <w:r w:rsidRPr="005E6387">
        <w:rPr>
          <w:b/>
          <w:bCs/>
        </w:rPr>
        <w:tab/>
        <w:t>Place of safe keeping (PSAF) and place of settlement (PSET) as mandatory fields of settlement instructions</w:t>
      </w:r>
    </w:p>
    <w:p w14:paraId="3809FD07" w14:textId="77777777" w:rsidR="00113E80" w:rsidRDefault="00113E80" w:rsidP="00113E80"/>
    <w:p w14:paraId="723CB8C0" w14:textId="77777777" w:rsidR="00113E80" w:rsidRDefault="00113E80" w:rsidP="00113E80">
      <w:pPr>
        <w:pStyle w:val="Questionstyle"/>
        <w:numPr>
          <w:ilvl w:val="0"/>
          <w:numId w:val="14"/>
        </w:numPr>
        <w:tabs>
          <w:tab w:val="clear" w:pos="567"/>
        </w:tabs>
        <w:spacing w:after="240" w:line="256" w:lineRule="auto"/>
        <w:ind w:left="851" w:hanging="851"/>
      </w:pPr>
      <w:r>
        <w:t>Do you agree that the decision to use the PSAF and the PSET in the settlement instructions should be left to the industry?</w:t>
      </w:r>
    </w:p>
    <w:p w14:paraId="1E889B55" w14:textId="77777777" w:rsidR="00113E80" w:rsidRDefault="00113E80" w:rsidP="00113E80">
      <w:r>
        <w:t>&lt;ESMA_QUESTION_CSDC_42&gt;</w:t>
      </w:r>
    </w:p>
    <w:p w14:paraId="79BBCFD6" w14:textId="77777777" w:rsidR="00113E80" w:rsidRDefault="00113E80" w:rsidP="00113E80">
      <w:permStart w:id="1084698351" w:edGrp="everyone"/>
      <w:r>
        <w:t>TYPE YOUR TEXT HERE</w:t>
      </w:r>
    </w:p>
    <w:permEnd w:id="1084698351"/>
    <w:p w14:paraId="35213B48" w14:textId="77777777" w:rsidR="00113E80" w:rsidRDefault="00113E80" w:rsidP="00113E80">
      <w:r>
        <w:t>&lt;ESMA_QUESTION_CSDC_42&gt;</w:t>
      </w:r>
    </w:p>
    <w:p w14:paraId="56EBFA6B" w14:textId="77777777" w:rsidR="00113E80" w:rsidRDefault="00113E80" w:rsidP="00113E80"/>
    <w:p w14:paraId="35F2BCBA" w14:textId="77777777" w:rsidR="00113E80" w:rsidRDefault="00113E80" w:rsidP="00113E80">
      <w:pPr>
        <w:pStyle w:val="Questionstyle"/>
        <w:numPr>
          <w:ilvl w:val="0"/>
          <w:numId w:val="14"/>
        </w:numPr>
        <w:tabs>
          <w:tab w:val="clear" w:pos="567"/>
        </w:tabs>
        <w:spacing w:after="240" w:line="256" w:lineRule="auto"/>
        <w:ind w:left="851" w:hanging="851"/>
      </w:pPr>
      <w:r>
        <w:t xml:space="preserve">What are the current market practices regarding the use of PSAF and PSET, in particular in the case of netting along the trading and settlement chain? </w:t>
      </w:r>
    </w:p>
    <w:p w14:paraId="3C3F0DF4" w14:textId="77777777" w:rsidR="00113E80" w:rsidRDefault="00113E80" w:rsidP="00113E80">
      <w:r>
        <w:t>&lt;ESMA_QUESTION_CSDC_43&gt;</w:t>
      </w:r>
    </w:p>
    <w:p w14:paraId="5A071012" w14:textId="77777777" w:rsidR="00113E80" w:rsidRDefault="00113E80" w:rsidP="00113E80">
      <w:permStart w:id="198186485" w:edGrp="everyone"/>
      <w:r>
        <w:t>TYPE YOUR TEXT HERE</w:t>
      </w:r>
    </w:p>
    <w:permEnd w:id="198186485"/>
    <w:p w14:paraId="5C0078D9" w14:textId="77777777" w:rsidR="00113E80" w:rsidRDefault="00113E80" w:rsidP="00113E80">
      <w:r>
        <w:lastRenderedPageBreak/>
        <w:t>&lt;ESMA_QUESTION_CSDC_43&gt;</w:t>
      </w:r>
    </w:p>
    <w:p w14:paraId="56E37EB2" w14:textId="6D4A478B" w:rsidR="005E6387" w:rsidRPr="005E6387" w:rsidRDefault="005E6387" w:rsidP="00113E80">
      <w:pPr>
        <w:rPr>
          <w:b/>
          <w:bCs/>
        </w:rPr>
      </w:pPr>
      <w:r w:rsidRPr="005E6387">
        <w:rPr>
          <w:b/>
          <w:bCs/>
        </w:rPr>
        <w:t>3.2.5</w:t>
      </w:r>
      <w:r w:rsidRPr="005E6387">
        <w:rPr>
          <w:b/>
          <w:bCs/>
        </w:rPr>
        <w:tab/>
        <w:t>Transaction type</w:t>
      </w:r>
    </w:p>
    <w:p w14:paraId="192915C5" w14:textId="77777777" w:rsidR="00113E80" w:rsidRDefault="00113E80" w:rsidP="00113E80"/>
    <w:p w14:paraId="5834E07C" w14:textId="77777777" w:rsidR="00113E80" w:rsidRDefault="00113E80" w:rsidP="00113E80">
      <w:pPr>
        <w:pStyle w:val="Questionstyle"/>
        <w:numPr>
          <w:ilvl w:val="0"/>
          <w:numId w:val="14"/>
        </w:numPr>
        <w:tabs>
          <w:tab w:val="clear" w:pos="567"/>
        </w:tabs>
        <w:spacing w:after="240" w:line="256" w:lineRule="auto"/>
        <w:ind w:left="851" w:hanging="851"/>
      </w:pPr>
      <w:r>
        <w:t>Do you agree that the transaction type should not become a mandatory matching field under Article 5(4) of CDR 2018/1229?</w:t>
      </w:r>
    </w:p>
    <w:p w14:paraId="7F94DE8B" w14:textId="77777777" w:rsidR="00113E80" w:rsidRDefault="00113E80" w:rsidP="00113E80">
      <w:r>
        <w:t>&lt;ESMA_QUESTION_CSDC_44&gt;</w:t>
      </w:r>
    </w:p>
    <w:p w14:paraId="0D2A711C" w14:textId="77777777" w:rsidR="00113E80" w:rsidRDefault="00113E80" w:rsidP="00113E80">
      <w:permStart w:id="1475766194" w:edGrp="everyone"/>
      <w:r>
        <w:t>TYPE YOUR TEXT HERE</w:t>
      </w:r>
    </w:p>
    <w:permEnd w:id="1475766194"/>
    <w:p w14:paraId="30420754" w14:textId="77777777" w:rsidR="00113E80" w:rsidRDefault="00113E80" w:rsidP="00113E80">
      <w:r>
        <w:t>&lt;ESMA_QUESTION_CSDC_44&gt;</w:t>
      </w:r>
    </w:p>
    <w:p w14:paraId="701FF848" w14:textId="77777777" w:rsidR="00113E80" w:rsidRDefault="00113E80" w:rsidP="00113E80"/>
    <w:p w14:paraId="1584C909" w14:textId="77777777" w:rsidR="00113E80" w:rsidRDefault="00113E80" w:rsidP="00113E80">
      <w:pPr>
        <w:pStyle w:val="Questionstyle"/>
        <w:numPr>
          <w:ilvl w:val="0"/>
          <w:numId w:val="14"/>
        </w:numPr>
        <w:tabs>
          <w:tab w:val="clear" w:pos="567"/>
        </w:tabs>
        <w:spacing w:after="240" w:line="256" w:lineRule="auto"/>
        <w:ind w:left="851" w:hanging="851"/>
      </w:pPr>
      <w:r>
        <w:t>Do you think the lists mentioned in Article 2(1)(a) and Article 5(4) of CDR 2018/1229 should be updated? If yes, please specify.</w:t>
      </w:r>
    </w:p>
    <w:p w14:paraId="222120E2" w14:textId="77777777" w:rsidR="00113E80" w:rsidRDefault="00113E80" w:rsidP="00113E80">
      <w:r>
        <w:t>&lt;ESMA_QUESTION_CSDC_45&gt;</w:t>
      </w:r>
    </w:p>
    <w:p w14:paraId="6BF743EF" w14:textId="77777777" w:rsidR="00113E80" w:rsidRDefault="00113E80" w:rsidP="00113E80">
      <w:permStart w:id="961432849" w:edGrp="everyone"/>
      <w:r>
        <w:t>TYPE YOUR TEXT HERE</w:t>
      </w:r>
    </w:p>
    <w:permEnd w:id="961432849"/>
    <w:p w14:paraId="07F60CC2" w14:textId="77777777" w:rsidR="00113E80" w:rsidRDefault="00113E80" w:rsidP="00113E80">
      <w:r>
        <w:t>&lt;ESMA_QUESTION_CSDC_45&gt;</w:t>
      </w:r>
    </w:p>
    <w:p w14:paraId="790E4CD9" w14:textId="77777777" w:rsidR="005E6387" w:rsidRDefault="005E6387" w:rsidP="00113E80"/>
    <w:p w14:paraId="0554155E" w14:textId="06B8DF5A" w:rsidR="00113E80" w:rsidRDefault="005E6387" w:rsidP="00113E80">
      <w:pPr>
        <w:rPr>
          <w:b/>
          <w:bCs/>
        </w:rPr>
      </w:pPr>
      <w:r w:rsidRPr="005E6387">
        <w:rPr>
          <w:b/>
          <w:bCs/>
        </w:rPr>
        <w:t>3.2.6</w:t>
      </w:r>
      <w:r w:rsidRPr="005E6387">
        <w:rPr>
          <w:b/>
          <w:bCs/>
        </w:rPr>
        <w:tab/>
        <w:t>Timing for sending settlement instructions to the securities settlement system (SSS)</w:t>
      </w:r>
    </w:p>
    <w:p w14:paraId="07414F56" w14:textId="77777777" w:rsidR="005E6387" w:rsidRPr="005E6387" w:rsidRDefault="005E6387" w:rsidP="00113E80">
      <w:pPr>
        <w:rPr>
          <w:b/>
          <w:bCs/>
        </w:rPr>
      </w:pPr>
    </w:p>
    <w:p w14:paraId="05C4750B" w14:textId="77777777" w:rsidR="00113E80" w:rsidRDefault="00113E80" w:rsidP="00113E80">
      <w:pPr>
        <w:pStyle w:val="Questionstyle"/>
        <w:numPr>
          <w:ilvl w:val="0"/>
          <w:numId w:val="14"/>
        </w:numPr>
        <w:tabs>
          <w:tab w:val="clear" w:pos="567"/>
        </w:tabs>
        <w:spacing w:after="240" w:line="256" w:lineRule="auto"/>
        <w:ind w:left="851" w:hanging="851"/>
      </w:pPr>
      <w:r>
        <w:t>What are your views on whether market participants should send settlement instructions intra-day rather than in bulk at the end of the day?</w:t>
      </w:r>
    </w:p>
    <w:p w14:paraId="5CCADBD2" w14:textId="77777777" w:rsidR="00113E80" w:rsidRDefault="00113E80" w:rsidP="00113E80">
      <w:r>
        <w:t>&lt;ESMA_QUESTION_CSDC_46&gt;</w:t>
      </w:r>
    </w:p>
    <w:p w14:paraId="6D5FE34C" w14:textId="77777777" w:rsidR="00113E80" w:rsidRDefault="00113E80" w:rsidP="00113E80">
      <w:permStart w:id="904798664" w:edGrp="everyone"/>
      <w:r>
        <w:t>TYPE YOUR TEXT HERE</w:t>
      </w:r>
    </w:p>
    <w:permEnd w:id="904798664"/>
    <w:p w14:paraId="129FDCEA" w14:textId="77777777" w:rsidR="00113E80" w:rsidRDefault="00113E80" w:rsidP="00113E80">
      <w:r>
        <w:t>&lt;ESMA_QUESTION_CSDC_46&gt;</w:t>
      </w:r>
    </w:p>
    <w:p w14:paraId="19EAABB1" w14:textId="77777777" w:rsidR="00113E80" w:rsidRDefault="00113E80" w:rsidP="00113E80"/>
    <w:p w14:paraId="5AC95EFF" w14:textId="77777777" w:rsidR="00113E80" w:rsidRDefault="00113E80" w:rsidP="00113E80">
      <w:pPr>
        <w:pStyle w:val="Questionstyle"/>
        <w:numPr>
          <w:ilvl w:val="0"/>
          <w:numId w:val="14"/>
        </w:numPr>
        <w:tabs>
          <w:tab w:val="clear" w:pos="567"/>
        </w:tabs>
        <w:spacing w:after="240" w:line="256" w:lineRule="auto"/>
        <w:ind w:left="851" w:hanging="851"/>
        <w:rPr>
          <w:bCs/>
        </w:rPr>
      </w:pPr>
      <w:r>
        <w:rPr>
          <w:bCs/>
        </w:rPr>
        <w:t>Do you consider it necessary to introduce a deadline for the submission of settlement instructions through a regulatory amendment to CDR 2018/1229? If yes, what should be such a deadline? Please provide arguments to justify your answers.</w:t>
      </w:r>
    </w:p>
    <w:p w14:paraId="7A4E313A" w14:textId="77777777" w:rsidR="00113E80" w:rsidRDefault="00113E80" w:rsidP="00113E80">
      <w:r>
        <w:t>&lt;ESMA_QUESTION_CSDC_47&gt;</w:t>
      </w:r>
    </w:p>
    <w:p w14:paraId="24C3810C" w14:textId="77777777" w:rsidR="00113E80" w:rsidRDefault="00113E80" w:rsidP="00113E80">
      <w:permStart w:id="355869798" w:edGrp="everyone"/>
      <w:r>
        <w:t>TYPE YOUR TEXT HERE</w:t>
      </w:r>
    </w:p>
    <w:permEnd w:id="355869798"/>
    <w:p w14:paraId="7B3A7050" w14:textId="77777777" w:rsidR="00113E80" w:rsidRDefault="00113E80" w:rsidP="00113E80">
      <w:r>
        <w:t>&lt;ESMA_QUESTION_CSDC_47&gt;</w:t>
      </w:r>
    </w:p>
    <w:p w14:paraId="25115DB8" w14:textId="77777777" w:rsidR="005E6387" w:rsidRDefault="005E6387" w:rsidP="00113E80">
      <w:pPr>
        <w:rPr>
          <w:b/>
          <w:bCs/>
        </w:rPr>
      </w:pPr>
    </w:p>
    <w:p w14:paraId="0BF3ADCB" w14:textId="6BFEB277" w:rsidR="00113E80" w:rsidRPr="005E6387" w:rsidRDefault="005E6387" w:rsidP="00113E80">
      <w:pPr>
        <w:rPr>
          <w:b/>
          <w:bCs/>
        </w:rPr>
      </w:pPr>
      <w:r w:rsidRPr="005E6387">
        <w:rPr>
          <w:b/>
          <w:bCs/>
        </w:rPr>
        <w:t>3.2.7</w:t>
      </w:r>
      <w:r w:rsidRPr="005E6387">
        <w:rPr>
          <w:b/>
          <w:bCs/>
        </w:rPr>
        <w:tab/>
        <w:t>Alignment of CSDs’ opening hours, real-time/night-time settlement and cut-off times</w:t>
      </w:r>
    </w:p>
    <w:p w14:paraId="5106CA89" w14:textId="77777777" w:rsidR="005E6387" w:rsidRDefault="005E6387" w:rsidP="00113E80"/>
    <w:p w14:paraId="1E5EFA9F" w14:textId="77777777" w:rsidR="00113E80" w:rsidRDefault="00113E80" w:rsidP="00113E80">
      <w:pPr>
        <w:pStyle w:val="Questionstyle"/>
        <w:numPr>
          <w:ilvl w:val="0"/>
          <w:numId w:val="14"/>
        </w:numPr>
        <w:tabs>
          <w:tab w:val="clear" w:pos="567"/>
        </w:tabs>
        <w:spacing w:after="240" w:line="256" w:lineRule="auto"/>
        <w:ind w:left="851" w:hanging="851"/>
        <w:rPr>
          <w:bCs/>
        </w:rPr>
      </w:pPr>
      <w:r>
        <w:rPr>
          <w:bCs/>
        </w:rPr>
        <w:t xml:space="preserve">Do you agree that CSDs’ business day schedule should be left to the industry? If not, please elaborate.  </w:t>
      </w:r>
    </w:p>
    <w:p w14:paraId="3CC1703E" w14:textId="77777777" w:rsidR="00113E80" w:rsidRDefault="00113E80" w:rsidP="00113E80">
      <w:r>
        <w:t>&lt;ESMA_QUESTION_CSDC_48&gt;</w:t>
      </w:r>
    </w:p>
    <w:p w14:paraId="63FBC321" w14:textId="77777777" w:rsidR="00113E80" w:rsidRDefault="00113E80" w:rsidP="00113E80">
      <w:permStart w:id="1531868113" w:edGrp="everyone"/>
      <w:r>
        <w:lastRenderedPageBreak/>
        <w:t>TYPE YOUR TEXT HERE</w:t>
      </w:r>
    </w:p>
    <w:permEnd w:id="1531868113"/>
    <w:p w14:paraId="4C79A334" w14:textId="77777777" w:rsidR="00113E80" w:rsidRDefault="00113E80" w:rsidP="00113E80">
      <w:r>
        <w:t>&lt;ESMA_QUESTION_CSDC_48&gt;</w:t>
      </w:r>
    </w:p>
    <w:p w14:paraId="7176D00A" w14:textId="77777777" w:rsidR="00113E80" w:rsidRDefault="00113E80" w:rsidP="00113E80"/>
    <w:p w14:paraId="7617FAC7" w14:textId="77777777" w:rsidR="00113E80" w:rsidRDefault="00113E80" w:rsidP="00113E80">
      <w:pPr>
        <w:pStyle w:val="Questionstyle"/>
        <w:numPr>
          <w:ilvl w:val="0"/>
          <w:numId w:val="14"/>
        </w:numPr>
        <w:tabs>
          <w:tab w:val="clear" w:pos="567"/>
        </w:tabs>
        <w:spacing w:after="240" w:line="256" w:lineRule="auto"/>
        <w:ind w:left="851" w:hanging="851"/>
        <w:rPr>
          <w:bCs/>
        </w:rPr>
      </w:pPr>
      <w:r>
        <w:rPr>
          <w:bCs/>
        </w:rPr>
        <w:t>What would be, in your view, the ideal business day schedule for CSDs taking also into account real-time settlement, night-time settlement and cut-off times? Should they be aligned? Please provide arguments.</w:t>
      </w:r>
    </w:p>
    <w:p w14:paraId="10FC9AE8" w14:textId="77777777" w:rsidR="00113E80" w:rsidRDefault="00113E80" w:rsidP="00113E80">
      <w:r>
        <w:t>&lt;ESMA_QUESTION_CSDC_49&gt;</w:t>
      </w:r>
    </w:p>
    <w:p w14:paraId="45CF7E70" w14:textId="77777777" w:rsidR="00113E80" w:rsidRDefault="00113E80" w:rsidP="00113E80">
      <w:permStart w:id="150763568" w:edGrp="everyone"/>
      <w:r>
        <w:t>TYPE YOUR TEXT HERE</w:t>
      </w:r>
    </w:p>
    <w:permEnd w:id="150763568"/>
    <w:p w14:paraId="44326574" w14:textId="77777777" w:rsidR="00113E80" w:rsidRDefault="00113E80" w:rsidP="00113E80">
      <w:r>
        <w:t>&lt;ESMA_QUESTION_CSDC_49&gt;</w:t>
      </w:r>
    </w:p>
    <w:p w14:paraId="7ACB3EA6" w14:textId="77777777" w:rsidR="005E6387" w:rsidRDefault="005E6387" w:rsidP="00113E80">
      <w:pPr>
        <w:rPr>
          <w:b/>
          <w:bCs/>
        </w:rPr>
      </w:pPr>
    </w:p>
    <w:p w14:paraId="43B2E9F1" w14:textId="36411B90" w:rsidR="005E6387" w:rsidRPr="005E6387" w:rsidRDefault="005E6387" w:rsidP="00113E80">
      <w:pPr>
        <w:rPr>
          <w:b/>
          <w:bCs/>
        </w:rPr>
      </w:pPr>
      <w:r w:rsidRPr="005E6387">
        <w:rPr>
          <w:b/>
          <w:bCs/>
        </w:rPr>
        <w:t>3.2.8</w:t>
      </w:r>
      <w:r w:rsidRPr="005E6387">
        <w:rPr>
          <w:b/>
          <w:bCs/>
        </w:rPr>
        <w:tab/>
        <w:t>Shaping</w:t>
      </w:r>
    </w:p>
    <w:p w14:paraId="5C6AFA04" w14:textId="77777777" w:rsidR="00113E80" w:rsidRDefault="00113E80" w:rsidP="00113E80"/>
    <w:p w14:paraId="0F06545B" w14:textId="77777777" w:rsidR="00113E80" w:rsidRDefault="00113E80" w:rsidP="00113E80">
      <w:pPr>
        <w:pStyle w:val="Questionstyle"/>
        <w:numPr>
          <w:ilvl w:val="0"/>
          <w:numId w:val="14"/>
        </w:numPr>
        <w:tabs>
          <w:tab w:val="clear" w:pos="567"/>
        </w:tabs>
        <w:spacing w:after="240" w:line="256" w:lineRule="auto"/>
        <w:ind w:left="851" w:hanging="851"/>
        <w:rPr>
          <w:bCs/>
        </w:rPr>
      </w:pPr>
      <w:r>
        <w:rPr>
          <w:bCs/>
        </w:rPr>
        <w:t xml:space="preserve">Do you agree that shaping should be adopted as best practice? If you do not agree and believe that it should be adopted as regulatory change, please indicate which should be the most adequate size to shape transactions per type of financial instrument. </w:t>
      </w:r>
    </w:p>
    <w:p w14:paraId="00DEE5ED" w14:textId="77777777" w:rsidR="00113E80" w:rsidRDefault="00113E80" w:rsidP="00113E80">
      <w:r>
        <w:t>&lt;ESMA_QUESTION_CSDC_50&gt;</w:t>
      </w:r>
    </w:p>
    <w:p w14:paraId="022777CA" w14:textId="77777777" w:rsidR="00113E80" w:rsidRDefault="00113E80" w:rsidP="00113E80">
      <w:permStart w:id="457271116" w:edGrp="everyone"/>
      <w:r>
        <w:t>TYPE YOUR TEXT HERE</w:t>
      </w:r>
    </w:p>
    <w:permEnd w:id="457271116"/>
    <w:p w14:paraId="3F2B26D3" w14:textId="77777777" w:rsidR="00113E80" w:rsidRDefault="00113E80" w:rsidP="00113E80">
      <w:r>
        <w:t>&lt;ESMA_QUESTION_CSDC_50&gt;</w:t>
      </w:r>
    </w:p>
    <w:p w14:paraId="5F62866E" w14:textId="77777777" w:rsidR="005E6387" w:rsidRDefault="005E6387" w:rsidP="00113E80"/>
    <w:p w14:paraId="757D3298" w14:textId="64F735EB" w:rsidR="00113E80" w:rsidRPr="005E6387" w:rsidRDefault="005E6387" w:rsidP="00113E80">
      <w:pPr>
        <w:rPr>
          <w:b/>
          <w:bCs/>
        </w:rPr>
      </w:pPr>
      <w:r w:rsidRPr="005E6387">
        <w:rPr>
          <w:b/>
          <w:bCs/>
        </w:rPr>
        <w:t>3.2.9</w:t>
      </w:r>
      <w:r w:rsidRPr="005E6387">
        <w:rPr>
          <w:b/>
          <w:bCs/>
        </w:rPr>
        <w:tab/>
        <w:t>Automated securities lending</w:t>
      </w:r>
    </w:p>
    <w:p w14:paraId="2683FFE7" w14:textId="77777777" w:rsidR="005E6387" w:rsidRDefault="005E6387" w:rsidP="00113E80"/>
    <w:p w14:paraId="5F0ADCD0" w14:textId="77777777" w:rsidR="00113E80" w:rsidRDefault="00113E80" w:rsidP="00113E80">
      <w:pPr>
        <w:pStyle w:val="Questionstyle"/>
        <w:numPr>
          <w:ilvl w:val="0"/>
          <w:numId w:val="14"/>
        </w:numPr>
        <w:tabs>
          <w:tab w:val="clear" w:pos="567"/>
        </w:tabs>
        <w:spacing w:after="240" w:line="256" w:lineRule="auto"/>
        <w:ind w:left="851" w:hanging="851"/>
        <w:rPr>
          <w:bCs/>
        </w:rPr>
      </w:pPr>
      <w:r>
        <w:rPr>
          <w:bCs/>
        </w:rPr>
        <w:t>Do you see the need for a regulatory action in this area? If yes, please elaborate.</w:t>
      </w:r>
    </w:p>
    <w:p w14:paraId="3EC61179" w14:textId="77777777" w:rsidR="00113E80" w:rsidRDefault="00113E80" w:rsidP="00113E80">
      <w:r>
        <w:t>&lt;ESMA_QUESTION_CSDC_51&gt;</w:t>
      </w:r>
    </w:p>
    <w:p w14:paraId="4F9916BD" w14:textId="77777777" w:rsidR="00113E80" w:rsidRDefault="00113E80" w:rsidP="00113E80">
      <w:permStart w:id="1535070435" w:edGrp="everyone"/>
      <w:r>
        <w:t>TYPE YOUR TEXT HERE</w:t>
      </w:r>
    </w:p>
    <w:permEnd w:id="1535070435"/>
    <w:p w14:paraId="3F0A2AF3" w14:textId="77777777" w:rsidR="00113E80" w:rsidRDefault="00113E80" w:rsidP="00113E80">
      <w:r>
        <w:t>&lt;ESMA_QUESTION_CSDC_51&gt;</w:t>
      </w:r>
    </w:p>
    <w:p w14:paraId="041E8166" w14:textId="19092A13" w:rsidR="00113E80" w:rsidRPr="004D0A02" w:rsidRDefault="004D0A02" w:rsidP="00113E80">
      <w:pPr>
        <w:rPr>
          <w:b/>
          <w:bCs/>
        </w:rPr>
      </w:pPr>
      <w:r w:rsidRPr="004D0A02">
        <w:rPr>
          <w:b/>
          <w:bCs/>
        </w:rPr>
        <w:t>3.2.10 Other proposals regarding settlement discipline measures and tools to improve settlement efficiency</w:t>
      </w:r>
    </w:p>
    <w:p w14:paraId="1C1F1B53" w14:textId="77777777" w:rsidR="004D0A02" w:rsidRDefault="004D0A02" w:rsidP="00113E80"/>
    <w:p w14:paraId="2156E6B8" w14:textId="77777777" w:rsidR="00113E80" w:rsidRDefault="00113E80" w:rsidP="00113E80">
      <w:pPr>
        <w:pStyle w:val="Questionstyle"/>
        <w:numPr>
          <w:ilvl w:val="0"/>
          <w:numId w:val="14"/>
        </w:numPr>
        <w:tabs>
          <w:tab w:val="clear" w:pos="567"/>
        </w:tabs>
        <w:spacing w:after="240" w:line="256" w:lineRule="auto"/>
        <w:ind w:left="851" w:hanging="851"/>
        <w:rPr>
          <w:bCs/>
        </w:rPr>
      </w:pPr>
      <w:r>
        <w:rPr>
          <w:bCs/>
        </w:rPr>
        <w:t>Do you have other proposals regarding settlement discipline measures and tools to improve settlement efficiency in areas not covered in the previous sections? Please give examples and provide arguments and data where available. If relevant, please also include the specific proposed amendments to CDR 2018/1229.</w:t>
      </w:r>
    </w:p>
    <w:p w14:paraId="1DDDF152" w14:textId="77777777" w:rsidR="00113E80" w:rsidRDefault="00113E80" w:rsidP="00113E80">
      <w:r>
        <w:t>&lt;ESMA_QUESTION_CSDC_52&gt;</w:t>
      </w:r>
    </w:p>
    <w:p w14:paraId="667F8D69" w14:textId="77777777" w:rsidR="00113E80" w:rsidRDefault="00113E80" w:rsidP="00113E80">
      <w:permStart w:id="517953238" w:edGrp="everyone"/>
      <w:r>
        <w:t>TYPE YOUR TEXT HERE</w:t>
      </w:r>
    </w:p>
    <w:permEnd w:id="517953238"/>
    <w:p w14:paraId="4660DEF1" w14:textId="77777777" w:rsidR="00113E80" w:rsidRDefault="00113E80" w:rsidP="00113E80">
      <w:r>
        <w:t>&lt;ESMA_QUESTION_CSDC_52&gt;</w:t>
      </w:r>
    </w:p>
    <w:p w14:paraId="16B95523" w14:textId="77777777" w:rsidR="004D0A02" w:rsidRDefault="004D0A02" w:rsidP="00113E80">
      <w:pPr>
        <w:rPr>
          <w:b/>
          <w:bCs/>
        </w:rPr>
      </w:pPr>
    </w:p>
    <w:p w14:paraId="0D55AFAD" w14:textId="2F56243F" w:rsidR="00113E80" w:rsidRPr="004D0A02" w:rsidRDefault="004D0A02" w:rsidP="00113E80">
      <w:pPr>
        <w:rPr>
          <w:b/>
          <w:bCs/>
        </w:rPr>
      </w:pPr>
      <w:r>
        <w:rPr>
          <w:b/>
          <w:bCs/>
        </w:rPr>
        <w:t>3.2.11 Costs and Benefits</w:t>
      </w:r>
    </w:p>
    <w:p w14:paraId="2B6F917D" w14:textId="77777777" w:rsidR="004D0A02" w:rsidRDefault="004D0A02" w:rsidP="00113E80"/>
    <w:p w14:paraId="2B413772" w14:textId="272A13C9" w:rsidR="00113E80" w:rsidRDefault="00113E80" w:rsidP="00113E80">
      <w:pPr>
        <w:pStyle w:val="Questionstyle"/>
        <w:numPr>
          <w:ilvl w:val="0"/>
          <w:numId w:val="14"/>
        </w:numPr>
        <w:tabs>
          <w:tab w:val="clear" w:pos="567"/>
        </w:tabs>
        <w:spacing w:after="240" w:line="256" w:lineRule="auto"/>
        <w:ind w:left="851" w:hanging="851"/>
        <w:rPr>
          <w:bCs/>
        </w:rPr>
      </w:pPr>
      <w:r>
        <w:rPr>
          <w:bCs/>
        </w:rPr>
        <w:t>For all the topics covered in this CP please provide your input on the envisaged costs and benefits using the table below. Please include any operational challenges and the time it may take to implement the proposed requirements.</w:t>
      </w:r>
      <w:r w:rsidR="004F5A02">
        <w:rPr>
          <w:bCs/>
        </w:rPr>
        <w:t xml:space="preserve"> </w:t>
      </w:r>
      <w:r>
        <w:rPr>
          <w:bCs/>
        </w:rPr>
        <w:t>Where relevant, additional tables, graphs and information may be included in order to support the arguments or calculations presented in the table below.</w:t>
      </w:r>
    </w:p>
    <w:tbl>
      <w:tblPr>
        <w:tblW w:w="0" w:type="auto"/>
        <w:tblCellMar>
          <w:left w:w="0" w:type="dxa"/>
          <w:right w:w="0" w:type="dxa"/>
        </w:tblCellMar>
        <w:tblLook w:val="04A0" w:firstRow="1" w:lastRow="0" w:firstColumn="1" w:lastColumn="0" w:noHBand="0" w:noVBand="1"/>
      </w:tblPr>
      <w:tblGrid>
        <w:gridCol w:w="2578"/>
        <w:gridCol w:w="3057"/>
        <w:gridCol w:w="3417"/>
      </w:tblGrid>
      <w:tr w:rsidR="00D93D74" w:rsidRPr="007F665A" w14:paraId="79EE8613" w14:textId="77777777" w:rsidTr="002853FF">
        <w:trPr>
          <w:trHeight w:val="450"/>
        </w:trPr>
        <w:tc>
          <w:tcPr>
            <w:tcW w:w="2580" w:type="dxa"/>
            <w:tcBorders>
              <w:top w:val="single" w:sz="8" w:space="0" w:color="auto"/>
              <w:left w:val="single" w:sz="8" w:space="0" w:color="auto"/>
              <w:bottom w:val="single" w:sz="8" w:space="0" w:color="auto"/>
              <w:right w:val="single" w:sz="8" w:space="0" w:color="000000"/>
            </w:tcBorders>
            <w:tcMar>
              <w:top w:w="0" w:type="dxa"/>
              <w:left w:w="108" w:type="dxa"/>
              <w:bottom w:w="0" w:type="dxa"/>
              <w:right w:w="108" w:type="dxa"/>
            </w:tcMar>
            <w:hideMark/>
          </w:tcPr>
          <w:p w14:paraId="7D8F1070" w14:textId="77777777" w:rsidR="00D93D74" w:rsidRPr="007F665A" w:rsidRDefault="00D93D74" w:rsidP="002853FF">
            <w:pPr>
              <w:rPr>
                <w:lang w:val="nl-BE"/>
              </w:rPr>
            </w:pPr>
            <w:r w:rsidRPr="007F665A">
              <w:rPr>
                <w:b/>
                <w:bCs/>
                <w:lang w:val="nl-BE"/>
              </w:rPr>
              <w:t xml:space="preserve">ESMA or respondent’s proposal </w:t>
            </w:r>
          </w:p>
        </w:tc>
        <w:tc>
          <w:tcPr>
            <w:tcW w:w="6480" w:type="dxa"/>
            <w:gridSpan w:val="2"/>
            <w:tcBorders>
              <w:top w:val="single" w:sz="8" w:space="0" w:color="auto"/>
              <w:left w:val="nil"/>
              <w:bottom w:val="single" w:sz="8" w:space="0" w:color="000000"/>
              <w:right w:val="single" w:sz="8" w:space="0" w:color="000000"/>
            </w:tcBorders>
            <w:tcMar>
              <w:top w:w="0" w:type="dxa"/>
              <w:left w:w="108" w:type="dxa"/>
              <w:bottom w:w="0" w:type="dxa"/>
              <w:right w:w="108" w:type="dxa"/>
            </w:tcMar>
          </w:tcPr>
          <w:p w14:paraId="747686E7" w14:textId="77777777" w:rsidR="00D93D74" w:rsidRPr="007F665A" w:rsidRDefault="00D93D74" w:rsidP="002853FF">
            <w:pPr>
              <w:rPr>
                <w:lang w:val="nl-BE"/>
              </w:rPr>
            </w:pPr>
          </w:p>
          <w:p w14:paraId="0222539E" w14:textId="77777777" w:rsidR="00D93D74" w:rsidRPr="007F665A" w:rsidRDefault="00D93D74" w:rsidP="002853FF">
            <w:pPr>
              <w:rPr>
                <w:lang w:val="nl-BE"/>
              </w:rPr>
            </w:pPr>
            <w:r w:rsidRPr="007F665A">
              <w:rPr>
                <w:lang w:val="nl-BE"/>
              </w:rPr>
              <w:t> </w:t>
            </w:r>
          </w:p>
        </w:tc>
      </w:tr>
      <w:tr w:rsidR="00D93D74" w:rsidRPr="007F665A" w14:paraId="1E5F920B" w14:textId="77777777" w:rsidTr="002853FF">
        <w:trPr>
          <w:trHeight w:val="300"/>
        </w:trPr>
        <w:tc>
          <w:tcPr>
            <w:tcW w:w="25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9A7127" w14:textId="77777777" w:rsidR="00D93D74" w:rsidRPr="007F665A" w:rsidRDefault="00D93D74" w:rsidP="002853FF">
            <w:pPr>
              <w:rPr>
                <w:lang w:val="nl-BE"/>
              </w:rPr>
            </w:pPr>
            <w:r w:rsidRPr="007F665A">
              <w:t> </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15F3C574" w14:textId="77777777" w:rsidR="00D93D74" w:rsidRPr="007F665A" w:rsidRDefault="00D93D74" w:rsidP="002853FF">
            <w:pPr>
              <w:rPr>
                <w:lang w:val="nl-BE"/>
              </w:rPr>
            </w:pPr>
            <w:r w:rsidRPr="007F665A">
              <w:rPr>
                <w:b/>
                <w:bCs/>
                <w:lang w:val="nl-BE"/>
              </w:rPr>
              <w:t>Qualitative description</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14:paraId="43EAB647" w14:textId="77777777" w:rsidR="00D93D74" w:rsidRPr="007F665A" w:rsidRDefault="00D93D74" w:rsidP="002853FF">
            <w:pPr>
              <w:rPr>
                <w:lang w:val="nl-BE"/>
              </w:rPr>
            </w:pPr>
            <w:r w:rsidRPr="007F665A">
              <w:rPr>
                <w:b/>
                <w:bCs/>
                <w:lang w:val="nl-BE"/>
              </w:rPr>
              <w:t>Quantitative description/ Data</w:t>
            </w:r>
          </w:p>
        </w:tc>
      </w:tr>
      <w:tr w:rsidR="00D93D74" w:rsidRPr="007F665A" w14:paraId="08D4DCBA" w14:textId="77777777" w:rsidTr="002853FF">
        <w:trPr>
          <w:trHeight w:val="300"/>
        </w:trPr>
        <w:tc>
          <w:tcPr>
            <w:tcW w:w="25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727814" w14:textId="77777777" w:rsidR="00D93D74" w:rsidRPr="007F665A" w:rsidRDefault="00D93D74" w:rsidP="002853FF">
            <w:pPr>
              <w:rPr>
                <w:lang w:val="nl-BE"/>
              </w:rPr>
            </w:pPr>
            <w:r w:rsidRPr="007F665A">
              <w:rPr>
                <w:b/>
                <w:bCs/>
                <w:lang w:val="nl-BE"/>
              </w:rPr>
              <w:t>Benefits</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69756710" w14:textId="77777777" w:rsidR="00D93D74" w:rsidRPr="007F665A" w:rsidRDefault="00D93D74" w:rsidP="002853FF">
            <w:pPr>
              <w:rPr>
                <w:lang w:val="nl-BE"/>
              </w:rPr>
            </w:pP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14:paraId="57FFBBCF" w14:textId="77777777" w:rsidR="00D93D74" w:rsidRPr="007F665A" w:rsidRDefault="00D93D74" w:rsidP="002853FF">
            <w:pPr>
              <w:rPr>
                <w:lang w:val="nl-BE"/>
              </w:rPr>
            </w:pPr>
            <w:r w:rsidRPr="007F665A">
              <w:rPr>
                <w:lang w:val="nl-BE"/>
              </w:rPr>
              <w:t> </w:t>
            </w:r>
          </w:p>
        </w:tc>
      </w:tr>
      <w:tr w:rsidR="00D93D74" w:rsidRPr="007F665A" w14:paraId="2F18657F" w14:textId="77777777" w:rsidTr="002853FF">
        <w:trPr>
          <w:trHeight w:val="300"/>
        </w:trPr>
        <w:tc>
          <w:tcPr>
            <w:tcW w:w="25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248DF4" w14:textId="77777777" w:rsidR="00D93D74" w:rsidRPr="007F665A" w:rsidRDefault="00D93D74" w:rsidP="002853FF">
            <w:pPr>
              <w:rPr>
                <w:lang w:val="nl-BE"/>
              </w:rPr>
            </w:pPr>
            <w:r w:rsidRPr="007F665A">
              <w:rPr>
                <w:b/>
                <w:bCs/>
                <w:lang w:val="nl-BE"/>
              </w:rPr>
              <w:t>Compliance costs:</w:t>
            </w:r>
          </w:p>
          <w:p w14:paraId="3A66C74C" w14:textId="77777777" w:rsidR="00D93D74" w:rsidRPr="007F665A" w:rsidRDefault="00D93D74" w:rsidP="002853FF">
            <w:pPr>
              <w:rPr>
                <w:lang w:val="nl-BE"/>
              </w:rPr>
            </w:pPr>
            <w:r w:rsidRPr="007F665A">
              <w:rPr>
                <w:b/>
                <w:bCs/>
                <w:lang w:val="nl-BE"/>
              </w:rPr>
              <w:t>- One-off</w:t>
            </w:r>
          </w:p>
          <w:p w14:paraId="13F8798A" w14:textId="77777777" w:rsidR="00D93D74" w:rsidRPr="007F665A" w:rsidRDefault="00D93D74" w:rsidP="002853FF">
            <w:pPr>
              <w:rPr>
                <w:lang w:val="nl-BE"/>
              </w:rPr>
            </w:pPr>
            <w:r w:rsidRPr="007F665A">
              <w:rPr>
                <w:b/>
                <w:bCs/>
                <w:lang w:val="nl-BE"/>
              </w:rPr>
              <w:t>- On-going</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3E5B6F2F" w14:textId="77777777" w:rsidR="00D93D74" w:rsidRPr="007F665A" w:rsidRDefault="00D93D74" w:rsidP="002853FF">
            <w:pPr>
              <w:rPr>
                <w:lang w:val="nl-BE"/>
              </w:rPr>
            </w:pP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14:paraId="54C545ED" w14:textId="77777777" w:rsidR="00D93D74" w:rsidRPr="007F665A" w:rsidRDefault="00D93D74" w:rsidP="002853FF">
            <w:pPr>
              <w:rPr>
                <w:lang w:val="nl-BE"/>
              </w:rPr>
            </w:pPr>
            <w:r w:rsidRPr="007F665A">
              <w:rPr>
                <w:lang w:val="nl-BE"/>
              </w:rPr>
              <w:t> </w:t>
            </w:r>
          </w:p>
        </w:tc>
      </w:tr>
      <w:tr w:rsidR="00D93D74" w:rsidRPr="007F665A" w14:paraId="7ABF7023" w14:textId="77777777" w:rsidTr="002853FF">
        <w:trPr>
          <w:trHeight w:val="300"/>
        </w:trPr>
        <w:tc>
          <w:tcPr>
            <w:tcW w:w="25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FA8F27" w14:textId="77777777" w:rsidR="00D93D74" w:rsidRPr="007F665A" w:rsidRDefault="00D93D74" w:rsidP="002853FF">
            <w:pPr>
              <w:rPr>
                <w:lang w:val="nl-BE"/>
              </w:rPr>
            </w:pPr>
            <w:r w:rsidRPr="007F665A">
              <w:rPr>
                <w:b/>
                <w:bCs/>
                <w:lang w:val="nl-BE"/>
              </w:rPr>
              <w:t>Costs to other stakeholders</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0852B917" w14:textId="77777777" w:rsidR="00D93D74" w:rsidRPr="007F665A" w:rsidRDefault="00D93D74" w:rsidP="002853FF">
            <w:pPr>
              <w:rPr>
                <w:lang w:val="nl-BE"/>
              </w:rPr>
            </w:pP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14:paraId="68936CBD" w14:textId="77777777" w:rsidR="00D93D74" w:rsidRPr="007F665A" w:rsidRDefault="00D93D74" w:rsidP="002853FF">
            <w:pPr>
              <w:rPr>
                <w:lang w:val="nl-BE"/>
              </w:rPr>
            </w:pPr>
            <w:r w:rsidRPr="007F665A">
              <w:rPr>
                <w:lang w:val="nl-BE"/>
              </w:rPr>
              <w:t> </w:t>
            </w:r>
          </w:p>
        </w:tc>
      </w:tr>
      <w:tr w:rsidR="00D93D74" w:rsidRPr="007F665A" w14:paraId="4DB9EEFC" w14:textId="77777777" w:rsidTr="002853FF">
        <w:trPr>
          <w:trHeight w:val="300"/>
        </w:trPr>
        <w:tc>
          <w:tcPr>
            <w:tcW w:w="25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3DFAFC" w14:textId="77777777" w:rsidR="00D93D74" w:rsidRPr="007F665A" w:rsidRDefault="00D93D74" w:rsidP="002853FF">
            <w:pPr>
              <w:rPr>
                <w:lang w:val="nl-BE"/>
              </w:rPr>
            </w:pPr>
            <w:r w:rsidRPr="007F665A">
              <w:rPr>
                <w:b/>
                <w:bCs/>
                <w:lang w:val="nl-BE"/>
              </w:rPr>
              <w:t>Indirect costs</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6DD24A38" w14:textId="77777777" w:rsidR="00D93D74" w:rsidRPr="007F665A" w:rsidRDefault="00D93D74" w:rsidP="002853FF">
            <w:pPr>
              <w:rPr>
                <w:lang w:val="nl-BE"/>
              </w:rPr>
            </w:pPr>
          </w:p>
        </w:tc>
        <w:tc>
          <w:tcPr>
            <w:tcW w:w="3420" w:type="dxa"/>
            <w:tcBorders>
              <w:top w:val="nil"/>
              <w:left w:val="nil"/>
              <w:bottom w:val="single" w:sz="8" w:space="0" w:color="auto"/>
              <w:right w:val="single" w:sz="8" w:space="0" w:color="auto"/>
            </w:tcBorders>
            <w:tcMar>
              <w:top w:w="0" w:type="dxa"/>
              <w:left w:w="108" w:type="dxa"/>
              <w:bottom w:w="0" w:type="dxa"/>
              <w:right w:w="108" w:type="dxa"/>
            </w:tcMar>
          </w:tcPr>
          <w:p w14:paraId="37763AC8" w14:textId="77777777" w:rsidR="00D93D74" w:rsidRPr="007F665A" w:rsidRDefault="00D93D74" w:rsidP="002853FF">
            <w:pPr>
              <w:rPr>
                <w:lang w:val="nl-BE"/>
              </w:rPr>
            </w:pPr>
          </w:p>
        </w:tc>
      </w:tr>
    </w:tbl>
    <w:p w14:paraId="1A21147F" w14:textId="77777777" w:rsidR="00D93D74" w:rsidRDefault="00D93D74" w:rsidP="00113E80"/>
    <w:p w14:paraId="7FF8E1B5" w14:textId="4EB89460" w:rsidR="00113E80" w:rsidRDefault="00113E80" w:rsidP="00113E80">
      <w:r>
        <w:t>&lt;ESMA_QUESTION_CSDC_53&gt;</w:t>
      </w:r>
    </w:p>
    <w:p w14:paraId="09F7E008" w14:textId="77777777" w:rsidR="00113E80" w:rsidRDefault="00113E80" w:rsidP="00113E80">
      <w:permStart w:id="857702025" w:edGrp="everyone"/>
      <w:r>
        <w:t>TYPE YOUR TEXT HERE</w:t>
      </w:r>
    </w:p>
    <w:permEnd w:id="857702025"/>
    <w:p w14:paraId="055A4F61" w14:textId="77777777" w:rsidR="00113E80" w:rsidRDefault="00113E80" w:rsidP="00113E80">
      <w:r>
        <w:t>&lt;ESMA_QUESTION_CSDC_53&gt;</w:t>
      </w:r>
    </w:p>
    <w:p w14:paraId="74A3DFC0" w14:textId="77777777" w:rsidR="00113E80" w:rsidRDefault="00113E80" w:rsidP="00113E80"/>
    <w:p w14:paraId="4DCBCCB3" w14:textId="77777777" w:rsidR="00113E80" w:rsidRDefault="00113E80" w:rsidP="00113E80"/>
    <w:p w14:paraId="56D9052B" w14:textId="0DD57D31" w:rsidR="00113E80" w:rsidRDefault="00113E80">
      <w:pPr>
        <w:spacing w:after="120" w:line="264" w:lineRule="auto"/>
      </w:pPr>
      <w:r>
        <w:br w:type="page"/>
      </w:r>
    </w:p>
    <w:p w14:paraId="0FF3FA0F" w14:textId="77777777" w:rsidR="00E56436" w:rsidRDefault="00E56436" w:rsidP="00E56436"/>
    <w:p w14:paraId="002533F0" w14:textId="77777777" w:rsidR="00E56436" w:rsidRDefault="00E56436" w:rsidP="00E56436"/>
    <w:p w14:paraId="2E461F75" w14:textId="77777777" w:rsidR="00E56436" w:rsidRDefault="00E56436" w:rsidP="00E56436">
      <w:pPr>
        <w:pStyle w:val="Questionstyle"/>
        <w:spacing w:after="240" w:line="256" w:lineRule="auto"/>
        <w:ind w:left="851" w:hanging="851"/>
      </w:pPr>
    </w:p>
    <w:p w14:paraId="6C876C0D" w14:textId="77777777" w:rsidR="00E56436" w:rsidRDefault="00E56436" w:rsidP="00E56436"/>
    <w:p w14:paraId="5C13E2AD" w14:textId="4AB95E85" w:rsidR="00B356BE" w:rsidRDefault="00B356BE" w:rsidP="00B356BE"/>
    <w:sectPr w:rsidR="00B356BE" w:rsidSect="00AD0B10">
      <w:headerReference w:type="default" r:id="rId21"/>
      <w:footerReference w:type="even" r:id="rId22"/>
      <w:footerReference w:type="default" r:id="rId23"/>
      <w:footerReference w:type="first" r:id="rId24"/>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CB210" w14:textId="77777777" w:rsidR="00D40667" w:rsidRDefault="00D40667" w:rsidP="007E7997">
      <w:r>
        <w:separator/>
      </w:r>
    </w:p>
  </w:endnote>
  <w:endnote w:type="continuationSeparator" w:id="0">
    <w:p w14:paraId="11DA4272" w14:textId="77777777" w:rsidR="00D40667" w:rsidRDefault="00D40667" w:rsidP="007E7997">
      <w:r>
        <w:continuationSeparator/>
      </w:r>
    </w:p>
  </w:endnote>
  <w:endnote w:type="continuationNotice" w:id="1">
    <w:p w14:paraId="46D98A37" w14:textId="77777777" w:rsidR="00D40667" w:rsidRDefault="00D406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4429F" w14:textId="77777777" w:rsidR="003A2E93" w:rsidRDefault="003A2E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D5E00" w14:textId="77777777" w:rsidR="003A2E93" w:rsidRDefault="003A2E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63EEA" w14:textId="77777777" w:rsidR="003A2E93" w:rsidRDefault="003A2E9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B8145" w14:textId="77777777" w:rsidR="003A2E93" w:rsidRDefault="003A2E9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Footer"/>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C0AFB" w14:textId="77777777" w:rsidR="003A2E93" w:rsidRDefault="003A2E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E7CBD" w14:textId="77777777" w:rsidR="00D40667" w:rsidRDefault="00D40667" w:rsidP="007E7997">
      <w:r>
        <w:separator/>
      </w:r>
    </w:p>
  </w:footnote>
  <w:footnote w:type="continuationSeparator" w:id="0">
    <w:p w14:paraId="1D6718F3" w14:textId="77777777" w:rsidR="00D40667" w:rsidRDefault="00D40667" w:rsidP="007E7997">
      <w:r>
        <w:continuationSeparator/>
      </w:r>
    </w:p>
  </w:footnote>
  <w:footnote w:type="continuationNotice" w:id="1">
    <w:p w14:paraId="649C74E2" w14:textId="77777777" w:rsidR="00D40667" w:rsidRDefault="00D406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2034" w14:textId="784A7CEE" w:rsidR="00D77369" w:rsidRPr="00DB2FD6" w:rsidRDefault="00D77369" w:rsidP="008858FE">
    <w:pPr>
      <w:pStyle w:val="Header"/>
      <w:rPr>
        <w:bCs/>
        <w:caps/>
        <w:color w:val="FF0000" w:themeColor="accent6"/>
        <w:sz w:val="22"/>
        <w:highlight w:val="yellow"/>
      </w:rPr>
    </w:pPr>
    <w:r w:rsidRPr="00C008C4">
      <w:rPr>
        <w:rStyle w:val="ESMAConfidentialRestricted"/>
        <w:noProof/>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D93D74">
      <w:t>13 February 2025</w:t>
    </w:r>
  </w:p>
  <w:p w14:paraId="10BD5565" w14:textId="7CEB269D" w:rsidR="008858FE" w:rsidRPr="000C70F0" w:rsidRDefault="00937390" w:rsidP="009C6AE0">
    <w:pPr>
      <w:jc w:val="right"/>
      <w:rPr>
        <w:sz w:val="16"/>
        <w:szCs w:val="16"/>
      </w:rPr>
    </w:pPr>
    <w:r w:rsidRPr="00937390">
      <w:rPr>
        <w:sz w:val="16"/>
        <w:szCs w:val="16"/>
      </w:rPr>
      <w:t>ESMA74-2119945925-2205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4B74" w14:textId="7D6DC2CF" w:rsidR="00AD0B10" w:rsidRDefault="00AD0B10" w:rsidP="00AD0B10">
    <w:pPr>
      <w:pStyle w:val="Header"/>
    </w:pPr>
  </w:p>
  <w:p w14:paraId="76D78551" w14:textId="45227A06" w:rsidR="00AD0B10" w:rsidRDefault="00AD0B10" w:rsidP="00AD0B10">
    <w:pPr>
      <w:pStyle w:val="Header"/>
    </w:pPr>
  </w:p>
  <w:p w14:paraId="56B00CEC" w14:textId="77777777" w:rsidR="00AD0B10" w:rsidRPr="0043139E" w:rsidRDefault="00AD0B10" w:rsidP="00AD0B10">
    <w:pPr>
      <w:pStyle w:val="Header"/>
    </w:pPr>
  </w:p>
  <w:p w14:paraId="68227DE6" w14:textId="77777777" w:rsidR="00AD0B10" w:rsidRPr="0043139E" w:rsidRDefault="00AD0B10" w:rsidP="00AD0B10">
    <w:pPr>
      <w:pStyle w:val="Header"/>
    </w:pPr>
  </w:p>
  <w:p w14:paraId="0E44DBD1" w14:textId="77777777" w:rsidR="00AD0B10" w:rsidRPr="0043139E" w:rsidRDefault="00AD0B10" w:rsidP="00AD0B10">
    <w:pPr>
      <w:pStyle w:val="Header"/>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Header"/>
    </w:pPr>
  </w:p>
  <w:p w14:paraId="706EF268" w14:textId="77777777" w:rsidR="00AD0B10" w:rsidRPr="0043139E" w:rsidRDefault="00AD0B10" w:rsidP="00AD0B10">
    <w:pPr>
      <w:pStyle w:val="Header"/>
    </w:pPr>
  </w:p>
  <w:p w14:paraId="6B568202" w14:textId="77777777" w:rsidR="00AD0B10" w:rsidRPr="0043139E" w:rsidRDefault="00AD0B10" w:rsidP="00AD0B10">
    <w:pPr>
      <w:pStyle w:val="Header"/>
    </w:pPr>
  </w:p>
  <w:p w14:paraId="70C66BCD" w14:textId="77777777" w:rsidR="00AD0B10" w:rsidRPr="0043139E" w:rsidRDefault="00AD0B10" w:rsidP="00AD0B10">
    <w:pPr>
      <w:pStyle w:val="Header"/>
    </w:pPr>
  </w:p>
  <w:p w14:paraId="07229907" w14:textId="77777777" w:rsidR="00AD0B10" w:rsidRPr="0043139E" w:rsidRDefault="00AD0B10" w:rsidP="00AD0B10">
    <w:pPr>
      <w:pStyle w:val="Header"/>
    </w:pPr>
  </w:p>
  <w:p w14:paraId="55555744" w14:textId="77777777" w:rsidR="00AD0B10" w:rsidRPr="0043139E" w:rsidRDefault="00AD0B10" w:rsidP="00AD0B10">
    <w:pPr>
      <w:pStyle w:val="Header"/>
    </w:pPr>
  </w:p>
  <w:p w14:paraId="4601AE9C" w14:textId="77777777" w:rsidR="00AD0B10" w:rsidRDefault="00AD0B10" w:rsidP="00AD0B10">
    <w:pPr>
      <w:pStyle w:val="Header"/>
    </w:pPr>
  </w:p>
  <w:p w14:paraId="49946785" w14:textId="77777777" w:rsidR="00AD0B10" w:rsidRPr="0043139E" w:rsidRDefault="00AD0B10" w:rsidP="00AD0B10">
    <w:pPr>
      <w:pStyle w:val="Header"/>
    </w:pPr>
  </w:p>
  <w:p w14:paraId="72BAD19F" w14:textId="77777777" w:rsidR="008858FE" w:rsidRPr="00AD0B10" w:rsidRDefault="008858FE" w:rsidP="00AD0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890295"/>
    <w:multiLevelType w:val="multilevel"/>
    <w:tmpl w:val="FCAAB232"/>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94346A"/>
    <w:multiLevelType w:val="multilevel"/>
    <w:tmpl w:val="4BB0EF64"/>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C6669D"/>
    <w:multiLevelType w:val="hybridMultilevel"/>
    <w:tmpl w:val="02ACBD4C"/>
    <w:lvl w:ilvl="0" w:tplc="7EEE06B4">
      <w:start w:val="1"/>
      <w:numFmt w:val="bullet"/>
      <w:pStyle w:val="ListParagraph"/>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A52232B"/>
    <w:multiLevelType w:val="hybridMultilevel"/>
    <w:tmpl w:val="E474F29A"/>
    <w:lvl w:ilvl="0" w:tplc="91A4A3F4">
      <w:start w:val="1"/>
      <w:numFmt w:val="decimal"/>
      <w:lvlText w:val="Q%1"/>
      <w:lvlJc w:val="left"/>
      <w:pPr>
        <w:ind w:left="2629"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EA61840"/>
    <w:multiLevelType w:val="hybridMultilevel"/>
    <w:tmpl w:val="6624CD50"/>
    <w:lvl w:ilvl="0" w:tplc="30EC5BE8">
      <w:start w:val="1"/>
      <w:numFmt w:val="bullet"/>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11"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BAD1101"/>
    <w:multiLevelType w:val="multilevel"/>
    <w:tmpl w:val="647663A2"/>
    <w:lvl w:ilvl="0">
      <w:start w:val="1"/>
      <w:numFmt w:val="decimal"/>
      <w:pStyle w:val="Heading1"/>
      <w:lvlText w:val="%1"/>
      <w:lvlJc w:val="left"/>
      <w:pPr>
        <w:ind w:left="4686" w:hanging="432"/>
      </w:pPr>
    </w:lvl>
    <w:lvl w:ilvl="1">
      <w:start w:val="1"/>
      <w:numFmt w:val="decimal"/>
      <w:pStyle w:val="Heading2"/>
      <w:lvlText w:val="%1.%2"/>
      <w:lvlJc w:val="left"/>
      <w:pPr>
        <w:ind w:left="823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A1408B"/>
    <w:multiLevelType w:val="multilevel"/>
    <w:tmpl w:val="B26EA6EA"/>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1421525">
    <w:abstractNumId w:val="14"/>
  </w:num>
  <w:num w:numId="2" w16cid:durableId="270287514">
    <w:abstractNumId w:val="7"/>
  </w:num>
  <w:num w:numId="3" w16cid:durableId="1675497260">
    <w:abstractNumId w:val="12"/>
  </w:num>
  <w:num w:numId="4" w16cid:durableId="1146706333">
    <w:abstractNumId w:val="6"/>
  </w:num>
  <w:num w:numId="5" w16cid:durableId="1502348752">
    <w:abstractNumId w:val="0"/>
  </w:num>
  <w:num w:numId="6" w16cid:durableId="1544101585">
    <w:abstractNumId w:val="8"/>
  </w:num>
  <w:num w:numId="7" w16cid:durableId="896626050">
    <w:abstractNumId w:val="15"/>
  </w:num>
  <w:num w:numId="8" w16cid:durableId="806780153">
    <w:abstractNumId w:val="2"/>
  </w:num>
  <w:num w:numId="9" w16cid:durableId="1677002603">
    <w:abstractNumId w:val="13"/>
  </w:num>
  <w:num w:numId="10" w16cid:durableId="22487393">
    <w:abstractNumId w:val="11"/>
  </w:num>
  <w:num w:numId="11" w16cid:durableId="270942799">
    <w:abstractNumId w:val="10"/>
  </w:num>
  <w:num w:numId="12" w16cid:durableId="10230698">
    <w:abstractNumId w:val="10"/>
    <w:lvlOverride w:ilvl="0">
      <w:startOverride w:val="1"/>
    </w:lvlOverride>
  </w:num>
  <w:num w:numId="13" w16cid:durableId="1914856611">
    <w:abstractNumId w:val="1"/>
  </w:num>
  <w:num w:numId="14" w16cid:durableId="2976140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9"/>
  </w:num>
  <w:num w:numId="17" w16cid:durableId="2120760746">
    <w:abstractNumId w:val="3"/>
  </w:num>
  <w:num w:numId="18" w16cid:durableId="592323858">
    <w:abstractNumId w:val="16"/>
  </w:num>
  <w:num w:numId="19" w16cid:durableId="1568491560">
    <w:abstractNumId w:val="4"/>
  </w:num>
  <w:num w:numId="20" w16cid:durableId="2057119036">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cKPVppZDZbproL8gIHXPbY+bprNoRQuExDjsY3FxyK+rC2NlIiJ2bWo0WSnEW7lIw/ryNwdY7XTUwECheG+i4w==" w:salt="xZZpdlmbdbb0bl1VQh9b6Q=="/>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6"/>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6B8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C5A"/>
    <w:rsid w:val="000453E8"/>
    <w:rsid w:val="00045B6B"/>
    <w:rsid w:val="00045BA9"/>
    <w:rsid w:val="00045CED"/>
    <w:rsid w:val="000469D2"/>
    <w:rsid w:val="000470E5"/>
    <w:rsid w:val="00047270"/>
    <w:rsid w:val="000504AC"/>
    <w:rsid w:val="000509A0"/>
    <w:rsid w:val="00050C75"/>
    <w:rsid w:val="0005116F"/>
    <w:rsid w:val="000518C1"/>
    <w:rsid w:val="0005199F"/>
    <w:rsid w:val="00052218"/>
    <w:rsid w:val="00052934"/>
    <w:rsid w:val="00052CB6"/>
    <w:rsid w:val="000531B4"/>
    <w:rsid w:val="00053346"/>
    <w:rsid w:val="00053B49"/>
    <w:rsid w:val="0005431E"/>
    <w:rsid w:val="00054555"/>
    <w:rsid w:val="000546CD"/>
    <w:rsid w:val="000547CC"/>
    <w:rsid w:val="00054C9F"/>
    <w:rsid w:val="00054DE5"/>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846"/>
    <w:rsid w:val="0007285E"/>
    <w:rsid w:val="00072E43"/>
    <w:rsid w:val="00073FFD"/>
    <w:rsid w:val="00074344"/>
    <w:rsid w:val="00074E30"/>
    <w:rsid w:val="00075014"/>
    <w:rsid w:val="0007539F"/>
    <w:rsid w:val="00075506"/>
    <w:rsid w:val="000759A3"/>
    <w:rsid w:val="00075DA6"/>
    <w:rsid w:val="00076B7A"/>
    <w:rsid w:val="00076BC7"/>
    <w:rsid w:val="00076DE8"/>
    <w:rsid w:val="00077859"/>
    <w:rsid w:val="00077BA1"/>
    <w:rsid w:val="00077BDF"/>
    <w:rsid w:val="00077C57"/>
    <w:rsid w:val="000801E8"/>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B62"/>
    <w:rsid w:val="00087D2D"/>
    <w:rsid w:val="000900C6"/>
    <w:rsid w:val="00090912"/>
    <w:rsid w:val="00091203"/>
    <w:rsid w:val="00091B09"/>
    <w:rsid w:val="00091BB5"/>
    <w:rsid w:val="00092AA2"/>
    <w:rsid w:val="0009321F"/>
    <w:rsid w:val="000934DC"/>
    <w:rsid w:val="000934FD"/>
    <w:rsid w:val="0009362A"/>
    <w:rsid w:val="00093884"/>
    <w:rsid w:val="00093EA2"/>
    <w:rsid w:val="000942EA"/>
    <w:rsid w:val="0009498D"/>
    <w:rsid w:val="00094C24"/>
    <w:rsid w:val="00095712"/>
    <w:rsid w:val="0009597A"/>
    <w:rsid w:val="00095E39"/>
    <w:rsid w:val="000968A1"/>
    <w:rsid w:val="00096AAC"/>
    <w:rsid w:val="00096B28"/>
    <w:rsid w:val="00096D55"/>
    <w:rsid w:val="00096D57"/>
    <w:rsid w:val="00096F0E"/>
    <w:rsid w:val="00097CBF"/>
    <w:rsid w:val="000A081E"/>
    <w:rsid w:val="000A0C5A"/>
    <w:rsid w:val="000A0FB7"/>
    <w:rsid w:val="000A10FD"/>
    <w:rsid w:val="000A17B4"/>
    <w:rsid w:val="000A1DBC"/>
    <w:rsid w:val="000A1ED4"/>
    <w:rsid w:val="000A2058"/>
    <w:rsid w:val="000A2A7D"/>
    <w:rsid w:val="000A2CFA"/>
    <w:rsid w:val="000A2F1D"/>
    <w:rsid w:val="000A3326"/>
    <w:rsid w:val="000A35C8"/>
    <w:rsid w:val="000A3BC2"/>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0F0"/>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C4F"/>
    <w:rsid w:val="000D2CBC"/>
    <w:rsid w:val="000D3569"/>
    <w:rsid w:val="000D3661"/>
    <w:rsid w:val="000D42F2"/>
    <w:rsid w:val="000D48AC"/>
    <w:rsid w:val="000D4B4E"/>
    <w:rsid w:val="000D4E31"/>
    <w:rsid w:val="000D4E48"/>
    <w:rsid w:val="000D5244"/>
    <w:rsid w:val="000D529F"/>
    <w:rsid w:val="000D5598"/>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EF"/>
    <w:rsid w:val="000E7879"/>
    <w:rsid w:val="000F042B"/>
    <w:rsid w:val="000F1AC6"/>
    <w:rsid w:val="000F1AF5"/>
    <w:rsid w:val="000F25B7"/>
    <w:rsid w:val="000F3148"/>
    <w:rsid w:val="000F3473"/>
    <w:rsid w:val="000F4BF0"/>
    <w:rsid w:val="000F4C18"/>
    <w:rsid w:val="000F5114"/>
    <w:rsid w:val="000F52DD"/>
    <w:rsid w:val="000F541A"/>
    <w:rsid w:val="000F57B6"/>
    <w:rsid w:val="000F5B7D"/>
    <w:rsid w:val="000F66F0"/>
    <w:rsid w:val="000F67DC"/>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390A"/>
    <w:rsid w:val="00103C71"/>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3E80"/>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0D10"/>
    <w:rsid w:val="00121319"/>
    <w:rsid w:val="00121770"/>
    <w:rsid w:val="00121A91"/>
    <w:rsid w:val="00121B3A"/>
    <w:rsid w:val="00122450"/>
    <w:rsid w:val="00122550"/>
    <w:rsid w:val="001227A0"/>
    <w:rsid w:val="001231AA"/>
    <w:rsid w:val="00123483"/>
    <w:rsid w:val="0012487E"/>
    <w:rsid w:val="00124C76"/>
    <w:rsid w:val="00124E47"/>
    <w:rsid w:val="00124F90"/>
    <w:rsid w:val="0012509F"/>
    <w:rsid w:val="00125101"/>
    <w:rsid w:val="001256CF"/>
    <w:rsid w:val="001256D3"/>
    <w:rsid w:val="00125CC2"/>
    <w:rsid w:val="001278A2"/>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BD4"/>
    <w:rsid w:val="0014136E"/>
    <w:rsid w:val="00142E4A"/>
    <w:rsid w:val="00142FBA"/>
    <w:rsid w:val="00143112"/>
    <w:rsid w:val="00143116"/>
    <w:rsid w:val="00143137"/>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12BB"/>
    <w:rsid w:val="00161D7E"/>
    <w:rsid w:val="00162033"/>
    <w:rsid w:val="00162660"/>
    <w:rsid w:val="00162BE2"/>
    <w:rsid w:val="00162E45"/>
    <w:rsid w:val="0016313B"/>
    <w:rsid w:val="0016369E"/>
    <w:rsid w:val="0016408C"/>
    <w:rsid w:val="00164153"/>
    <w:rsid w:val="00164468"/>
    <w:rsid w:val="001646B2"/>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47B"/>
    <w:rsid w:val="001A7F41"/>
    <w:rsid w:val="001B01C1"/>
    <w:rsid w:val="001B0951"/>
    <w:rsid w:val="001B0AE5"/>
    <w:rsid w:val="001B0EFC"/>
    <w:rsid w:val="001B0FDF"/>
    <w:rsid w:val="001B0FE0"/>
    <w:rsid w:val="001B172E"/>
    <w:rsid w:val="001B187F"/>
    <w:rsid w:val="001B1DD9"/>
    <w:rsid w:val="001B1DEB"/>
    <w:rsid w:val="001B2151"/>
    <w:rsid w:val="001B22E3"/>
    <w:rsid w:val="001B25A1"/>
    <w:rsid w:val="001B30F5"/>
    <w:rsid w:val="001B31B1"/>
    <w:rsid w:val="001B31BE"/>
    <w:rsid w:val="001B32D3"/>
    <w:rsid w:val="001B3347"/>
    <w:rsid w:val="001B39F8"/>
    <w:rsid w:val="001B3AF8"/>
    <w:rsid w:val="001B4086"/>
    <w:rsid w:val="001B4996"/>
    <w:rsid w:val="001B4AE1"/>
    <w:rsid w:val="001B5283"/>
    <w:rsid w:val="001B5730"/>
    <w:rsid w:val="001B57ED"/>
    <w:rsid w:val="001B5DCD"/>
    <w:rsid w:val="001B6AE1"/>
    <w:rsid w:val="001B7063"/>
    <w:rsid w:val="001B73E7"/>
    <w:rsid w:val="001B767E"/>
    <w:rsid w:val="001B7F20"/>
    <w:rsid w:val="001C0461"/>
    <w:rsid w:val="001C088C"/>
    <w:rsid w:val="001C0ACA"/>
    <w:rsid w:val="001C13FA"/>
    <w:rsid w:val="001C1457"/>
    <w:rsid w:val="001C163F"/>
    <w:rsid w:val="001C2017"/>
    <w:rsid w:val="001C2134"/>
    <w:rsid w:val="001C2186"/>
    <w:rsid w:val="001C2AC2"/>
    <w:rsid w:val="001C34BB"/>
    <w:rsid w:val="001C389D"/>
    <w:rsid w:val="001C3B72"/>
    <w:rsid w:val="001C3B81"/>
    <w:rsid w:val="001C3CC7"/>
    <w:rsid w:val="001C41D7"/>
    <w:rsid w:val="001C4F22"/>
    <w:rsid w:val="001C5579"/>
    <w:rsid w:val="001C5FDC"/>
    <w:rsid w:val="001C65B7"/>
    <w:rsid w:val="001C660F"/>
    <w:rsid w:val="001C66BA"/>
    <w:rsid w:val="001C69A8"/>
    <w:rsid w:val="001C6D50"/>
    <w:rsid w:val="001C7507"/>
    <w:rsid w:val="001C7877"/>
    <w:rsid w:val="001C78F4"/>
    <w:rsid w:val="001C790D"/>
    <w:rsid w:val="001C7D48"/>
    <w:rsid w:val="001D00BD"/>
    <w:rsid w:val="001D07B9"/>
    <w:rsid w:val="001D090B"/>
    <w:rsid w:val="001D0F87"/>
    <w:rsid w:val="001D1701"/>
    <w:rsid w:val="001D1AA0"/>
    <w:rsid w:val="001D1B5D"/>
    <w:rsid w:val="001D21CE"/>
    <w:rsid w:val="001D2613"/>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3356"/>
    <w:rsid w:val="001E36EC"/>
    <w:rsid w:val="001E49F9"/>
    <w:rsid w:val="001E49FD"/>
    <w:rsid w:val="001E4E68"/>
    <w:rsid w:val="001E5253"/>
    <w:rsid w:val="001E599B"/>
    <w:rsid w:val="001E5BDC"/>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1728"/>
    <w:rsid w:val="0022181F"/>
    <w:rsid w:val="002218C3"/>
    <w:rsid w:val="00221B56"/>
    <w:rsid w:val="0022214D"/>
    <w:rsid w:val="002227CF"/>
    <w:rsid w:val="002236FA"/>
    <w:rsid w:val="00224440"/>
    <w:rsid w:val="00224667"/>
    <w:rsid w:val="002247AF"/>
    <w:rsid w:val="0022488F"/>
    <w:rsid w:val="00224ABF"/>
    <w:rsid w:val="002255A5"/>
    <w:rsid w:val="00227538"/>
    <w:rsid w:val="00227964"/>
    <w:rsid w:val="00227A16"/>
    <w:rsid w:val="00227A98"/>
    <w:rsid w:val="00227E47"/>
    <w:rsid w:val="00227F6F"/>
    <w:rsid w:val="00227FD5"/>
    <w:rsid w:val="0023008B"/>
    <w:rsid w:val="00230BBE"/>
    <w:rsid w:val="00230FA9"/>
    <w:rsid w:val="00231643"/>
    <w:rsid w:val="00231659"/>
    <w:rsid w:val="00231966"/>
    <w:rsid w:val="00231AE9"/>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0025"/>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5C5A"/>
    <w:rsid w:val="00256077"/>
    <w:rsid w:val="00256437"/>
    <w:rsid w:val="00256780"/>
    <w:rsid w:val="0025725E"/>
    <w:rsid w:val="002572A0"/>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4EB8"/>
    <w:rsid w:val="002653AF"/>
    <w:rsid w:val="00265A85"/>
    <w:rsid w:val="00266352"/>
    <w:rsid w:val="0026653F"/>
    <w:rsid w:val="0026725A"/>
    <w:rsid w:val="00267D21"/>
    <w:rsid w:val="00267F67"/>
    <w:rsid w:val="00270200"/>
    <w:rsid w:val="00270564"/>
    <w:rsid w:val="002708B8"/>
    <w:rsid w:val="00270D4E"/>
    <w:rsid w:val="002711D5"/>
    <w:rsid w:val="002714FA"/>
    <w:rsid w:val="0027174D"/>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6C4"/>
    <w:rsid w:val="00286CCF"/>
    <w:rsid w:val="00287171"/>
    <w:rsid w:val="00287D88"/>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CE"/>
    <w:rsid w:val="002C1530"/>
    <w:rsid w:val="002C1EB5"/>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7205"/>
    <w:rsid w:val="002D750A"/>
    <w:rsid w:val="002D772D"/>
    <w:rsid w:val="002E0065"/>
    <w:rsid w:val="002E04A9"/>
    <w:rsid w:val="002E12EF"/>
    <w:rsid w:val="002E135A"/>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D34"/>
    <w:rsid w:val="002F0F94"/>
    <w:rsid w:val="002F104D"/>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622B"/>
    <w:rsid w:val="00306780"/>
    <w:rsid w:val="00306B81"/>
    <w:rsid w:val="0030704A"/>
    <w:rsid w:val="003070F2"/>
    <w:rsid w:val="00310314"/>
    <w:rsid w:val="0031033C"/>
    <w:rsid w:val="003108A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54E2"/>
    <w:rsid w:val="003155BD"/>
    <w:rsid w:val="0031613D"/>
    <w:rsid w:val="003161E9"/>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7D2"/>
    <w:rsid w:val="00340B10"/>
    <w:rsid w:val="00341B6E"/>
    <w:rsid w:val="00342050"/>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0F2B"/>
    <w:rsid w:val="003510C9"/>
    <w:rsid w:val="00351757"/>
    <w:rsid w:val="00351995"/>
    <w:rsid w:val="003519DA"/>
    <w:rsid w:val="00351BE3"/>
    <w:rsid w:val="00352A2C"/>
    <w:rsid w:val="00352DA9"/>
    <w:rsid w:val="003535E3"/>
    <w:rsid w:val="00353629"/>
    <w:rsid w:val="00353E8B"/>
    <w:rsid w:val="003540E9"/>
    <w:rsid w:val="00354133"/>
    <w:rsid w:val="00355569"/>
    <w:rsid w:val="0035556C"/>
    <w:rsid w:val="003564FA"/>
    <w:rsid w:val="00356903"/>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DC9"/>
    <w:rsid w:val="00371A95"/>
    <w:rsid w:val="00371C57"/>
    <w:rsid w:val="00371CBD"/>
    <w:rsid w:val="00372038"/>
    <w:rsid w:val="00372212"/>
    <w:rsid w:val="0037245E"/>
    <w:rsid w:val="00372594"/>
    <w:rsid w:val="00372E44"/>
    <w:rsid w:val="00372E8A"/>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E7C"/>
    <w:rsid w:val="00391E8C"/>
    <w:rsid w:val="003923A0"/>
    <w:rsid w:val="00392652"/>
    <w:rsid w:val="003929A1"/>
    <w:rsid w:val="00392A6B"/>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A76"/>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E93"/>
    <w:rsid w:val="003A2F5F"/>
    <w:rsid w:val="003A30AE"/>
    <w:rsid w:val="003A3270"/>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52FF"/>
    <w:rsid w:val="003B56AF"/>
    <w:rsid w:val="003B6135"/>
    <w:rsid w:val="003B6E20"/>
    <w:rsid w:val="003B6F36"/>
    <w:rsid w:val="003B79FB"/>
    <w:rsid w:val="003B7B98"/>
    <w:rsid w:val="003B7CCB"/>
    <w:rsid w:val="003B7D3F"/>
    <w:rsid w:val="003C059F"/>
    <w:rsid w:val="003C16C6"/>
    <w:rsid w:val="003C1710"/>
    <w:rsid w:val="003C1D0D"/>
    <w:rsid w:val="003C232C"/>
    <w:rsid w:val="003C2C9B"/>
    <w:rsid w:val="003C2E99"/>
    <w:rsid w:val="003C3001"/>
    <w:rsid w:val="003C35E6"/>
    <w:rsid w:val="003C397B"/>
    <w:rsid w:val="003C43CD"/>
    <w:rsid w:val="003C484E"/>
    <w:rsid w:val="003C4EB5"/>
    <w:rsid w:val="003C5050"/>
    <w:rsid w:val="003C50CE"/>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321"/>
    <w:rsid w:val="003E014B"/>
    <w:rsid w:val="003E038A"/>
    <w:rsid w:val="003E0405"/>
    <w:rsid w:val="003E0CF9"/>
    <w:rsid w:val="003E1371"/>
    <w:rsid w:val="003E196A"/>
    <w:rsid w:val="003E2368"/>
    <w:rsid w:val="003E24CC"/>
    <w:rsid w:val="003E2717"/>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5EC"/>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C9B"/>
    <w:rsid w:val="003F7F1F"/>
    <w:rsid w:val="004003A2"/>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0DB"/>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6B6"/>
    <w:rsid w:val="00415B87"/>
    <w:rsid w:val="00415BBD"/>
    <w:rsid w:val="00415C97"/>
    <w:rsid w:val="00416058"/>
    <w:rsid w:val="004166CF"/>
    <w:rsid w:val="00416841"/>
    <w:rsid w:val="00416B17"/>
    <w:rsid w:val="004171A6"/>
    <w:rsid w:val="00417427"/>
    <w:rsid w:val="00417571"/>
    <w:rsid w:val="004178E6"/>
    <w:rsid w:val="00417AFB"/>
    <w:rsid w:val="00417BAC"/>
    <w:rsid w:val="0042012A"/>
    <w:rsid w:val="0042013D"/>
    <w:rsid w:val="00422198"/>
    <w:rsid w:val="00422251"/>
    <w:rsid w:val="004222BC"/>
    <w:rsid w:val="004224B0"/>
    <w:rsid w:val="0042314E"/>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9ED"/>
    <w:rsid w:val="00431A08"/>
    <w:rsid w:val="00431BB6"/>
    <w:rsid w:val="0043235B"/>
    <w:rsid w:val="0043242D"/>
    <w:rsid w:val="004325FF"/>
    <w:rsid w:val="00432848"/>
    <w:rsid w:val="0043284D"/>
    <w:rsid w:val="00432AC4"/>
    <w:rsid w:val="00432FC9"/>
    <w:rsid w:val="0043354B"/>
    <w:rsid w:val="00433A3D"/>
    <w:rsid w:val="00433AD8"/>
    <w:rsid w:val="00433CA1"/>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8AC"/>
    <w:rsid w:val="00444F94"/>
    <w:rsid w:val="00445696"/>
    <w:rsid w:val="00445B7E"/>
    <w:rsid w:val="00445BC4"/>
    <w:rsid w:val="00445E7B"/>
    <w:rsid w:val="004468C4"/>
    <w:rsid w:val="00447737"/>
    <w:rsid w:val="00447D0D"/>
    <w:rsid w:val="00450412"/>
    <w:rsid w:val="004504AA"/>
    <w:rsid w:val="00450C2E"/>
    <w:rsid w:val="00450DA2"/>
    <w:rsid w:val="004510EA"/>
    <w:rsid w:val="004515DA"/>
    <w:rsid w:val="00451618"/>
    <w:rsid w:val="00451A0B"/>
    <w:rsid w:val="0045311F"/>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D47"/>
    <w:rsid w:val="0046503C"/>
    <w:rsid w:val="0046520D"/>
    <w:rsid w:val="004652F0"/>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B24"/>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6036"/>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0A02"/>
    <w:rsid w:val="004D1042"/>
    <w:rsid w:val="004D1073"/>
    <w:rsid w:val="004D1B9D"/>
    <w:rsid w:val="004D1C01"/>
    <w:rsid w:val="004D2C6E"/>
    <w:rsid w:val="004D2ED6"/>
    <w:rsid w:val="004D30FA"/>
    <w:rsid w:val="004D3758"/>
    <w:rsid w:val="004D40C7"/>
    <w:rsid w:val="004D4117"/>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6F0"/>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7A3"/>
    <w:rsid w:val="004F18EB"/>
    <w:rsid w:val="004F19E6"/>
    <w:rsid w:val="004F1A10"/>
    <w:rsid w:val="004F30AE"/>
    <w:rsid w:val="004F3BEE"/>
    <w:rsid w:val="004F4117"/>
    <w:rsid w:val="004F4161"/>
    <w:rsid w:val="004F4296"/>
    <w:rsid w:val="004F452E"/>
    <w:rsid w:val="004F5A02"/>
    <w:rsid w:val="004F5AC2"/>
    <w:rsid w:val="004F5C2F"/>
    <w:rsid w:val="004F5F52"/>
    <w:rsid w:val="004F641D"/>
    <w:rsid w:val="004F64A1"/>
    <w:rsid w:val="004F6BEB"/>
    <w:rsid w:val="004F6FEB"/>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4885"/>
    <w:rsid w:val="00515098"/>
    <w:rsid w:val="00515530"/>
    <w:rsid w:val="00515ACC"/>
    <w:rsid w:val="005164B3"/>
    <w:rsid w:val="00516989"/>
    <w:rsid w:val="00516A8F"/>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1FD"/>
    <w:rsid w:val="00536390"/>
    <w:rsid w:val="00536714"/>
    <w:rsid w:val="00536DA6"/>
    <w:rsid w:val="005372CD"/>
    <w:rsid w:val="00537328"/>
    <w:rsid w:val="00540A41"/>
    <w:rsid w:val="00540F1E"/>
    <w:rsid w:val="005413DF"/>
    <w:rsid w:val="0054184A"/>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B91"/>
    <w:rsid w:val="00553D6F"/>
    <w:rsid w:val="00553F8A"/>
    <w:rsid w:val="00554037"/>
    <w:rsid w:val="005551C3"/>
    <w:rsid w:val="00555ED6"/>
    <w:rsid w:val="00555F0B"/>
    <w:rsid w:val="005566AB"/>
    <w:rsid w:val="00556B3C"/>
    <w:rsid w:val="00556CB0"/>
    <w:rsid w:val="00557275"/>
    <w:rsid w:val="005572DC"/>
    <w:rsid w:val="00557349"/>
    <w:rsid w:val="00557442"/>
    <w:rsid w:val="005579EE"/>
    <w:rsid w:val="00560149"/>
    <w:rsid w:val="00560364"/>
    <w:rsid w:val="00560E0B"/>
    <w:rsid w:val="00561168"/>
    <w:rsid w:val="005611C2"/>
    <w:rsid w:val="00561211"/>
    <w:rsid w:val="005613CF"/>
    <w:rsid w:val="00561A32"/>
    <w:rsid w:val="005621EC"/>
    <w:rsid w:val="0056227D"/>
    <w:rsid w:val="005623FC"/>
    <w:rsid w:val="005625F4"/>
    <w:rsid w:val="005631E8"/>
    <w:rsid w:val="00563221"/>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FC2"/>
    <w:rsid w:val="005715C7"/>
    <w:rsid w:val="005715F2"/>
    <w:rsid w:val="00571F2D"/>
    <w:rsid w:val="00571F95"/>
    <w:rsid w:val="00572241"/>
    <w:rsid w:val="005722E9"/>
    <w:rsid w:val="0057279C"/>
    <w:rsid w:val="00572A06"/>
    <w:rsid w:val="00572C8A"/>
    <w:rsid w:val="0057314E"/>
    <w:rsid w:val="00573205"/>
    <w:rsid w:val="00573397"/>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729"/>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CB3"/>
    <w:rsid w:val="00590F50"/>
    <w:rsid w:val="00591402"/>
    <w:rsid w:val="0059173E"/>
    <w:rsid w:val="005919F4"/>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5CA"/>
    <w:rsid w:val="005A3640"/>
    <w:rsid w:val="005A4B5B"/>
    <w:rsid w:val="005A4CE2"/>
    <w:rsid w:val="005A5012"/>
    <w:rsid w:val="005A5116"/>
    <w:rsid w:val="005A554D"/>
    <w:rsid w:val="005A59EB"/>
    <w:rsid w:val="005A5D59"/>
    <w:rsid w:val="005A601B"/>
    <w:rsid w:val="005A6830"/>
    <w:rsid w:val="005A6CA3"/>
    <w:rsid w:val="005A6F5C"/>
    <w:rsid w:val="005A7EDB"/>
    <w:rsid w:val="005B0195"/>
    <w:rsid w:val="005B08A7"/>
    <w:rsid w:val="005B11CF"/>
    <w:rsid w:val="005B12C1"/>
    <w:rsid w:val="005B1BB5"/>
    <w:rsid w:val="005B1D17"/>
    <w:rsid w:val="005B1EFA"/>
    <w:rsid w:val="005B2269"/>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EE9"/>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E6C"/>
    <w:rsid w:val="005C217D"/>
    <w:rsid w:val="005C30F3"/>
    <w:rsid w:val="005C3690"/>
    <w:rsid w:val="005C36DC"/>
    <w:rsid w:val="005C3848"/>
    <w:rsid w:val="005C38AE"/>
    <w:rsid w:val="005C393F"/>
    <w:rsid w:val="005C4107"/>
    <w:rsid w:val="005C42C7"/>
    <w:rsid w:val="005C4703"/>
    <w:rsid w:val="005C493D"/>
    <w:rsid w:val="005C51C5"/>
    <w:rsid w:val="005C53F5"/>
    <w:rsid w:val="005C56A5"/>
    <w:rsid w:val="005C56B4"/>
    <w:rsid w:val="005C56F8"/>
    <w:rsid w:val="005C578B"/>
    <w:rsid w:val="005C58B7"/>
    <w:rsid w:val="005C5C54"/>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E9E"/>
    <w:rsid w:val="005E6387"/>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A47"/>
    <w:rsid w:val="005F32BC"/>
    <w:rsid w:val="005F32FB"/>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BE"/>
    <w:rsid w:val="00621487"/>
    <w:rsid w:val="0062182D"/>
    <w:rsid w:val="00621C85"/>
    <w:rsid w:val="00621DF5"/>
    <w:rsid w:val="00622240"/>
    <w:rsid w:val="006223C3"/>
    <w:rsid w:val="00622A73"/>
    <w:rsid w:val="00622F0B"/>
    <w:rsid w:val="00623868"/>
    <w:rsid w:val="00623A46"/>
    <w:rsid w:val="006245EB"/>
    <w:rsid w:val="00624A50"/>
    <w:rsid w:val="00624BB9"/>
    <w:rsid w:val="006250A4"/>
    <w:rsid w:val="00625B11"/>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1F03"/>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BE7"/>
    <w:rsid w:val="00657C00"/>
    <w:rsid w:val="00657D50"/>
    <w:rsid w:val="00660052"/>
    <w:rsid w:val="00660190"/>
    <w:rsid w:val="006603D3"/>
    <w:rsid w:val="006604BE"/>
    <w:rsid w:val="006604CC"/>
    <w:rsid w:val="00660D82"/>
    <w:rsid w:val="006611BF"/>
    <w:rsid w:val="00661512"/>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7070C"/>
    <w:rsid w:val="00670818"/>
    <w:rsid w:val="006709B7"/>
    <w:rsid w:val="00671363"/>
    <w:rsid w:val="006719CC"/>
    <w:rsid w:val="00671B52"/>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610"/>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98C"/>
    <w:rsid w:val="006A5314"/>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044"/>
    <w:rsid w:val="006B4616"/>
    <w:rsid w:val="006B492E"/>
    <w:rsid w:val="006B4D0F"/>
    <w:rsid w:val="006B4FF4"/>
    <w:rsid w:val="006B5605"/>
    <w:rsid w:val="006B5E18"/>
    <w:rsid w:val="006B654F"/>
    <w:rsid w:val="006B677A"/>
    <w:rsid w:val="006B6CDB"/>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ABA"/>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F01FB"/>
    <w:rsid w:val="006F025C"/>
    <w:rsid w:val="006F0524"/>
    <w:rsid w:val="006F0A52"/>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CC5"/>
    <w:rsid w:val="00702EA4"/>
    <w:rsid w:val="00702FCA"/>
    <w:rsid w:val="0070314D"/>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82"/>
    <w:rsid w:val="007076DA"/>
    <w:rsid w:val="00707C4A"/>
    <w:rsid w:val="00707CD5"/>
    <w:rsid w:val="007101F0"/>
    <w:rsid w:val="007106C0"/>
    <w:rsid w:val="00710E18"/>
    <w:rsid w:val="007118DF"/>
    <w:rsid w:val="00711E12"/>
    <w:rsid w:val="00712300"/>
    <w:rsid w:val="00713061"/>
    <w:rsid w:val="00713399"/>
    <w:rsid w:val="00713FB1"/>
    <w:rsid w:val="007140FD"/>
    <w:rsid w:val="007144DA"/>
    <w:rsid w:val="007147A4"/>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E44"/>
    <w:rsid w:val="00721031"/>
    <w:rsid w:val="00721178"/>
    <w:rsid w:val="00721767"/>
    <w:rsid w:val="00721CB3"/>
    <w:rsid w:val="007223F7"/>
    <w:rsid w:val="00722F17"/>
    <w:rsid w:val="00723534"/>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2BF"/>
    <w:rsid w:val="0075066B"/>
    <w:rsid w:val="00750BE1"/>
    <w:rsid w:val="0075129A"/>
    <w:rsid w:val="007520A8"/>
    <w:rsid w:val="00752244"/>
    <w:rsid w:val="007529E5"/>
    <w:rsid w:val="00752DE9"/>
    <w:rsid w:val="007531C1"/>
    <w:rsid w:val="00753542"/>
    <w:rsid w:val="00753870"/>
    <w:rsid w:val="007549AC"/>
    <w:rsid w:val="00754C78"/>
    <w:rsid w:val="00755B59"/>
    <w:rsid w:val="00755C9A"/>
    <w:rsid w:val="00756B73"/>
    <w:rsid w:val="00756E8A"/>
    <w:rsid w:val="00757140"/>
    <w:rsid w:val="00757219"/>
    <w:rsid w:val="0075725E"/>
    <w:rsid w:val="0075730C"/>
    <w:rsid w:val="007574CF"/>
    <w:rsid w:val="0075786E"/>
    <w:rsid w:val="0076041E"/>
    <w:rsid w:val="00760C2F"/>
    <w:rsid w:val="0076123B"/>
    <w:rsid w:val="007613B2"/>
    <w:rsid w:val="0076158C"/>
    <w:rsid w:val="00761A0F"/>
    <w:rsid w:val="00762863"/>
    <w:rsid w:val="0076289E"/>
    <w:rsid w:val="00762945"/>
    <w:rsid w:val="007632DC"/>
    <w:rsid w:val="0076343F"/>
    <w:rsid w:val="00763983"/>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5E08"/>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FAE"/>
    <w:rsid w:val="007960DB"/>
    <w:rsid w:val="007960DE"/>
    <w:rsid w:val="007971C4"/>
    <w:rsid w:val="007979BE"/>
    <w:rsid w:val="00797E0C"/>
    <w:rsid w:val="007A02AF"/>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2A4"/>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38B"/>
    <w:rsid w:val="007B36C1"/>
    <w:rsid w:val="007B398A"/>
    <w:rsid w:val="007B42C3"/>
    <w:rsid w:val="007B4656"/>
    <w:rsid w:val="007B4676"/>
    <w:rsid w:val="007B4D1F"/>
    <w:rsid w:val="007B4E95"/>
    <w:rsid w:val="007B56BB"/>
    <w:rsid w:val="007B59C8"/>
    <w:rsid w:val="007B5C15"/>
    <w:rsid w:val="007B5DFE"/>
    <w:rsid w:val="007B65B9"/>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E5E"/>
    <w:rsid w:val="007E4EBC"/>
    <w:rsid w:val="007E56C7"/>
    <w:rsid w:val="007E57C1"/>
    <w:rsid w:val="007E61F1"/>
    <w:rsid w:val="007E6346"/>
    <w:rsid w:val="007E6672"/>
    <w:rsid w:val="007E66F8"/>
    <w:rsid w:val="007E6B8B"/>
    <w:rsid w:val="007E70E1"/>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C89"/>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4C6F"/>
    <w:rsid w:val="00805030"/>
    <w:rsid w:val="008051D7"/>
    <w:rsid w:val="008053EC"/>
    <w:rsid w:val="008054C6"/>
    <w:rsid w:val="00805AB1"/>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5EC"/>
    <w:rsid w:val="00812BDB"/>
    <w:rsid w:val="0081382C"/>
    <w:rsid w:val="00813A7F"/>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338"/>
    <w:rsid w:val="00831719"/>
    <w:rsid w:val="00831FC0"/>
    <w:rsid w:val="00832DD0"/>
    <w:rsid w:val="00833405"/>
    <w:rsid w:val="0083411D"/>
    <w:rsid w:val="00834649"/>
    <w:rsid w:val="0083488C"/>
    <w:rsid w:val="008348FD"/>
    <w:rsid w:val="0083548F"/>
    <w:rsid w:val="00835949"/>
    <w:rsid w:val="00835A34"/>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DE6"/>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3F4F"/>
    <w:rsid w:val="0086476C"/>
    <w:rsid w:val="00865852"/>
    <w:rsid w:val="0086587C"/>
    <w:rsid w:val="00865D34"/>
    <w:rsid w:val="00865DC6"/>
    <w:rsid w:val="0086668A"/>
    <w:rsid w:val="008673FA"/>
    <w:rsid w:val="00867707"/>
    <w:rsid w:val="00867794"/>
    <w:rsid w:val="00867919"/>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A59"/>
    <w:rsid w:val="008C6B22"/>
    <w:rsid w:val="008C767A"/>
    <w:rsid w:val="008C7BD3"/>
    <w:rsid w:val="008C7C6F"/>
    <w:rsid w:val="008D03BE"/>
    <w:rsid w:val="008D073F"/>
    <w:rsid w:val="008D0C5F"/>
    <w:rsid w:val="008D0E55"/>
    <w:rsid w:val="008D0E92"/>
    <w:rsid w:val="008D0EAE"/>
    <w:rsid w:val="008D127D"/>
    <w:rsid w:val="008D18FF"/>
    <w:rsid w:val="008D1A97"/>
    <w:rsid w:val="008D2642"/>
    <w:rsid w:val="008D3190"/>
    <w:rsid w:val="008D38E9"/>
    <w:rsid w:val="008D3FBB"/>
    <w:rsid w:val="008D402B"/>
    <w:rsid w:val="008D4264"/>
    <w:rsid w:val="008D4358"/>
    <w:rsid w:val="008D4CDF"/>
    <w:rsid w:val="008D5790"/>
    <w:rsid w:val="008D5C28"/>
    <w:rsid w:val="008D60F2"/>
    <w:rsid w:val="008D6386"/>
    <w:rsid w:val="008D6716"/>
    <w:rsid w:val="008D7023"/>
    <w:rsid w:val="008D7161"/>
    <w:rsid w:val="008D71B6"/>
    <w:rsid w:val="008D7909"/>
    <w:rsid w:val="008E018E"/>
    <w:rsid w:val="008E03EF"/>
    <w:rsid w:val="008E0644"/>
    <w:rsid w:val="008E1371"/>
    <w:rsid w:val="008E1DB0"/>
    <w:rsid w:val="008E1F2B"/>
    <w:rsid w:val="008E2159"/>
    <w:rsid w:val="008E240F"/>
    <w:rsid w:val="008E245A"/>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91C"/>
    <w:rsid w:val="008F59AE"/>
    <w:rsid w:val="008F5C27"/>
    <w:rsid w:val="008F789B"/>
    <w:rsid w:val="00900377"/>
    <w:rsid w:val="009005DD"/>
    <w:rsid w:val="00900900"/>
    <w:rsid w:val="00900ABF"/>
    <w:rsid w:val="00901581"/>
    <w:rsid w:val="00901940"/>
    <w:rsid w:val="009020A8"/>
    <w:rsid w:val="00903D72"/>
    <w:rsid w:val="00903E26"/>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A82"/>
    <w:rsid w:val="00913079"/>
    <w:rsid w:val="009134CE"/>
    <w:rsid w:val="00913976"/>
    <w:rsid w:val="00913D28"/>
    <w:rsid w:val="009140E6"/>
    <w:rsid w:val="009141A8"/>
    <w:rsid w:val="009147E6"/>
    <w:rsid w:val="00914AD2"/>
    <w:rsid w:val="00914B40"/>
    <w:rsid w:val="00914BBA"/>
    <w:rsid w:val="00914E6C"/>
    <w:rsid w:val="009150C8"/>
    <w:rsid w:val="00915375"/>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60E2"/>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55E"/>
    <w:rsid w:val="00936BBF"/>
    <w:rsid w:val="00937290"/>
    <w:rsid w:val="00937301"/>
    <w:rsid w:val="00937342"/>
    <w:rsid w:val="00937390"/>
    <w:rsid w:val="009373BE"/>
    <w:rsid w:val="00937519"/>
    <w:rsid w:val="009377D4"/>
    <w:rsid w:val="00937CA9"/>
    <w:rsid w:val="00937EE2"/>
    <w:rsid w:val="00940055"/>
    <w:rsid w:val="009402EC"/>
    <w:rsid w:val="0094081B"/>
    <w:rsid w:val="00940A60"/>
    <w:rsid w:val="00940F8E"/>
    <w:rsid w:val="0094139E"/>
    <w:rsid w:val="00941681"/>
    <w:rsid w:val="00941D25"/>
    <w:rsid w:val="00941E0F"/>
    <w:rsid w:val="009420C1"/>
    <w:rsid w:val="009424E0"/>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67B50"/>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4B81"/>
    <w:rsid w:val="00974C56"/>
    <w:rsid w:val="009757FB"/>
    <w:rsid w:val="00975981"/>
    <w:rsid w:val="00975AB2"/>
    <w:rsid w:val="00975B8D"/>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D0F"/>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46D9"/>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0D9B"/>
    <w:rsid w:val="009B1082"/>
    <w:rsid w:val="009B1617"/>
    <w:rsid w:val="009B1705"/>
    <w:rsid w:val="009B19E3"/>
    <w:rsid w:val="009B1BFE"/>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04F"/>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6D3"/>
    <w:rsid w:val="009C58D4"/>
    <w:rsid w:val="009C62B8"/>
    <w:rsid w:val="009C66AD"/>
    <w:rsid w:val="009C66E0"/>
    <w:rsid w:val="009C6AE0"/>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D24"/>
    <w:rsid w:val="009D7FA4"/>
    <w:rsid w:val="009E020B"/>
    <w:rsid w:val="009E03BA"/>
    <w:rsid w:val="009E03E3"/>
    <w:rsid w:val="009E0A1A"/>
    <w:rsid w:val="009E0F47"/>
    <w:rsid w:val="009E129F"/>
    <w:rsid w:val="009E1425"/>
    <w:rsid w:val="009E15F3"/>
    <w:rsid w:val="009E176E"/>
    <w:rsid w:val="009E1DBD"/>
    <w:rsid w:val="009E1FDF"/>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2A18"/>
    <w:rsid w:val="00A0307C"/>
    <w:rsid w:val="00A03236"/>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6FFE"/>
    <w:rsid w:val="00A27AD9"/>
    <w:rsid w:val="00A27B86"/>
    <w:rsid w:val="00A27D22"/>
    <w:rsid w:val="00A27D7A"/>
    <w:rsid w:val="00A308E0"/>
    <w:rsid w:val="00A30B49"/>
    <w:rsid w:val="00A30BE4"/>
    <w:rsid w:val="00A30E0C"/>
    <w:rsid w:val="00A30F11"/>
    <w:rsid w:val="00A312B0"/>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419"/>
    <w:rsid w:val="00A404E2"/>
    <w:rsid w:val="00A405BB"/>
    <w:rsid w:val="00A410CC"/>
    <w:rsid w:val="00A4135F"/>
    <w:rsid w:val="00A413C0"/>
    <w:rsid w:val="00A41C79"/>
    <w:rsid w:val="00A42C6D"/>
    <w:rsid w:val="00A42D9D"/>
    <w:rsid w:val="00A43A35"/>
    <w:rsid w:val="00A43B9A"/>
    <w:rsid w:val="00A43BD4"/>
    <w:rsid w:val="00A4401A"/>
    <w:rsid w:val="00A445C6"/>
    <w:rsid w:val="00A44CD4"/>
    <w:rsid w:val="00A44D8D"/>
    <w:rsid w:val="00A44E1E"/>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0CB2"/>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B39"/>
    <w:rsid w:val="00A66C5A"/>
    <w:rsid w:val="00A66D2C"/>
    <w:rsid w:val="00A66DBF"/>
    <w:rsid w:val="00A66EE1"/>
    <w:rsid w:val="00A67451"/>
    <w:rsid w:val="00A674E9"/>
    <w:rsid w:val="00A6785E"/>
    <w:rsid w:val="00A67F30"/>
    <w:rsid w:val="00A67F82"/>
    <w:rsid w:val="00A70BA6"/>
    <w:rsid w:val="00A71171"/>
    <w:rsid w:val="00A712FC"/>
    <w:rsid w:val="00A71306"/>
    <w:rsid w:val="00A73D62"/>
    <w:rsid w:val="00A7505B"/>
    <w:rsid w:val="00A75A15"/>
    <w:rsid w:val="00A75C4C"/>
    <w:rsid w:val="00A7664A"/>
    <w:rsid w:val="00A767FC"/>
    <w:rsid w:val="00A76A15"/>
    <w:rsid w:val="00A76A1B"/>
    <w:rsid w:val="00A76AD8"/>
    <w:rsid w:val="00A76EDB"/>
    <w:rsid w:val="00A76F60"/>
    <w:rsid w:val="00A772D0"/>
    <w:rsid w:val="00A773DC"/>
    <w:rsid w:val="00A778BC"/>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4C35"/>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24F3"/>
    <w:rsid w:val="00AE2CC4"/>
    <w:rsid w:val="00AE2F10"/>
    <w:rsid w:val="00AE33F4"/>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1CA"/>
    <w:rsid w:val="00AF761C"/>
    <w:rsid w:val="00AF781B"/>
    <w:rsid w:val="00AF7C11"/>
    <w:rsid w:val="00AF7E24"/>
    <w:rsid w:val="00AF7E46"/>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EFB"/>
    <w:rsid w:val="00B123ED"/>
    <w:rsid w:val="00B13011"/>
    <w:rsid w:val="00B13118"/>
    <w:rsid w:val="00B131A4"/>
    <w:rsid w:val="00B13428"/>
    <w:rsid w:val="00B141CE"/>
    <w:rsid w:val="00B14CC4"/>
    <w:rsid w:val="00B14D0D"/>
    <w:rsid w:val="00B14DFF"/>
    <w:rsid w:val="00B154E6"/>
    <w:rsid w:val="00B15C0B"/>
    <w:rsid w:val="00B16A01"/>
    <w:rsid w:val="00B16B3C"/>
    <w:rsid w:val="00B1790D"/>
    <w:rsid w:val="00B17AF3"/>
    <w:rsid w:val="00B17D87"/>
    <w:rsid w:val="00B2035F"/>
    <w:rsid w:val="00B203DC"/>
    <w:rsid w:val="00B208FE"/>
    <w:rsid w:val="00B21274"/>
    <w:rsid w:val="00B21548"/>
    <w:rsid w:val="00B22006"/>
    <w:rsid w:val="00B22030"/>
    <w:rsid w:val="00B222F2"/>
    <w:rsid w:val="00B2286F"/>
    <w:rsid w:val="00B23047"/>
    <w:rsid w:val="00B23DDF"/>
    <w:rsid w:val="00B243CB"/>
    <w:rsid w:val="00B245C2"/>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222D"/>
    <w:rsid w:val="00B32A46"/>
    <w:rsid w:val="00B33214"/>
    <w:rsid w:val="00B33761"/>
    <w:rsid w:val="00B3384F"/>
    <w:rsid w:val="00B33C3F"/>
    <w:rsid w:val="00B33D10"/>
    <w:rsid w:val="00B33EB5"/>
    <w:rsid w:val="00B34BFB"/>
    <w:rsid w:val="00B353DD"/>
    <w:rsid w:val="00B35640"/>
    <w:rsid w:val="00B356BE"/>
    <w:rsid w:val="00B35F06"/>
    <w:rsid w:val="00B36F57"/>
    <w:rsid w:val="00B3711F"/>
    <w:rsid w:val="00B3712E"/>
    <w:rsid w:val="00B37185"/>
    <w:rsid w:val="00B37295"/>
    <w:rsid w:val="00B37830"/>
    <w:rsid w:val="00B3786F"/>
    <w:rsid w:val="00B40B74"/>
    <w:rsid w:val="00B40D81"/>
    <w:rsid w:val="00B410C4"/>
    <w:rsid w:val="00B4130E"/>
    <w:rsid w:val="00B417D4"/>
    <w:rsid w:val="00B425CC"/>
    <w:rsid w:val="00B42BD1"/>
    <w:rsid w:val="00B42FB6"/>
    <w:rsid w:val="00B4325C"/>
    <w:rsid w:val="00B43388"/>
    <w:rsid w:val="00B44AFC"/>
    <w:rsid w:val="00B44F2A"/>
    <w:rsid w:val="00B450E6"/>
    <w:rsid w:val="00B46251"/>
    <w:rsid w:val="00B462B8"/>
    <w:rsid w:val="00B46422"/>
    <w:rsid w:val="00B466BB"/>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3D7"/>
    <w:rsid w:val="00BC588F"/>
    <w:rsid w:val="00BC5C8E"/>
    <w:rsid w:val="00BC6004"/>
    <w:rsid w:val="00BC62B2"/>
    <w:rsid w:val="00BC6629"/>
    <w:rsid w:val="00BC7002"/>
    <w:rsid w:val="00BC70D2"/>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08C4"/>
    <w:rsid w:val="00C01571"/>
    <w:rsid w:val="00C016FD"/>
    <w:rsid w:val="00C018E0"/>
    <w:rsid w:val="00C01EFF"/>
    <w:rsid w:val="00C024F5"/>
    <w:rsid w:val="00C02BE1"/>
    <w:rsid w:val="00C02D5D"/>
    <w:rsid w:val="00C0370A"/>
    <w:rsid w:val="00C03872"/>
    <w:rsid w:val="00C038E5"/>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501"/>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A7B"/>
    <w:rsid w:val="00C23675"/>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4F31"/>
    <w:rsid w:val="00C4503A"/>
    <w:rsid w:val="00C465B5"/>
    <w:rsid w:val="00C465C5"/>
    <w:rsid w:val="00C469CF"/>
    <w:rsid w:val="00C46AA2"/>
    <w:rsid w:val="00C47686"/>
    <w:rsid w:val="00C47D18"/>
    <w:rsid w:val="00C47D21"/>
    <w:rsid w:val="00C50EFB"/>
    <w:rsid w:val="00C51673"/>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94F"/>
    <w:rsid w:val="00C56CA8"/>
    <w:rsid w:val="00C570F9"/>
    <w:rsid w:val="00C571B0"/>
    <w:rsid w:val="00C600A2"/>
    <w:rsid w:val="00C603E4"/>
    <w:rsid w:val="00C60425"/>
    <w:rsid w:val="00C604AB"/>
    <w:rsid w:val="00C60620"/>
    <w:rsid w:val="00C6063C"/>
    <w:rsid w:val="00C60778"/>
    <w:rsid w:val="00C60B79"/>
    <w:rsid w:val="00C61B3B"/>
    <w:rsid w:val="00C62014"/>
    <w:rsid w:val="00C62999"/>
    <w:rsid w:val="00C62B79"/>
    <w:rsid w:val="00C638E3"/>
    <w:rsid w:val="00C63E3B"/>
    <w:rsid w:val="00C64929"/>
    <w:rsid w:val="00C64E25"/>
    <w:rsid w:val="00C65438"/>
    <w:rsid w:val="00C6639C"/>
    <w:rsid w:val="00C6665B"/>
    <w:rsid w:val="00C668F5"/>
    <w:rsid w:val="00C670ED"/>
    <w:rsid w:val="00C67A23"/>
    <w:rsid w:val="00C7017B"/>
    <w:rsid w:val="00C702A3"/>
    <w:rsid w:val="00C71855"/>
    <w:rsid w:val="00C71B41"/>
    <w:rsid w:val="00C71F8B"/>
    <w:rsid w:val="00C72837"/>
    <w:rsid w:val="00C72ACF"/>
    <w:rsid w:val="00C730E2"/>
    <w:rsid w:val="00C7334B"/>
    <w:rsid w:val="00C7367B"/>
    <w:rsid w:val="00C73789"/>
    <w:rsid w:val="00C73DBB"/>
    <w:rsid w:val="00C73EAC"/>
    <w:rsid w:val="00C74093"/>
    <w:rsid w:val="00C744A9"/>
    <w:rsid w:val="00C7477F"/>
    <w:rsid w:val="00C748E1"/>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BF3"/>
    <w:rsid w:val="00C92FB0"/>
    <w:rsid w:val="00C93525"/>
    <w:rsid w:val="00C9356A"/>
    <w:rsid w:val="00C947DB"/>
    <w:rsid w:val="00C949B5"/>
    <w:rsid w:val="00C94EA9"/>
    <w:rsid w:val="00C9560A"/>
    <w:rsid w:val="00C95806"/>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589"/>
    <w:rsid w:val="00CA565A"/>
    <w:rsid w:val="00CA679E"/>
    <w:rsid w:val="00CA719F"/>
    <w:rsid w:val="00CA75B1"/>
    <w:rsid w:val="00CA7F1A"/>
    <w:rsid w:val="00CB0120"/>
    <w:rsid w:val="00CB058B"/>
    <w:rsid w:val="00CB0ADE"/>
    <w:rsid w:val="00CB2255"/>
    <w:rsid w:val="00CB2288"/>
    <w:rsid w:val="00CB23A7"/>
    <w:rsid w:val="00CB254A"/>
    <w:rsid w:val="00CB2D7F"/>
    <w:rsid w:val="00CB330E"/>
    <w:rsid w:val="00CB3571"/>
    <w:rsid w:val="00CB3DBC"/>
    <w:rsid w:val="00CB41F2"/>
    <w:rsid w:val="00CB436E"/>
    <w:rsid w:val="00CB463B"/>
    <w:rsid w:val="00CB4927"/>
    <w:rsid w:val="00CB498B"/>
    <w:rsid w:val="00CB50EF"/>
    <w:rsid w:val="00CB52B8"/>
    <w:rsid w:val="00CB532C"/>
    <w:rsid w:val="00CB54C6"/>
    <w:rsid w:val="00CB6027"/>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E6D"/>
    <w:rsid w:val="00CC2FE7"/>
    <w:rsid w:val="00CC309D"/>
    <w:rsid w:val="00CC3711"/>
    <w:rsid w:val="00CC412F"/>
    <w:rsid w:val="00CC4D20"/>
    <w:rsid w:val="00CC5174"/>
    <w:rsid w:val="00CC563E"/>
    <w:rsid w:val="00CC5C5E"/>
    <w:rsid w:val="00CC60C3"/>
    <w:rsid w:val="00CC6BD6"/>
    <w:rsid w:val="00CC6D74"/>
    <w:rsid w:val="00CC71F2"/>
    <w:rsid w:val="00CC7C5C"/>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A3E"/>
    <w:rsid w:val="00D029E1"/>
    <w:rsid w:val="00D02D3F"/>
    <w:rsid w:val="00D03281"/>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1A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667"/>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5F8"/>
    <w:rsid w:val="00D46972"/>
    <w:rsid w:val="00D46BCA"/>
    <w:rsid w:val="00D46D76"/>
    <w:rsid w:val="00D470B7"/>
    <w:rsid w:val="00D4758C"/>
    <w:rsid w:val="00D477AC"/>
    <w:rsid w:val="00D47CCF"/>
    <w:rsid w:val="00D47E56"/>
    <w:rsid w:val="00D47FBF"/>
    <w:rsid w:val="00D50C23"/>
    <w:rsid w:val="00D50D0C"/>
    <w:rsid w:val="00D50E8B"/>
    <w:rsid w:val="00D52095"/>
    <w:rsid w:val="00D52334"/>
    <w:rsid w:val="00D5278C"/>
    <w:rsid w:val="00D52831"/>
    <w:rsid w:val="00D528E5"/>
    <w:rsid w:val="00D52A1C"/>
    <w:rsid w:val="00D52A55"/>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6499"/>
    <w:rsid w:val="00D66561"/>
    <w:rsid w:val="00D668E2"/>
    <w:rsid w:val="00D67136"/>
    <w:rsid w:val="00D67BB2"/>
    <w:rsid w:val="00D67D72"/>
    <w:rsid w:val="00D70685"/>
    <w:rsid w:val="00D70800"/>
    <w:rsid w:val="00D71CAA"/>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799"/>
    <w:rsid w:val="00D918C4"/>
    <w:rsid w:val="00D91DC2"/>
    <w:rsid w:val="00D9216C"/>
    <w:rsid w:val="00D92701"/>
    <w:rsid w:val="00D931D3"/>
    <w:rsid w:val="00D93972"/>
    <w:rsid w:val="00D93D74"/>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A039E"/>
    <w:rsid w:val="00DA08C6"/>
    <w:rsid w:val="00DA095A"/>
    <w:rsid w:val="00DA09C2"/>
    <w:rsid w:val="00DA0A84"/>
    <w:rsid w:val="00DA0AE5"/>
    <w:rsid w:val="00DA14AE"/>
    <w:rsid w:val="00DA1A36"/>
    <w:rsid w:val="00DA259E"/>
    <w:rsid w:val="00DA2BFB"/>
    <w:rsid w:val="00DA3587"/>
    <w:rsid w:val="00DA3B83"/>
    <w:rsid w:val="00DA3CCD"/>
    <w:rsid w:val="00DA3CF5"/>
    <w:rsid w:val="00DA46E2"/>
    <w:rsid w:val="00DA4919"/>
    <w:rsid w:val="00DA4963"/>
    <w:rsid w:val="00DA4DBE"/>
    <w:rsid w:val="00DA522C"/>
    <w:rsid w:val="00DA59AF"/>
    <w:rsid w:val="00DA5CA1"/>
    <w:rsid w:val="00DA6248"/>
    <w:rsid w:val="00DA6711"/>
    <w:rsid w:val="00DA74C1"/>
    <w:rsid w:val="00DA76EF"/>
    <w:rsid w:val="00DA79FF"/>
    <w:rsid w:val="00DB060B"/>
    <w:rsid w:val="00DB0FD9"/>
    <w:rsid w:val="00DB1C6C"/>
    <w:rsid w:val="00DB1F5D"/>
    <w:rsid w:val="00DB209B"/>
    <w:rsid w:val="00DB2D68"/>
    <w:rsid w:val="00DB2FD6"/>
    <w:rsid w:val="00DB34B0"/>
    <w:rsid w:val="00DB3FA3"/>
    <w:rsid w:val="00DB40AB"/>
    <w:rsid w:val="00DB481F"/>
    <w:rsid w:val="00DB4AFA"/>
    <w:rsid w:val="00DB4BDA"/>
    <w:rsid w:val="00DB4DCA"/>
    <w:rsid w:val="00DB4EA6"/>
    <w:rsid w:val="00DB52C3"/>
    <w:rsid w:val="00DB55E6"/>
    <w:rsid w:val="00DB568E"/>
    <w:rsid w:val="00DB56AF"/>
    <w:rsid w:val="00DB5851"/>
    <w:rsid w:val="00DB766B"/>
    <w:rsid w:val="00DB77CE"/>
    <w:rsid w:val="00DB7A97"/>
    <w:rsid w:val="00DC02C4"/>
    <w:rsid w:val="00DC0F3B"/>
    <w:rsid w:val="00DC1034"/>
    <w:rsid w:val="00DC1A66"/>
    <w:rsid w:val="00DC2982"/>
    <w:rsid w:val="00DC2B9C"/>
    <w:rsid w:val="00DC3338"/>
    <w:rsid w:val="00DC3667"/>
    <w:rsid w:val="00DC40F8"/>
    <w:rsid w:val="00DC46D5"/>
    <w:rsid w:val="00DC46FD"/>
    <w:rsid w:val="00DC481D"/>
    <w:rsid w:val="00DC5733"/>
    <w:rsid w:val="00DC5B2E"/>
    <w:rsid w:val="00DC5FFA"/>
    <w:rsid w:val="00DC64C4"/>
    <w:rsid w:val="00DC6BEF"/>
    <w:rsid w:val="00DC6F6D"/>
    <w:rsid w:val="00DC789D"/>
    <w:rsid w:val="00DD03DC"/>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5F58"/>
    <w:rsid w:val="00DD682A"/>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4863"/>
    <w:rsid w:val="00DE50C8"/>
    <w:rsid w:val="00DE5434"/>
    <w:rsid w:val="00DE59A8"/>
    <w:rsid w:val="00DE6478"/>
    <w:rsid w:val="00DE66AB"/>
    <w:rsid w:val="00DE7069"/>
    <w:rsid w:val="00DE7A0D"/>
    <w:rsid w:val="00DF0197"/>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613"/>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E5A"/>
    <w:rsid w:val="00E22561"/>
    <w:rsid w:val="00E2298F"/>
    <w:rsid w:val="00E22AD2"/>
    <w:rsid w:val="00E22BF8"/>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DA8"/>
    <w:rsid w:val="00E35DB3"/>
    <w:rsid w:val="00E366E2"/>
    <w:rsid w:val="00E36EE9"/>
    <w:rsid w:val="00E37244"/>
    <w:rsid w:val="00E3778F"/>
    <w:rsid w:val="00E37F6A"/>
    <w:rsid w:val="00E40274"/>
    <w:rsid w:val="00E40300"/>
    <w:rsid w:val="00E4047A"/>
    <w:rsid w:val="00E40497"/>
    <w:rsid w:val="00E4058E"/>
    <w:rsid w:val="00E40D2C"/>
    <w:rsid w:val="00E40D9D"/>
    <w:rsid w:val="00E4101D"/>
    <w:rsid w:val="00E41188"/>
    <w:rsid w:val="00E425DC"/>
    <w:rsid w:val="00E42696"/>
    <w:rsid w:val="00E4287B"/>
    <w:rsid w:val="00E43112"/>
    <w:rsid w:val="00E43749"/>
    <w:rsid w:val="00E438B8"/>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695"/>
    <w:rsid w:val="00E52995"/>
    <w:rsid w:val="00E52BA5"/>
    <w:rsid w:val="00E52EEA"/>
    <w:rsid w:val="00E530A5"/>
    <w:rsid w:val="00E534E3"/>
    <w:rsid w:val="00E536A8"/>
    <w:rsid w:val="00E53EFF"/>
    <w:rsid w:val="00E54A3A"/>
    <w:rsid w:val="00E54B51"/>
    <w:rsid w:val="00E55700"/>
    <w:rsid w:val="00E558E9"/>
    <w:rsid w:val="00E55BB9"/>
    <w:rsid w:val="00E55E8A"/>
    <w:rsid w:val="00E56436"/>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5A"/>
    <w:rsid w:val="00E63917"/>
    <w:rsid w:val="00E63A18"/>
    <w:rsid w:val="00E63A25"/>
    <w:rsid w:val="00E64BCC"/>
    <w:rsid w:val="00E6508D"/>
    <w:rsid w:val="00E65975"/>
    <w:rsid w:val="00E65F35"/>
    <w:rsid w:val="00E65F61"/>
    <w:rsid w:val="00E6714E"/>
    <w:rsid w:val="00E67610"/>
    <w:rsid w:val="00E67CAF"/>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685"/>
    <w:rsid w:val="00E90E61"/>
    <w:rsid w:val="00E91632"/>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4DAA"/>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5A2"/>
    <w:rsid w:val="00ED7E48"/>
    <w:rsid w:val="00EE0009"/>
    <w:rsid w:val="00EE0983"/>
    <w:rsid w:val="00EE1A96"/>
    <w:rsid w:val="00EE1B99"/>
    <w:rsid w:val="00EE1C5E"/>
    <w:rsid w:val="00EE1DEE"/>
    <w:rsid w:val="00EE219C"/>
    <w:rsid w:val="00EE232B"/>
    <w:rsid w:val="00EE236B"/>
    <w:rsid w:val="00EE29A9"/>
    <w:rsid w:val="00EE2CC4"/>
    <w:rsid w:val="00EE3254"/>
    <w:rsid w:val="00EE3D34"/>
    <w:rsid w:val="00EE40A4"/>
    <w:rsid w:val="00EE41B4"/>
    <w:rsid w:val="00EE48DD"/>
    <w:rsid w:val="00EE4906"/>
    <w:rsid w:val="00EE4C62"/>
    <w:rsid w:val="00EE5DD9"/>
    <w:rsid w:val="00EE5ED8"/>
    <w:rsid w:val="00EE5F75"/>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EC9"/>
    <w:rsid w:val="00F13439"/>
    <w:rsid w:val="00F141D6"/>
    <w:rsid w:val="00F14539"/>
    <w:rsid w:val="00F14E67"/>
    <w:rsid w:val="00F15217"/>
    <w:rsid w:val="00F1571D"/>
    <w:rsid w:val="00F15A34"/>
    <w:rsid w:val="00F1604B"/>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6990"/>
    <w:rsid w:val="00F57154"/>
    <w:rsid w:val="00F5742C"/>
    <w:rsid w:val="00F5745D"/>
    <w:rsid w:val="00F57730"/>
    <w:rsid w:val="00F5777C"/>
    <w:rsid w:val="00F57888"/>
    <w:rsid w:val="00F57D1C"/>
    <w:rsid w:val="00F57D30"/>
    <w:rsid w:val="00F57EC0"/>
    <w:rsid w:val="00F60040"/>
    <w:rsid w:val="00F60620"/>
    <w:rsid w:val="00F609CF"/>
    <w:rsid w:val="00F615DC"/>
    <w:rsid w:val="00F61687"/>
    <w:rsid w:val="00F617D8"/>
    <w:rsid w:val="00F61C39"/>
    <w:rsid w:val="00F61FB0"/>
    <w:rsid w:val="00F6217B"/>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9D0"/>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BF3"/>
    <w:rsid w:val="00F94DCF"/>
    <w:rsid w:val="00F9565D"/>
    <w:rsid w:val="00F956E3"/>
    <w:rsid w:val="00F95A07"/>
    <w:rsid w:val="00F95C15"/>
    <w:rsid w:val="00F95DE9"/>
    <w:rsid w:val="00F95F1A"/>
    <w:rsid w:val="00F9611B"/>
    <w:rsid w:val="00F96139"/>
    <w:rsid w:val="00F9665F"/>
    <w:rsid w:val="00F96973"/>
    <w:rsid w:val="00F96A6B"/>
    <w:rsid w:val="00F96ACC"/>
    <w:rsid w:val="00F96D9D"/>
    <w:rsid w:val="00F97465"/>
    <w:rsid w:val="00F974E5"/>
    <w:rsid w:val="00F97A98"/>
    <w:rsid w:val="00FA00DB"/>
    <w:rsid w:val="00FA02FB"/>
    <w:rsid w:val="00FA0D39"/>
    <w:rsid w:val="00FA0D71"/>
    <w:rsid w:val="00FA151B"/>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A7F18"/>
    <w:rsid w:val="00FB0A01"/>
    <w:rsid w:val="00FB0C7C"/>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778"/>
    <w:rsid w:val="00FC3993"/>
    <w:rsid w:val="00FC4ACE"/>
    <w:rsid w:val="00FC505B"/>
    <w:rsid w:val="00FC52E5"/>
    <w:rsid w:val="00FC574B"/>
    <w:rsid w:val="00FC5986"/>
    <w:rsid w:val="00FC5A30"/>
    <w:rsid w:val="00FC5E51"/>
    <w:rsid w:val="00FC6043"/>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7B0"/>
    <w:rsid w:val="00FE17F0"/>
    <w:rsid w:val="00FE1DDC"/>
    <w:rsid w:val="00FE2071"/>
    <w:rsid w:val="00FE2356"/>
    <w:rsid w:val="00FE2578"/>
    <w:rsid w:val="00FE2F18"/>
    <w:rsid w:val="00FE3C32"/>
    <w:rsid w:val="00FE4207"/>
    <w:rsid w:val="00FE4306"/>
    <w:rsid w:val="00FE4A62"/>
    <w:rsid w:val="00FE4BCA"/>
    <w:rsid w:val="00FE526A"/>
    <w:rsid w:val="00FE5E65"/>
    <w:rsid w:val="00FE5EDF"/>
    <w:rsid w:val="00FE6973"/>
    <w:rsid w:val="00FE7651"/>
    <w:rsid w:val="00FE7728"/>
    <w:rsid w:val="00FE7B7B"/>
    <w:rsid w:val="00FE7D2C"/>
    <w:rsid w:val="00FE7F60"/>
    <w:rsid w:val="00FF0074"/>
    <w:rsid w:val="00FF0186"/>
    <w:rsid w:val="00FF0573"/>
    <w:rsid w:val="00FF0B8B"/>
    <w:rsid w:val="00FF16F8"/>
    <w:rsid w:val="00FF2055"/>
    <w:rsid w:val="00FF28D1"/>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2C63C15"/>
    <w:rsid w:val="09279C31"/>
    <w:rsid w:val="0C4E8E1F"/>
    <w:rsid w:val="0D6D60D0"/>
    <w:rsid w:val="0E422046"/>
    <w:rsid w:val="0F455412"/>
    <w:rsid w:val="1009D8DD"/>
    <w:rsid w:val="110C20C8"/>
    <w:rsid w:val="12A05C79"/>
    <w:rsid w:val="13F4D292"/>
    <w:rsid w:val="15B41B58"/>
    <w:rsid w:val="173974A0"/>
    <w:rsid w:val="1A6C9CF2"/>
    <w:rsid w:val="1B10D94D"/>
    <w:rsid w:val="23E199AC"/>
    <w:rsid w:val="267D91F1"/>
    <w:rsid w:val="26D23CDC"/>
    <w:rsid w:val="2B1A5111"/>
    <w:rsid w:val="2E2D1427"/>
    <w:rsid w:val="2E320E92"/>
    <w:rsid w:val="2F00B5C4"/>
    <w:rsid w:val="31556F2A"/>
    <w:rsid w:val="32911453"/>
    <w:rsid w:val="332FDD82"/>
    <w:rsid w:val="3454CE48"/>
    <w:rsid w:val="34879645"/>
    <w:rsid w:val="38EE295F"/>
    <w:rsid w:val="3901CD6E"/>
    <w:rsid w:val="3CF683E9"/>
    <w:rsid w:val="3FF7589E"/>
    <w:rsid w:val="463198DC"/>
    <w:rsid w:val="4A8D5317"/>
    <w:rsid w:val="4BB2E5D4"/>
    <w:rsid w:val="4CE26CB8"/>
    <w:rsid w:val="4CE3D7C0"/>
    <w:rsid w:val="4E238264"/>
    <w:rsid w:val="4EE84FC7"/>
    <w:rsid w:val="50A9FD72"/>
    <w:rsid w:val="5222B786"/>
    <w:rsid w:val="5323BF33"/>
    <w:rsid w:val="53A6EE7B"/>
    <w:rsid w:val="5A4AE5CE"/>
    <w:rsid w:val="5DBB31AB"/>
    <w:rsid w:val="5EE44466"/>
    <w:rsid w:val="60200EDA"/>
    <w:rsid w:val="671075B2"/>
    <w:rsid w:val="6993BDF7"/>
    <w:rsid w:val="6FD4B664"/>
    <w:rsid w:val="6FDA5F82"/>
    <w:rsid w:val="707E4694"/>
    <w:rsid w:val="750978C6"/>
    <w:rsid w:val="7662D4CF"/>
    <w:rsid w:val="7857EED6"/>
    <w:rsid w:val="7B29C50C"/>
    <w:rsid w:val="7E489780"/>
    <w:rsid w:val="7E93D1E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F03B3FEF-66D7-422F-8EB5-87E962B0C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E8"/>
    <w:pPr>
      <w:spacing w:after="0" w:line="240" w:lineRule="auto"/>
    </w:pPr>
    <w:rPr>
      <w:rFonts w:ascii="Times New Roman" w:eastAsia="Times New Roman" w:hAnsi="Times New Roman" w:cs="Times New Roman"/>
      <w:sz w:val="24"/>
      <w:szCs w:val="24"/>
      <w:lang w:val="en-DE" w:eastAsia="en-GB"/>
    </w:rPr>
  </w:style>
  <w:style w:type="paragraph" w:styleId="Heading1">
    <w:name w:val="heading 1"/>
    <w:basedOn w:val="Normal"/>
    <w:next w:val="Normal"/>
    <w:link w:val="Heading1Cha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Heading2">
    <w:name w:val="heading 2"/>
    <w:basedOn w:val="Normal"/>
    <w:next w:val="Normal"/>
    <w:link w:val="Heading2Ch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Heading3">
    <w:name w:val="heading 3"/>
    <w:basedOn w:val="Normal"/>
    <w:next w:val="Normal"/>
    <w:link w:val="Heading3Char"/>
    <w:uiPriority w:val="9"/>
    <w:unhideWhenUsed/>
    <w:qFormat/>
    <w:rsid w:val="00020300"/>
    <w:pPr>
      <w:keepNext/>
      <w:keepLines/>
      <w:numPr>
        <w:ilvl w:val="2"/>
        <w:numId w:val="1"/>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2"/>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1"/>
      </w:numPr>
      <w:spacing w:before="40"/>
      <w:outlineLvl w:val="5"/>
    </w:pPr>
    <w:rPr>
      <w:rFonts w:asciiTheme="majorHAnsi" w:eastAsiaTheme="majorEastAsia" w:hAnsiTheme="majorHAnsi" w:cstheme="majorBidi"/>
      <w:i/>
      <w:iCs/>
      <w:color w:val="007EFF"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1"/>
      </w:numPr>
      <w:spacing w:before="40"/>
      <w:outlineLvl w:val="6"/>
    </w:pPr>
    <w:rPr>
      <w:rFonts w:asciiTheme="majorHAnsi" w:eastAsiaTheme="majorEastAsia" w:hAnsiTheme="majorHAnsi" w:cstheme="majorBidi"/>
      <w:i/>
      <w:iCs/>
      <w:color w:val="19004F"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1"/>
      </w:numPr>
      <w:spacing w:before="40"/>
      <w:outlineLvl w:val="7"/>
    </w:pPr>
    <w:rPr>
      <w:rFonts w:asciiTheme="majorHAnsi" w:eastAsiaTheme="majorEastAsia" w:hAnsiTheme="majorHAnsi" w:cstheme="majorBidi"/>
      <w:b/>
      <w:bCs/>
      <w:color w:val="007EFF" w:themeColor="text2"/>
    </w:rPr>
  </w:style>
  <w:style w:type="paragraph" w:styleId="Heading9">
    <w:name w:val="heading 9"/>
    <w:basedOn w:val="Normal"/>
    <w:next w:val="Normal"/>
    <w:link w:val="Heading9Char"/>
    <w:uiPriority w:val="9"/>
    <w:semiHidden/>
    <w:unhideWhenUsed/>
    <w:qFormat/>
    <w:rsid w:val="00AA054E"/>
    <w:pPr>
      <w:keepNext/>
      <w:keepLines/>
      <w:numPr>
        <w:ilvl w:val="8"/>
        <w:numId w:val="1"/>
      </w:numPr>
      <w:spacing w:before="40"/>
      <w:outlineLvl w:val="8"/>
    </w:pPr>
    <w:rPr>
      <w:rFonts w:asciiTheme="majorHAnsi" w:eastAsiaTheme="majorEastAsia" w:hAnsiTheme="majorHAnsi" w:cstheme="majorBidi"/>
      <w:b/>
      <w:bCs/>
      <w:i/>
      <w:iCs/>
      <w:color w:val="007EFF"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Heading1Char">
    <w:name w:val="Heading 1 Char"/>
    <w:basedOn w:val="DefaultParagraphFont"/>
    <w:link w:val="Heading1"/>
    <w:uiPriority w:val="9"/>
    <w:rsid w:val="0082744A"/>
    <w:rPr>
      <w:rFonts w:asciiTheme="majorHAnsi" w:eastAsiaTheme="majorEastAsia" w:hAnsiTheme="majorHAnsi" w:cstheme="majorBidi"/>
      <w:b/>
      <w:color w:val="00379F" w:themeColor="text1"/>
      <w:sz w:val="32"/>
      <w:szCs w:val="32"/>
      <w:lang w:val="en-GB"/>
    </w:rPr>
  </w:style>
  <w:style w:type="character" w:customStyle="1" w:styleId="Heading2Char">
    <w:name w:val="Heading 2 Char"/>
    <w:basedOn w:val="DefaultParagraphFont"/>
    <w:link w:val="Heading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qFormat/>
    <w:rsid w:val="00F205B9"/>
    <w:pPr>
      <w:numPr>
        <w:numId w:val="0"/>
      </w:numPr>
      <w:ind w:left="792" w:hanging="432"/>
    </w:pPr>
    <w:rPr>
      <w:b/>
      <w:color w:val="00379F" w:themeColor="text1"/>
      <w:sz w:val="28"/>
    </w:rPr>
  </w:style>
  <w:style w:type="character" w:customStyle="1" w:styleId="Title1Char">
    <w:name w:val="Title 1 Char"/>
    <w:basedOn w:val="DefaultParagraphFont"/>
    <w:link w:val="Title1"/>
    <w:rsid w:val="00F205B9"/>
    <w:rPr>
      <w:rFonts w:asciiTheme="majorHAnsi" w:hAnsiTheme="majorHAnsi" w:cstheme="majorHAnsi"/>
      <w:b/>
      <w:color w:val="00379F" w:themeColor="text1"/>
      <w:sz w:val="28"/>
      <w:szCs w:val="22"/>
      <w:lang w:val="pt-PT"/>
    </w:rPr>
  </w:style>
  <w:style w:type="paragraph" w:styleId="ListParagraph">
    <w:name w:val="List Paragraph"/>
    <w:aliases w:val="Paragraphe EI,Paragraphe de liste1,EC"/>
    <w:basedOn w:val="Normal"/>
    <w:link w:val="ListParagraphChar"/>
    <w:autoRedefine/>
    <w:uiPriority w:val="34"/>
    <w:qFormat/>
    <w:rsid w:val="00CB6027"/>
    <w:pPr>
      <w:numPr>
        <w:numId w:val="20"/>
      </w:numPr>
      <w:spacing w:before="100" w:beforeAutospacing="1" w:after="100" w:afterAutospacing="1"/>
    </w:pPr>
    <w:rPr>
      <w:rFonts w:asciiTheme="majorHAnsi" w:eastAsiaTheme="majorEastAsia" w:hAnsiTheme="majorHAnsi" w:cstheme="majorHAnsi"/>
      <w:szCs w:val="22"/>
      <w:lang w:val="pt-PT"/>
    </w:rPr>
  </w:style>
  <w:style w:type="paragraph" w:customStyle="1" w:styleId="Title3">
    <w:name w:val="Title 3"/>
    <w:basedOn w:val="ListParagraph"/>
    <w:link w:val="Title3Char"/>
    <w:autoRedefine/>
    <w:rsid w:val="00F205B9"/>
    <w:pPr>
      <w:numPr>
        <w:ilvl w:val="3"/>
        <w:numId w:val="4"/>
      </w:numPr>
    </w:pPr>
  </w:style>
  <w:style w:type="character" w:customStyle="1" w:styleId="Title3Char">
    <w:name w:val="Title 3 Char"/>
    <w:basedOn w:val="DefaultParagraphFon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
    <w:link w:val="DocumentTitleChar"/>
    <w:qFormat/>
    <w:rsid w:val="00563C1F"/>
    <w:pPr>
      <w:framePr w:hSpace="8505" w:wrap="around" w:vAnchor="page" w:hAnchor="page" w:x="1248" w:y="4401"/>
    </w:pPr>
    <w:rPr>
      <w:rFonts w:asciiTheme="majorHAnsi" w:hAnsiTheme="majorHAnsi"/>
      <w:b/>
      <w:color w:val="2D4190"/>
      <w:sz w:val="48"/>
    </w:rPr>
  </w:style>
  <w:style w:type="character" w:customStyle="1" w:styleId="DocumentTitleChar">
    <w:name w:val="Document Title Char"/>
    <w:basedOn w:val="DefaultParagraphFont"/>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color w:val="181818" w:themeColor="background1" w:themeShade="1A"/>
      <w:sz w:val="22"/>
      <w:szCs w:val="22"/>
      <w:lang w:val="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le">
    <w:name w:val="Title"/>
    <w:basedOn w:val="Normal"/>
    <w:next w:val="Normal"/>
    <w:link w:val="TitleChar"/>
    <w:uiPriority w:val="10"/>
    <w:qFormat/>
    <w:rsid w:val="00516CBA"/>
    <w:pPr>
      <w:spacing w:after="240"/>
      <w:contextualSpacing/>
    </w:pPr>
    <w:rPr>
      <w:rFonts w:asciiTheme="majorHAnsi" w:eastAsiaTheme="majorEastAsia" w:hAnsiTheme="majorHAnsi" w:cstheme="majorBidi"/>
      <w:b/>
      <w:color w:val="00379F" w:themeColor="text1"/>
      <w:spacing w:val="-10"/>
      <w:sz w:val="56"/>
      <w:szCs w:val="56"/>
    </w:rPr>
  </w:style>
  <w:style w:type="character" w:customStyle="1" w:styleId="TitleChar">
    <w:name w:val="Title Char"/>
    <w:basedOn w:val="DefaultParagraphFont"/>
    <w:link w:val="Title"/>
    <w:uiPriority w:val="10"/>
    <w:rsid w:val="00516CBA"/>
    <w:rPr>
      <w:rFonts w:asciiTheme="majorHAnsi" w:eastAsiaTheme="majorEastAsia" w:hAnsiTheme="majorHAnsi" w:cstheme="majorBidi"/>
      <w:b/>
      <w:color w:val="00379F" w:themeColor="text1"/>
      <w:spacing w:val="-10"/>
      <w:sz w:val="56"/>
      <w:szCs w:val="56"/>
      <w:lang w:val="en-GB"/>
    </w:rPr>
  </w:style>
  <w:style w:type="paragraph" w:styleId="Subtitle">
    <w:name w:val="Subtitle"/>
    <w:basedOn w:val="Normal"/>
    <w:next w:val="Normal"/>
    <w:link w:val="SubtitleChar"/>
    <w:uiPriority w:val="11"/>
    <w:qFormat/>
    <w:rsid w:val="0082744A"/>
    <w:pPr>
      <w:numPr>
        <w:ilvl w:val="1"/>
      </w:numPr>
    </w:pPr>
    <w:rPr>
      <w:rFonts w:asciiTheme="majorHAnsi" w:eastAsiaTheme="majorEastAsia" w:hAnsiTheme="majorHAnsi" w:cstheme="majorBidi"/>
      <w:sz w:val="28"/>
    </w:rPr>
  </w:style>
  <w:style w:type="character" w:customStyle="1" w:styleId="SubtitleChar">
    <w:name w:val="Subtitle Char"/>
    <w:basedOn w:val="DefaultParagraphFont"/>
    <w:link w:val="Subtitle"/>
    <w:uiPriority w:val="11"/>
    <w:rsid w:val="0082744A"/>
    <w:rPr>
      <w:rFonts w:asciiTheme="majorHAnsi" w:eastAsiaTheme="majorEastAsia" w:hAnsiTheme="majorHAnsi" w:cstheme="majorBidi"/>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007EFF" w:themeColor="text2"/>
      <w:sz w:val="22"/>
      <w:lang w:val="en-GB"/>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007EFF" w:themeColor="text2"/>
      <w:sz w:val="22"/>
      <w:lang w:val="en-GB"/>
    </w:rPr>
  </w:style>
  <w:style w:type="paragraph" w:styleId="Caption">
    <w:name w:val="caption"/>
    <w:basedOn w:val="Normal"/>
    <w:next w:val="Normal"/>
    <w:uiPriority w:val="35"/>
    <w:semiHidden/>
    <w:unhideWhenUsed/>
    <w:qFormat/>
    <w:rsid w:val="00AA054E"/>
    <w:rPr>
      <w:b/>
      <w:bCs/>
      <w:smallCaps/>
      <w:color w:val="1A69FF"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0055F7" w:themeColor="text1" w:themeTint="BF"/>
    </w:rPr>
  </w:style>
  <w:style w:type="character" w:customStyle="1" w:styleId="QuoteChar">
    <w:name w:val="Quote Char"/>
    <w:basedOn w:val="DefaultParagraphFont"/>
    <w:link w:val="Quote"/>
    <w:uiPriority w:val="29"/>
    <w:rsid w:val="00AA054E"/>
    <w:rPr>
      <w:i/>
      <w:iCs/>
      <w:color w:val="0055F7" w:themeColor="text1" w:themeTint="BF"/>
    </w:rPr>
  </w:style>
  <w:style w:type="paragraph" w:styleId="IntenseQuote">
    <w:name w:val="Intense Quote"/>
    <w:basedOn w:val="Normal"/>
    <w:next w:val="Normal"/>
    <w:link w:val="IntenseQuoteCh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34009F" w:themeColor="accent1"/>
      <w:sz w:val="28"/>
      <w:szCs w:val="28"/>
    </w:rPr>
  </w:style>
  <w:style w:type="character" w:styleId="SubtleEmphasis">
    <w:name w:val="Subtle Emphasis"/>
    <w:basedOn w:val="DefaultParagraphFont"/>
    <w:uiPriority w:val="19"/>
    <w:qFormat/>
    <w:rsid w:val="00AA054E"/>
    <w:rPr>
      <w:i/>
      <w:iCs/>
      <w:color w:val="0055F7" w:themeColor="text1" w:themeTint="BF"/>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0055F7" w:themeColor="text1" w:themeTint="BF"/>
      <w:u w:val="single" w:color="4E8BF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F205B9"/>
    <w:pPr>
      <w:numPr>
        <w:numId w:val="0"/>
      </w:num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AF6B1E"/>
    <w:pPr>
      <w:tabs>
        <w:tab w:val="center" w:pos="4513"/>
        <w:tab w:val="right" w:pos="9026"/>
      </w:tabs>
      <w:jc w:val="right"/>
    </w:pPr>
    <w:rPr>
      <w:color w:val="001B4F" w:themeColor="text1" w:themeShade="80"/>
      <w:sz w:val="16"/>
    </w:rPr>
  </w:style>
  <w:style w:type="character" w:customStyle="1" w:styleId="HeaderChar">
    <w:name w:val="Header Char"/>
    <w:basedOn w:val="DefaultParagraphFont"/>
    <w:link w:val="Header"/>
    <w:rsid w:val="00AF6B1E"/>
    <w:rPr>
      <w:color w:val="001B4F" w:themeColor="text1" w:themeShade="80"/>
      <w:sz w:val="16"/>
      <w:lang w:val="en-GB"/>
    </w:rPr>
  </w:style>
  <w:style w:type="paragraph" w:styleId="Footer">
    <w:name w:val="footer"/>
    <w:basedOn w:val="Normal"/>
    <w:link w:val="FooterChar"/>
    <w:uiPriority w:val="99"/>
    <w:unhideWhenUsed/>
    <w:qFormat/>
    <w:rsid w:val="004E5FF8"/>
    <w:pPr>
      <w:tabs>
        <w:tab w:val="center" w:pos="4536"/>
        <w:tab w:val="right" w:pos="9072"/>
      </w:tabs>
    </w:pPr>
    <w:rPr>
      <w:color w:val="001B4F" w:themeColor="text1" w:themeShade="80"/>
      <w:sz w:val="16"/>
    </w:rPr>
  </w:style>
  <w:style w:type="character" w:customStyle="1" w:styleId="FooterChar">
    <w:name w:val="Footer Char"/>
    <w:basedOn w:val="DefaultParagraphFont"/>
    <w:link w:val="Footer"/>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qFormat/>
    <w:rsid w:val="00D77369"/>
    <w:pPr>
      <w:spacing w:line="220" w:lineRule="exact"/>
      <w:jc w:val="right"/>
    </w:pPr>
    <w:rPr>
      <w:color w:val="001B4F" w:themeColor="text1" w:themeShade="80"/>
      <w:sz w:val="17"/>
      <w:lang w:eastAsia="de-DE"/>
    </w:rPr>
  </w:style>
  <w:style w:type="paragraph" w:styleId="TOC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TOC2">
    <w:name w:val="toc 2"/>
    <w:basedOn w:val="TOC1"/>
    <w:next w:val="Normal"/>
    <w:uiPriority w:val="39"/>
    <w:unhideWhenUsed/>
    <w:qFormat/>
    <w:rsid w:val="00F205B9"/>
    <w:pPr>
      <w:framePr w:wrap="around"/>
      <w:tabs>
        <w:tab w:val="right" w:leader="dot" w:pos="440"/>
      </w:tabs>
      <w:ind w:left="220"/>
    </w:pPr>
  </w:style>
  <w:style w:type="paragraph" w:styleId="TOC3">
    <w:name w:val="toc 3"/>
    <w:basedOn w:val="TOC1"/>
    <w:next w:val="Normal"/>
    <w:uiPriority w:val="39"/>
    <w:unhideWhenUsed/>
    <w:qFormat/>
    <w:rsid w:val="00AD0B10"/>
    <w:pPr>
      <w:framePr w:wrap="around"/>
      <w:ind w:left="442"/>
    </w:pPr>
  </w:style>
  <w:style w:type="character" w:styleId="Hyperlink">
    <w:name w:val="Hyperlink"/>
    <w:basedOn w:val="DefaultParagraphFont"/>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C5469A"/>
    <w:pPr>
      <w:tabs>
        <w:tab w:val="left" w:pos="567"/>
      </w:tabs>
      <w:ind w:hanging="360"/>
      <w:contextualSpacing/>
    </w:pPr>
    <w:rPr>
      <w:b/>
    </w:rPr>
  </w:style>
  <w:style w:type="character" w:customStyle="1" w:styleId="QuestionstyleChar">
    <w:name w:val="Question style Char"/>
    <w:basedOn w:val="DefaultParagraphFont"/>
    <w:link w:val="Questionstyle"/>
    <w:rsid w:val="00C5469A"/>
    <w:rPr>
      <w:b/>
      <w:color w:val="181818" w:themeColor="background1" w:themeShade="1A"/>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unhideWhenUsed/>
    <w:qFormat/>
    <w:rsid w:val="007A1A9D"/>
    <w:rPr>
      <w:sz w:val="16"/>
    </w:rPr>
  </w:style>
  <w:style w:type="character" w:customStyle="1" w:styleId="FootnoteTextChar">
    <w:name w:val="Footnote Text Char"/>
    <w:basedOn w:val="DefaultParagraphFont"/>
    <w:link w:val="FootnoteText"/>
    <w:uiPriority w:val="99"/>
    <w:rsid w:val="007A1A9D"/>
    <w:rPr>
      <w:color w:val="181818" w:themeColor="background1" w:themeShade="1A"/>
      <w:sz w:val="16"/>
      <w:lang w:val="en-GB"/>
    </w:rPr>
  </w:style>
  <w:style w:type="character" w:styleId="FootnoteReference">
    <w:name w:val="footnote reference"/>
    <w:basedOn w:val="DefaultParagraphFont"/>
    <w:uiPriority w:val="99"/>
    <w:semiHidden/>
    <w:unhideWhenUsed/>
    <w:qFormat/>
    <w:rsid w:val="00A91D91"/>
    <w:rPr>
      <w:rFonts w:asciiTheme="majorHAnsi" w:hAnsiTheme="majorHAnsi"/>
      <w:sz w:val="16"/>
      <w:vertAlign w:val="superscript"/>
    </w:rPr>
  </w:style>
  <w:style w:type="paragraph" w:customStyle="1" w:styleId="Footnote">
    <w:name w:val="Footnote"/>
    <w:basedOn w:val="FootnoteText"/>
    <w:link w:val="FootnoteChar"/>
    <w:qFormat/>
    <w:rsid w:val="00672C04"/>
    <w:pPr>
      <w:ind w:left="454" w:hanging="454"/>
    </w:pPr>
    <w:rPr>
      <w:lang w:val="nl-BE"/>
    </w:rPr>
  </w:style>
  <w:style w:type="character" w:customStyle="1" w:styleId="FootnoteChar">
    <w:name w:val="Footnote Char"/>
    <w:basedOn w:val="FootnoteTextChar"/>
    <w:link w:val="Footnote"/>
    <w:rsid w:val="00672C04"/>
    <w:rPr>
      <w:color w:val="181818" w:themeColor="background1" w:themeShade="1A"/>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BalloonText">
    <w:name w:val="Balloon Text"/>
    <w:basedOn w:val="Normal"/>
    <w:link w:val="BalloonTextChar"/>
    <w:uiPriority w:val="99"/>
    <w:semiHidden/>
    <w:unhideWhenUsed/>
    <w:rsid w:val="007151BF"/>
    <w:rPr>
      <w:rFonts w:ascii="Tahoma" w:hAnsi="Tahoma" w:cs="Tahoma"/>
      <w:sz w:val="16"/>
      <w:szCs w:val="16"/>
    </w:rPr>
  </w:style>
  <w:style w:type="character" w:customStyle="1" w:styleId="BalloonTextChar">
    <w:name w:val="Balloon Text Char"/>
    <w:basedOn w:val="DefaultParagraphFont"/>
    <w:link w:val="BalloonText"/>
    <w:uiPriority w:val="99"/>
    <w:semiHidden/>
    <w:rsid w:val="007151BF"/>
    <w:rPr>
      <w:rFonts w:ascii="Tahoma" w:hAnsi="Tahoma" w:cs="Tahoma"/>
      <w:sz w:val="16"/>
      <w:szCs w:val="16"/>
      <w:lang w:val="en-GB"/>
    </w:rPr>
  </w:style>
  <w:style w:type="paragraph" w:styleId="TOC4">
    <w:name w:val="toc 4"/>
    <w:basedOn w:val="TOC1"/>
    <w:next w:val="Normal"/>
    <w:uiPriority w:val="39"/>
    <w:unhideWhenUsed/>
    <w:qFormat/>
    <w:rsid w:val="00F205B9"/>
    <w:pPr>
      <w:framePr w:wrap="around"/>
      <w:ind w:left="660"/>
    </w:pPr>
  </w:style>
  <w:style w:type="character" w:styleId="CommentReference">
    <w:name w:val="annotation reference"/>
    <w:basedOn w:val="DefaultParagraphFont"/>
    <w:uiPriority w:val="99"/>
    <w:semiHidden/>
    <w:unhideWhenUsed/>
    <w:rsid w:val="00D33C31"/>
    <w:rPr>
      <w:sz w:val="16"/>
      <w:szCs w:val="16"/>
    </w:rPr>
  </w:style>
  <w:style w:type="paragraph" w:styleId="CommentText">
    <w:name w:val="annotation text"/>
    <w:basedOn w:val="Normal"/>
    <w:link w:val="CommentTextChar"/>
    <w:uiPriority w:val="99"/>
    <w:unhideWhenUsed/>
    <w:rsid w:val="00D33C31"/>
    <w:rPr>
      <w:sz w:val="20"/>
    </w:rPr>
  </w:style>
  <w:style w:type="character" w:customStyle="1" w:styleId="CommentTextChar">
    <w:name w:val="Comment Text Char"/>
    <w:basedOn w:val="DefaultParagraphFont"/>
    <w:link w:val="CommentText"/>
    <w:uiPriority w:val="99"/>
    <w:rsid w:val="00D33C31"/>
    <w:rPr>
      <w:lang w:val="en-GB"/>
    </w:rPr>
  </w:style>
  <w:style w:type="paragraph" w:styleId="CommentSubject">
    <w:name w:val="annotation subject"/>
    <w:basedOn w:val="CommentText"/>
    <w:next w:val="CommentText"/>
    <w:link w:val="CommentSubjectChar"/>
    <w:uiPriority w:val="99"/>
    <w:semiHidden/>
    <w:unhideWhenUsed/>
    <w:rsid w:val="00D33C31"/>
    <w:rPr>
      <w:b/>
      <w:bCs/>
    </w:rPr>
  </w:style>
  <w:style w:type="character" w:customStyle="1" w:styleId="CommentSubjectChar">
    <w:name w:val="Comment Subject Char"/>
    <w:basedOn w:val="CommentTextChar"/>
    <w:link w:val="CommentSubject"/>
    <w:uiPriority w:val="99"/>
    <w:semiHidden/>
    <w:rsid w:val="00D33C31"/>
    <w:rPr>
      <w:b/>
      <w:bCs/>
      <w:lang w:val="en-GB"/>
    </w:rPr>
  </w:style>
  <w:style w:type="character" w:styleId="UnresolvedMention">
    <w:name w:val="Unresolved Mention"/>
    <w:basedOn w:val="DefaultParagraphFon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Strong"/>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Header"/>
    <w:qFormat/>
    <w:rsid w:val="00AF6B1E"/>
  </w:style>
  <w:style w:type="paragraph" w:customStyle="1" w:styleId="Pageheader">
    <w:name w:val="Page header"/>
    <w:basedOn w:val="Header"/>
    <w:next w:val="Header"/>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hAnsi="Arial" w:cs="Arial"/>
      <w:sz w:val="18"/>
      <w:szCs w:val="18"/>
      <w:lang w:eastAsia="de-DE"/>
    </w:rPr>
  </w:style>
  <w:style w:type="paragraph" w:styleId="TOC5">
    <w:name w:val="toc 5"/>
    <w:basedOn w:val="Normal"/>
    <w:next w:val="Normal"/>
    <w:uiPriority w:val="39"/>
    <w:semiHidden/>
    <w:unhideWhenUsed/>
    <w:qFormat/>
    <w:rsid w:val="00F205B9"/>
    <w:pPr>
      <w:spacing w:after="100"/>
      <w:ind w:left="880"/>
    </w:pPr>
  </w:style>
  <w:style w:type="paragraph" w:styleId="TOC6">
    <w:name w:val="toc 6"/>
    <w:basedOn w:val="Normal"/>
    <w:next w:val="Normal"/>
    <w:uiPriority w:val="39"/>
    <w:semiHidden/>
    <w:unhideWhenUsed/>
    <w:qFormat/>
    <w:rsid w:val="00F205B9"/>
    <w:pPr>
      <w:spacing w:after="100"/>
      <w:ind w:left="1100"/>
    </w:pPr>
  </w:style>
  <w:style w:type="paragraph" w:styleId="TOC7">
    <w:name w:val="toc 7"/>
    <w:basedOn w:val="Normal"/>
    <w:next w:val="Normal"/>
    <w:uiPriority w:val="39"/>
    <w:semiHidden/>
    <w:unhideWhenUsed/>
    <w:qFormat/>
    <w:rsid w:val="00F205B9"/>
    <w:pPr>
      <w:spacing w:after="100"/>
      <w:ind w:left="1320"/>
    </w:pPr>
  </w:style>
  <w:style w:type="paragraph" w:styleId="TOC8">
    <w:name w:val="toc 8"/>
    <w:basedOn w:val="Normal"/>
    <w:next w:val="Normal"/>
    <w:uiPriority w:val="39"/>
    <w:semiHidden/>
    <w:unhideWhenUsed/>
    <w:qFormat/>
    <w:rsid w:val="00F205B9"/>
    <w:pPr>
      <w:spacing w:after="100"/>
      <w:ind w:left="1540"/>
    </w:pPr>
  </w:style>
  <w:style w:type="paragraph" w:styleId="TOC9">
    <w:name w:val="toc 9"/>
    <w:basedOn w:val="Normal"/>
    <w:next w:val="Normal"/>
    <w:uiPriority w:val="39"/>
    <w:semiHidden/>
    <w:unhideWhenUsed/>
    <w:qFormat/>
    <w:rsid w:val="00F205B9"/>
    <w:pPr>
      <w:spacing w:after="100"/>
      <w:ind w:left="1760"/>
    </w:pPr>
  </w:style>
  <w:style w:type="character" w:styleId="FollowedHyperlink">
    <w:name w:val="FollowedHyperlink"/>
    <w:basedOn w:val="DefaultParagraphFont"/>
    <w:uiPriority w:val="99"/>
    <w:semiHidden/>
    <w:unhideWhenUsed/>
    <w:rsid w:val="0043139E"/>
    <w:rPr>
      <w:color w:val="0174AF" w:themeColor="followedHyperlink"/>
      <w:u w:val="single"/>
    </w:rPr>
  </w:style>
  <w:style w:type="character" w:customStyle="1" w:styleId="ListParagraphChar">
    <w:name w:val="List Paragraph Char"/>
    <w:aliases w:val="Paragraphe EI Char,Paragraphe de liste1 Char,EC Char"/>
    <w:link w:val="ListParagraph"/>
    <w:uiPriority w:val="34"/>
    <w:locked/>
    <w:rsid w:val="00CB6027"/>
    <w:rPr>
      <w:rFonts w:asciiTheme="majorHAnsi" w:eastAsiaTheme="majorEastAsia" w:hAnsiTheme="majorHAnsi" w:cstheme="majorHAnsi"/>
      <w:sz w:val="24"/>
      <w:szCs w:val="22"/>
      <w:lang w:val="pt-PT" w:eastAsia="en-GB"/>
    </w:rPr>
  </w:style>
  <w:style w:type="paragraph" w:styleId="Revision">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
    <w:rsid w:val="00061F32"/>
    <w:pPr>
      <w:spacing w:before="100" w:beforeAutospacing="1" w:after="100" w:afterAutospacing="1"/>
    </w:pPr>
  </w:style>
  <w:style w:type="character" w:customStyle="1" w:styleId="cf01">
    <w:name w:val="cf01"/>
    <w:basedOn w:val="DefaultParagraphFont"/>
    <w:rsid w:val="00061F32"/>
    <w:rPr>
      <w:rFonts w:ascii="Segoe UI" w:hAnsi="Segoe UI" w:cs="Segoe UI" w:hint="default"/>
      <w:sz w:val="18"/>
      <w:szCs w:val="18"/>
    </w:rPr>
  </w:style>
  <w:style w:type="character" w:customStyle="1" w:styleId="cf11">
    <w:name w:val="cf11"/>
    <w:basedOn w:val="DefaultParagraphFont"/>
    <w:rsid w:val="00061F32"/>
    <w:rPr>
      <w:rFonts w:ascii="Segoe UI" w:hAnsi="Segoe UI" w:cs="Segoe UI" w:hint="default"/>
      <w:color w:val="333333"/>
      <w:sz w:val="18"/>
      <w:szCs w:val="18"/>
      <w:shd w:val="clear" w:color="auto" w:fill="FFFFFF"/>
    </w:rPr>
  </w:style>
  <w:style w:type="character" w:styleId="Mention">
    <w:name w:val="Mention"/>
    <w:basedOn w:val="DefaultParagraphFont"/>
    <w:uiPriority w:val="99"/>
    <w:unhideWhenUsed/>
    <w:rsid w:val="00251F26"/>
    <w:rPr>
      <w:color w:val="2B579A"/>
      <w:shd w:val="clear" w:color="auto" w:fill="E1DFDD"/>
    </w:rPr>
  </w:style>
  <w:style w:type="character" w:styleId="PlaceholderText">
    <w:name w:val="Placeholder Text"/>
    <w:basedOn w:val="DefaultParagraphFont"/>
    <w:uiPriority w:val="99"/>
    <w:semiHidden/>
    <w:rsid w:val="00635BCA"/>
    <w:rPr>
      <w:color w:val="808080"/>
    </w:rPr>
  </w:style>
  <w:style w:type="paragraph" w:customStyle="1" w:styleId="para">
    <w:name w:val="para"/>
    <w:basedOn w:val="ListParagraph"/>
    <w:link w:val="paraChar"/>
    <w:qFormat/>
    <w:rsid w:val="00641F03"/>
    <w:pPr>
      <w:numPr>
        <w:numId w:val="0"/>
      </w:numPr>
      <w:ind w:left="360" w:hanging="360"/>
    </w:pPr>
    <w:rPr>
      <w:rFonts w:asciiTheme="minorHAnsi" w:hAnsiTheme="minorHAnsi" w:cstheme="minorBidi"/>
      <w:bCs/>
      <w:iCs/>
      <w:szCs w:val="20"/>
      <w:lang w:val="en-GB"/>
    </w:rPr>
  </w:style>
  <w:style w:type="character" w:customStyle="1" w:styleId="paraChar">
    <w:name w:val="para Char"/>
    <w:basedOn w:val="DefaultParagraphFont"/>
    <w:link w:val="para"/>
    <w:rsid w:val="00641F03"/>
    <w:rPr>
      <w:bCs/>
      <w:iCs/>
      <w:color w:val="181818" w:themeColor="background1" w:themeShade="1A"/>
      <w:sz w:val="22"/>
      <w:lang w:val="en-GB"/>
    </w:rPr>
  </w:style>
  <w:style w:type="character" w:customStyle="1" w:styleId="normaltextrun">
    <w:name w:val="normaltextrun"/>
    <w:basedOn w:val="DefaultParagraphFont"/>
    <w:rsid w:val="00F60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82032167">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14531115">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50421945">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534544113">
      <w:bodyDiv w:val="1"/>
      <w:marLeft w:val="0"/>
      <w:marRight w:val="0"/>
      <w:marTop w:val="0"/>
      <w:marBottom w:val="0"/>
      <w:divBdr>
        <w:top w:val="none" w:sz="0" w:space="0" w:color="auto"/>
        <w:left w:val="none" w:sz="0" w:space="0" w:color="auto"/>
        <w:bottom w:val="none" w:sz="0" w:space="0" w:color="auto"/>
        <w:right w:val="none" w:sz="0" w:space="0" w:color="auto"/>
      </w:divBdr>
    </w:div>
    <w:div w:id="587158233">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049576714">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66757400">
      <w:bodyDiv w:val="1"/>
      <w:marLeft w:val="0"/>
      <w:marRight w:val="0"/>
      <w:marTop w:val="0"/>
      <w:marBottom w:val="0"/>
      <w:divBdr>
        <w:top w:val="none" w:sz="0" w:space="0" w:color="auto"/>
        <w:left w:val="none" w:sz="0" w:space="0" w:color="auto"/>
        <w:bottom w:val="none" w:sz="0" w:space="0" w:color="auto"/>
        <w:right w:val="none" w:sz="0" w:space="0" w:color="auto"/>
      </w:divBdr>
    </w:div>
    <w:div w:id="1381707802">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41240457">
      <w:bodyDiv w:val="1"/>
      <w:marLeft w:val="0"/>
      <w:marRight w:val="0"/>
      <w:marTop w:val="0"/>
      <w:marBottom w:val="0"/>
      <w:divBdr>
        <w:top w:val="none" w:sz="0" w:space="0" w:color="auto"/>
        <w:left w:val="none" w:sz="0" w:space="0" w:color="auto"/>
        <w:bottom w:val="none" w:sz="0" w:space="0" w:color="auto"/>
        <w:right w:val="none" w:sz="0" w:space="0" w:color="auto"/>
      </w:divBdr>
    </w:div>
    <w:div w:id="1550335460">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596553480">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73533181">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20477801">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www.esma.europa.eu"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esma.europa.eu/about-esma/data-protec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304192735D4F2E9B95179F2819F853"/>
        <w:category>
          <w:name w:val="General"/>
          <w:gallery w:val="placeholder"/>
        </w:category>
        <w:types>
          <w:type w:val="bbPlcHdr"/>
        </w:types>
        <w:behaviors>
          <w:behavior w:val="content"/>
        </w:behaviors>
        <w:guid w:val="{9DB6FAE4-1871-4E9F-B9AA-DA225D5E24BD}"/>
      </w:docPartPr>
      <w:docPartBody>
        <w:p w:rsidR="002536E7" w:rsidRDefault="006954E6" w:rsidP="006954E6">
          <w:pPr>
            <w:pStyle w:val="BB304192735D4F2E9B95179F2819F853"/>
          </w:pPr>
          <w:r w:rsidRPr="00DA1A90">
            <w:rPr>
              <w:rStyle w:val="PlaceholderText"/>
            </w:rPr>
            <w:t>Click or tap here to enter text.</w:t>
          </w:r>
        </w:p>
      </w:docPartBody>
    </w:docPart>
    <w:docPart>
      <w:docPartPr>
        <w:name w:val="01EE1C7859204274A669423EC64EE100"/>
        <w:category>
          <w:name w:val="General"/>
          <w:gallery w:val="placeholder"/>
        </w:category>
        <w:types>
          <w:type w:val="bbPlcHdr"/>
        </w:types>
        <w:behaviors>
          <w:behavior w:val="content"/>
        </w:behaviors>
        <w:guid w:val="{757FA870-D7B8-4D07-B038-E1E8D580F7D7}"/>
      </w:docPartPr>
      <w:docPartBody>
        <w:p w:rsidR="002536E7" w:rsidRDefault="006954E6" w:rsidP="006954E6">
          <w:pPr>
            <w:pStyle w:val="01EE1C7859204274A669423EC64EE100"/>
          </w:pPr>
          <w:r w:rsidRPr="00DA1A90">
            <w:rPr>
              <w:rStyle w:val="PlaceholderText"/>
            </w:rPr>
            <w:t>Choose an item.</w:t>
          </w:r>
        </w:p>
      </w:docPartBody>
    </w:docPart>
    <w:docPart>
      <w:docPartPr>
        <w:name w:val="D404D71EE61B44F68217F5015889DA12"/>
        <w:category>
          <w:name w:val="General"/>
          <w:gallery w:val="placeholder"/>
        </w:category>
        <w:types>
          <w:type w:val="bbPlcHdr"/>
        </w:types>
        <w:behaviors>
          <w:behavior w:val="content"/>
        </w:behaviors>
        <w:guid w:val="{A0BB575F-9042-4C4F-B22F-EEA879E69A3D}"/>
      </w:docPartPr>
      <w:docPartBody>
        <w:p w:rsidR="002536E7" w:rsidRDefault="006954E6" w:rsidP="006954E6">
          <w:pPr>
            <w:pStyle w:val="D404D71EE61B44F68217F5015889DA12"/>
          </w:pPr>
          <w:r w:rsidRPr="00DA1A9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B5175"/>
    <w:rsid w:val="000C0B68"/>
    <w:rsid w:val="000F7B65"/>
    <w:rsid w:val="0015768C"/>
    <w:rsid w:val="002536E7"/>
    <w:rsid w:val="00254E75"/>
    <w:rsid w:val="0034145D"/>
    <w:rsid w:val="00372212"/>
    <w:rsid w:val="004E4CF9"/>
    <w:rsid w:val="005D66AB"/>
    <w:rsid w:val="006954E6"/>
    <w:rsid w:val="006D3543"/>
    <w:rsid w:val="00701E25"/>
    <w:rsid w:val="0076343F"/>
    <w:rsid w:val="007F7C89"/>
    <w:rsid w:val="00813189"/>
    <w:rsid w:val="008222A0"/>
    <w:rsid w:val="00836D47"/>
    <w:rsid w:val="009B6B9C"/>
    <w:rsid w:val="00B07345"/>
    <w:rsid w:val="00B22006"/>
    <w:rsid w:val="00B23D76"/>
    <w:rsid w:val="00B46CAE"/>
    <w:rsid w:val="00C13501"/>
    <w:rsid w:val="00D52831"/>
    <w:rsid w:val="00DC3796"/>
    <w:rsid w:val="00DC4211"/>
    <w:rsid w:val="00EE3D34"/>
    <w:rsid w:val="00F81463"/>
    <w:rsid w:val="00FD76A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54E6"/>
    <w:rPr>
      <w:color w:val="808080"/>
    </w:rPr>
  </w:style>
  <w:style w:type="paragraph" w:customStyle="1" w:styleId="BB304192735D4F2E9B95179F2819F853">
    <w:name w:val="BB304192735D4F2E9B95179F2819F853"/>
    <w:rsid w:val="006954E6"/>
    <w:rPr>
      <w:kern w:val="2"/>
      <w14:ligatures w14:val="standardContextual"/>
    </w:rPr>
  </w:style>
  <w:style w:type="paragraph" w:customStyle="1" w:styleId="01EE1C7859204274A669423EC64EE100">
    <w:name w:val="01EE1C7859204274A669423EC64EE100"/>
    <w:rsid w:val="006954E6"/>
    <w:rPr>
      <w:kern w:val="2"/>
      <w14:ligatures w14:val="standardContextual"/>
    </w:rPr>
  </w:style>
  <w:style w:type="paragraph" w:customStyle="1" w:styleId="D404D71EE61B44F68217F5015889DA12">
    <w:name w:val="D404D71EE61B44F68217F5015889DA12"/>
    <w:rsid w:val="006954E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d12187-754c-41a9-9e93-c3e1cfacc155" xsi:nil="true"/>
    <SharedWithUsers xmlns="b5b42950-d9df-4d6c-909e-d88c46f3b75f">
      <UserInfo>
        <DisplayName>Kian Navid</DisplayName>
        <AccountId>329</AccountId>
        <AccountType/>
      </UserInfo>
      <UserInfo>
        <DisplayName>Christian Winkler</DisplayName>
        <AccountId>215</AccountId>
        <AccountType/>
      </UserInfo>
      <UserInfo>
        <DisplayName>Iris Hude</DisplayName>
        <AccountId>186</AccountId>
        <AccountType/>
      </UserInfo>
    </SharedWithUsers>
    <_ip_UnifiedCompliancePolicyUIAction xmlns="http://schemas.microsoft.com/sharepoint/v3" xsi:nil="true"/>
    <lcf76f155ced4ddcb4097134ff3c332f xmlns="7b2dc482-0a80-4ae4-ad6d-6f9b5a9ed41b">
      <Terms xmlns="http://schemas.microsoft.com/office/infopath/2007/PartnerControls"/>
    </lcf76f155ced4ddcb4097134ff3c332f>
    <Description xmlns="7b2dc482-0a80-4ae4-ad6d-6f9b5a9ed41b" xsi:nil="true"/>
    <_ip_UnifiedCompliancePolicyProperties xmlns="http://schemas.microsoft.com/sharepoint/v3" xsi:nil="true"/>
    <_x0031_ xmlns="7b2dc482-0a80-4ae4-ad6d-6f9b5a9ed41b" xsi:nil="true"/>
    <MovetoOneFS xmlns="7b2dc482-0a80-4ae4-ad6d-6f9b5a9ed41b">false</MovetoOneF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E3AE1F660AE049BBBE6B3BCEBBE31C" ma:contentTypeVersion="33" ma:contentTypeDescription="Create a new document." ma:contentTypeScope="" ma:versionID="aae502810b50bdcbeddd7ffa7d90153a">
  <xsd:schema xmlns:xsd="http://www.w3.org/2001/XMLSchema" xmlns:xs="http://www.w3.org/2001/XMLSchema" xmlns:p="http://schemas.microsoft.com/office/2006/metadata/properties" xmlns:ns1="http://schemas.microsoft.com/sharepoint/v3" xmlns:ns2="7b2dc482-0a80-4ae4-ad6d-6f9b5a9ed41b" xmlns:ns3="b5b42950-d9df-4d6c-909e-d88c46f3b75f" xmlns:ns4="02d12187-754c-41a9-9e93-c3e1cfacc155" targetNamespace="http://schemas.microsoft.com/office/2006/metadata/properties" ma:root="true" ma:fieldsID="8d3420de1e662eff407a941af2d8f011" ns1:_="" ns2:_="" ns3:_="" ns4:_="">
    <xsd:import namespace="http://schemas.microsoft.com/sharepoint/v3"/>
    <xsd:import namespace="7b2dc482-0a80-4ae4-ad6d-6f9b5a9ed41b"/>
    <xsd:import namespace="b5b42950-d9df-4d6c-909e-d88c46f3b75f"/>
    <xsd:import namespace="02d12187-754c-41a9-9e93-c3e1cfacc1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Description" minOccurs="0"/>
                <xsd:element ref="ns3:SharedWithUsers" minOccurs="0"/>
                <xsd:element ref="ns3:SharedWithDetails" minOccurs="0"/>
                <xsd:element ref="ns2:MediaLengthInSeconds" minOccurs="0"/>
                <xsd:element ref="ns2:MediaServiceLocation" minOccurs="0"/>
                <xsd:element ref="ns2:_x0031_" minOccurs="0"/>
                <xsd:element ref="ns2:lcf76f155ced4ddcb4097134ff3c332f" minOccurs="0"/>
                <xsd:element ref="ns4:TaxCatchAll" minOccurs="0"/>
                <xsd:element ref="ns2:MediaServiceObjectDetectorVersions" minOccurs="0"/>
                <xsd:element ref="ns2:MediaServiceSearchProperties" minOccurs="0"/>
                <xsd:element ref="ns2:MovetoOneF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2dc482-0a80-4ae4-ad6d-6f9b5a9ed4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Description" ma:index="17" nillable="true" ma:displayName="Description" ma:format="Dropdown" ma:internalName="Description">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x0031_" ma:index="22" nillable="true" ma:displayName="Position" ma:decimals="0" ma:format="Dropdown" ma:internalName="_x0031_" ma:percentage="FALSE">
      <xsd:simpleType>
        <xsd:restriction base="dms:Number"/>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6a257fb-28f5-49c4-92c3-d49665e8e1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ovetoOneFS" ma:index="28" nillable="true" ma:displayName="Move to OneFS" ma:default="0" ma:description="May be used later to migrate to OneFS" ma:format="Dropdown" ma:internalName="MovetoOneFS">
      <xsd:simpleType>
        <xsd:restriction base="dms:Boolea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b42950-d9df-4d6c-909e-d88c46f3b75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d12187-754c-41a9-9e93-c3e1cfacc155"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41f5517b-0abc-413d-9df9-4f9382b93904}" ma:internalName="TaxCatchAll" ma:showField="CatchAllData" ma:web="b5b42950-d9df-4d6c-909e-d88c46f3b7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02d12187-754c-41a9-9e93-c3e1cfacc155"/>
    <ds:schemaRef ds:uri="b5b42950-d9df-4d6c-909e-d88c46f3b75f"/>
    <ds:schemaRef ds:uri="http://schemas.microsoft.com/sharepoint/v3"/>
    <ds:schemaRef ds:uri="7b2dc482-0a80-4ae4-ad6d-6f9b5a9ed41b"/>
  </ds:schemaRefs>
</ds:datastoreItem>
</file>

<file path=customXml/itemProps2.xml><?xml version="1.0" encoding="utf-8"?>
<ds:datastoreItem xmlns:ds="http://schemas.openxmlformats.org/officeDocument/2006/customXml" ds:itemID="{92F8F2DF-DA9D-4E3B-AF8A-ABDFC913518A}">
  <ds:schemaRefs>
    <ds:schemaRef ds:uri="http://schemas.microsoft.com/sharepoint/v3/contenttype/forms"/>
  </ds:schemaRefs>
</ds:datastoreItem>
</file>

<file path=customXml/itemProps3.xml><?xml version="1.0" encoding="utf-8"?>
<ds:datastoreItem xmlns:ds="http://schemas.openxmlformats.org/officeDocument/2006/customXml" ds:itemID="{7EDEAFCF-5D38-426D-9AC4-9FC1E5B4D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2dc482-0a80-4ae4-ad6d-6f9b5a9ed41b"/>
    <ds:schemaRef ds:uri="b5b42950-d9df-4d6c-909e-d88c46f3b75f"/>
    <ds:schemaRef ds:uri="02d12187-754c-41a9-9e93-c3e1cfacc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3115</Words>
  <Characters>17759</Characters>
  <Application>Microsoft Office Word</Application>
  <DocSecurity>8</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Antonia Christoforidi</cp:lastModifiedBy>
  <cp:revision>2</cp:revision>
  <cp:lastPrinted>2023-09-09T00:53:00Z</cp:lastPrinted>
  <dcterms:created xsi:type="dcterms:W3CDTF">2025-04-10T13:47:00Z</dcterms:created>
  <dcterms:modified xsi:type="dcterms:W3CDTF">2025-04-10T13:47:00Z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0x01010079E3AE1F660AE049BBBE6B3BCEBBE31C</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d63460df-cf6d-4797-8d07-76b1b5190631</vt:lpwstr>
  </property>
  <property fmtid="{D5CDD505-2E9C-101B-9397-08002B2CF9AE}" pid="8" name="Topic">
    <vt:lpwstr>296</vt:lpwstr>
  </property>
  <property fmtid="{D5CDD505-2E9C-101B-9397-08002B2CF9AE}" pid="9" name="ConfidentialityLevel">
    <vt:lpwstr>6;#Regular|07f1e362-856b-423d-bea6-a14079762141</vt:lpwstr>
  </property>
  <property fmtid="{D5CDD505-2E9C-101B-9397-08002B2CF9AE}" pid="10" name="DocumentType">
    <vt:lpwstr>282;#Call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9</vt:lpwstr>
  </property>
  <property fmtid="{D5CDD505-2E9C-101B-9397-08002B2CF9AE}" pid="14" name="MediaServiceImageTags">
    <vt:lpwstr/>
  </property>
  <property fmtid="{D5CDD505-2E9C-101B-9397-08002B2CF9AE}" pid="15" name="SubTopic">
    <vt:lpwstr>307</vt:lpwstr>
  </property>
  <property fmtid="{D5CDD505-2E9C-101B-9397-08002B2CF9AE}" pid="16" name="MSIP_Label_8e19d756-792e-42a1-bcad-4cb9051ddd2d_Enabled">
    <vt:lpwstr>true</vt:lpwstr>
  </property>
  <property fmtid="{D5CDD505-2E9C-101B-9397-08002B2CF9AE}" pid="17" name="MSIP_Label_8e19d756-792e-42a1-bcad-4cb9051ddd2d_SetDate">
    <vt:lpwstr>2025-04-07T09:31:29Z</vt:lpwstr>
  </property>
  <property fmtid="{D5CDD505-2E9C-101B-9397-08002B2CF9AE}" pid="18" name="MSIP_Label_8e19d756-792e-42a1-bcad-4cb9051ddd2d_Method">
    <vt:lpwstr>Standard</vt:lpwstr>
  </property>
  <property fmtid="{D5CDD505-2E9C-101B-9397-08002B2CF9AE}" pid="19" name="MSIP_Label_8e19d756-792e-42a1-bcad-4cb9051ddd2d_Name">
    <vt:lpwstr>Confidential</vt:lpwstr>
  </property>
  <property fmtid="{D5CDD505-2E9C-101B-9397-08002B2CF9AE}" pid="20" name="MSIP_Label_8e19d756-792e-42a1-bcad-4cb9051ddd2d_SiteId">
    <vt:lpwstr>41eb501a-f671-4ce0-a5bf-b64168c3705f</vt:lpwstr>
  </property>
  <property fmtid="{D5CDD505-2E9C-101B-9397-08002B2CF9AE}" pid="21" name="MSIP_Label_8e19d756-792e-42a1-bcad-4cb9051ddd2d_ActionId">
    <vt:lpwstr>bf9923b7-956f-4509-8608-6db4fe4f85f4</vt:lpwstr>
  </property>
  <property fmtid="{D5CDD505-2E9C-101B-9397-08002B2CF9AE}" pid="22" name="MSIP_Label_8e19d756-792e-42a1-bcad-4cb9051ddd2d_ContentBits">
    <vt:lpwstr>2</vt:lpwstr>
  </property>
  <property fmtid="{D5CDD505-2E9C-101B-9397-08002B2CF9AE}" pid="23" name="MSIP_Label_8e19d756-792e-42a1-bcad-4cb9051ddd2d_Tag">
    <vt:lpwstr>10, 3, 0, 1</vt:lpwstr>
  </property>
</Properties>
</file>