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ottotitolo"/>
        <w:spacing w:after="0"/>
        <w:rPr>
          <w:b w:val="0"/>
          <w:bCs w:val="0"/>
        </w:rPr>
        <w:sectPr w:rsidR="004E60D2" w:rsidRPr="00862510" w:rsidSect="004E60D2">
          <w:headerReference w:type="first" r:id="rId13"/>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659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ottotitolo"/>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Paragrafoelenco"/>
        <w:numPr>
          <w:ilvl w:val="0"/>
          <w:numId w:val="35"/>
        </w:numPr>
        <w:contextualSpacing w:val="0"/>
      </w:pPr>
      <w:r w:rsidRPr="005B6B12">
        <w:t>respond to the question stated;</w:t>
      </w:r>
    </w:p>
    <w:p w14:paraId="73161343" w14:textId="77777777" w:rsidR="00E70E2E" w:rsidRPr="005B6B12" w:rsidRDefault="00E70E2E" w:rsidP="00E43387">
      <w:pPr>
        <w:pStyle w:val="Paragrafoelenco"/>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Paragrafoelenco"/>
        <w:numPr>
          <w:ilvl w:val="0"/>
          <w:numId w:val="35"/>
        </w:numPr>
        <w:contextualSpacing w:val="0"/>
      </w:pPr>
      <w:r w:rsidRPr="005B6B12">
        <w:t>contain a clear rationale; and</w:t>
      </w:r>
    </w:p>
    <w:p w14:paraId="30D73002" w14:textId="77777777" w:rsidR="00E70E2E" w:rsidRPr="005B6B12" w:rsidRDefault="00E70E2E" w:rsidP="00E43387">
      <w:pPr>
        <w:pStyle w:val="Paragrafoelenco"/>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Paragrafoelenco"/>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Paragrafoelenco"/>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Paragrafoelenco"/>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Paragrafoelenco"/>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Paragrafoelenco"/>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Paragrafoelenco"/>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Collegamentoipertestuale"/>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Collegamentoipertestuale"/>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Collegamentoipertestuale"/>
        </w:rPr>
        <w:t>‘</w:t>
      </w:r>
      <w:hyperlink r:id="rId18" w:history="1">
        <w:r>
          <w:rPr>
            <w:rStyle w:val="Collegamentoipertestuale"/>
          </w:rPr>
          <w:t>Data protection</w:t>
        </w:r>
      </w:hyperlink>
      <w:r>
        <w:rPr>
          <w:rStyle w:val="Collegamentoipertestuale"/>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Titolo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Intestazione"/>
              <w:color w:val="808080"/>
            </w:rPr>
            <w:id w:val="651570699"/>
            <w:text/>
          </w:sdtPr>
          <w:sdtContent>
            <w:tc>
              <w:tcPr>
                <w:tcW w:w="5595" w:type="dxa"/>
                <w:shd w:val="clear" w:color="auto" w:fill="auto"/>
                <w:vAlign w:val="center"/>
              </w:tcPr>
              <w:p w14:paraId="633DB1B6" w14:textId="40DC05C4" w:rsidR="00C2682A" w:rsidRPr="00104E00" w:rsidRDefault="00E00825" w:rsidP="00104E00">
                <w:pPr>
                  <w:jc w:val="left"/>
                  <w:rPr>
                    <w:rStyle w:val="Testosegnaposto"/>
                  </w:rPr>
                </w:pPr>
                <w:r w:rsidRPr="00E00825">
                  <w:rPr>
                    <w:rStyle w:val="Intestazione"/>
                    <w:color w:val="808080"/>
                  </w:rPr>
                  <w:t>ABI – Italian Banking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5C4AF350"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00825">
                  <w:t>Banking sector</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718AE3FD" w:rsidR="00C2682A" w:rsidRPr="00104E00" w:rsidRDefault="00E00825"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6B848454" w:rsidR="00C2682A" w:rsidRPr="00104E00" w:rsidRDefault="00E00825" w:rsidP="00104E00">
                <w:pPr>
                  <w:jc w:val="left"/>
                </w:pPr>
                <w:r>
                  <w:t>Italy</w:t>
                </w:r>
              </w:p>
            </w:tc>
          </w:sdtContent>
        </w:sdt>
      </w:tr>
      <w:permEnd w:id="1727412903"/>
    </w:tbl>
    <w:p w14:paraId="398E9C9E" w14:textId="10C9CC3D" w:rsidR="00C2682A" w:rsidRDefault="00C2682A" w:rsidP="00F716D4"/>
    <w:p w14:paraId="7F986E69" w14:textId="77777777" w:rsidR="00FA4100" w:rsidRDefault="00BB1973" w:rsidP="00FA4100">
      <w:pPr>
        <w:pStyle w:val="Titolo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343862B5" w14:textId="77777777" w:rsidR="00E00825" w:rsidRPr="00C02E60" w:rsidRDefault="00E00825" w:rsidP="00E00825">
      <w:pPr>
        <w:pStyle w:val="Default"/>
        <w:spacing w:line="276" w:lineRule="auto"/>
        <w:jc w:val="both"/>
        <w:rPr>
          <w:rFonts w:ascii="Arial" w:hAnsi="Arial" w:cs="Arial"/>
          <w:sz w:val="22"/>
          <w:szCs w:val="22"/>
          <w:lang w:val="en-GB" w:bidi="en-GB"/>
        </w:rPr>
      </w:pPr>
      <w:permStart w:id="2017003256" w:edGrp="everyone"/>
      <w:r w:rsidRPr="00C02E60">
        <w:rPr>
          <w:rFonts w:ascii="Arial" w:hAnsi="Arial" w:cs="Arial"/>
          <w:sz w:val="22"/>
          <w:szCs w:val="22"/>
          <w:lang w:val="en-GB" w:bidi="en-GB"/>
        </w:rPr>
        <w:t>ABI welcomes the opportunity to express views on the proposed revision of the disclosure framework for private securitisation under Article 7 of the Securitisation Regulation.</w:t>
      </w:r>
    </w:p>
    <w:p w14:paraId="722F9790" w14:textId="77777777" w:rsidR="00E00825" w:rsidRPr="00C02E60" w:rsidRDefault="00E00825" w:rsidP="00E00825">
      <w:pPr>
        <w:pStyle w:val="Default"/>
        <w:spacing w:line="276" w:lineRule="auto"/>
        <w:jc w:val="both"/>
        <w:rPr>
          <w:rFonts w:ascii="Arial" w:hAnsi="Arial" w:cs="Arial"/>
          <w:sz w:val="22"/>
          <w:szCs w:val="22"/>
          <w:lang w:val="en-GB" w:bidi="en-GB"/>
        </w:rPr>
      </w:pPr>
    </w:p>
    <w:p w14:paraId="26D6590A" w14:textId="77777777" w:rsidR="00E00825" w:rsidRPr="00C02E60" w:rsidRDefault="00E00825" w:rsidP="00E00825">
      <w:pPr>
        <w:pStyle w:val="Default"/>
        <w:spacing w:line="276" w:lineRule="auto"/>
        <w:jc w:val="both"/>
        <w:rPr>
          <w:rFonts w:ascii="Arial" w:hAnsi="Arial" w:cs="Arial"/>
          <w:sz w:val="22"/>
          <w:szCs w:val="22"/>
          <w:lang w:val="en-GB" w:bidi="en-GB"/>
        </w:rPr>
      </w:pPr>
      <w:r w:rsidRPr="00C02E60">
        <w:rPr>
          <w:rFonts w:ascii="Arial" w:hAnsi="Arial" w:cs="Arial"/>
          <w:sz w:val="22"/>
          <w:szCs w:val="22"/>
          <w:lang w:val="en-GB" w:bidi="en-GB"/>
        </w:rPr>
        <w:t>ABI appreciates that the ESMA has undertaken an initiative to reduce the administrative burden for reporting entities to comply with disclosure obligations for private securitisation.</w:t>
      </w:r>
    </w:p>
    <w:p w14:paraId="08229380" w14:textId="77777777" w:rsidR="00E00825" w:rsidRPr="00C02E60" w:rsidRDefault="00E00825" w:rsidP="00E00825">
      <w:pPr>
        <w:pStyle w:val="Default"/>
        <w:spacing w:line="276" w:lineRule="auto"/>
        <w:jc w:val="both"/>
        <w:rPr>
          <w:rFonts w:ascii="Arial" w:hAnsi="Arial" w:cs="Arial"/>
          <w:sz w:val="22"/>
          <w:szCs w:val="22"/>
          <w:lang w:val="en-GB" w:bidi="en-GB"/>
        </w:rPr>
      </w:pPr>
      <w:r w:rsidRPr="00C02E60">
        <w:rPr>
          <w:rFonts w:ascii="Arial" w:hAnsi="Arial" w:cs="Arial"/>
          <w:sz w:val="22"/>
          <w:szCs w:val="22"/>
          <w:lang w:val="en-GB" w:bidi="en-GB"/>
        </w:rPr>
        <w:t xml:space="preserve">In ABI’s view, the proposed approach can work for the purpose of simplification, under the condition that some concerns shall be addressed and safeguards introduced to ensure that actual cost effectiveness can be achieved in the production of the templates. </w:t>
      </w:r>
    </w:p>
    <w:p w14:paraId="31815830" w14:textId="77777777" w:rsidR="00E00825" w:rsidRPr="00C02E60" w:rsidRDefault="00E00825" w:rsidP="00E00825">
      <w:pPr>
        <w:pStyle w:val="Default"/>
        <w:spacing w:line="276" w:lineRule="auto"/>
        <w:jc w:val="both"/>
        <w:rPr>
          <w:rFonts w:ascii="Arial" w:hAnsi="Arial" w:cs="Arial"/>
          <w:sz w:val="22"/>
          <w:szCs w:val="22"/>
          <w:lang w:val="en-GB" w:bidi="en-GB"/>
        </w:rPr>
      </w:pPr>
    </w:p>
    <w:p w14:paraId="4A20F63D" w14:textId="5A9BFC54" w:rsidR="00E00825" w:rsidRPr="00C02E60" w:rsidRDefault="00E00825" w:rsidP="00E00825">
      <w:pPr>
        <w:pStyle w:val="Default"/>
        <w:spacing w:line="276" w:lineRule="auto"/>
        <w:jc w:val="both"/>
        <w:rPr>
          <w:rFonts w:ascii="Arial" w:hAnsi="Arial" w:cs="Arial"/>
          <w:sz w:val="22"/>
          <w:szCs w:val="22"/>
          <w:lang w:val="en-GB" w:bidi="en-GB"/>
        </w:rPr>
      </w:pPr>
      <w:r w:rsidRPr="00C02E60">
        <w:rPr>
          <w:rFonts w:ascii="Arial" w:hAnsi="Arial" w:cs="Arial"/>
          <w:sz w:val="22"/>
          <w:szCs w:val="22"/>
          <w:lang w:val="en-GB" w:bidi="en-GB"/>
        </w:rPr>
        <w:t xml:space="preserve">In this regard, in the response to the previous consultation “On the securitisation disclosure templates under Article 7 of the Securitisation Regulation” launched by ESMA in December 2023, ABI </w:t>
      </w:r>
      <w:r w:rsidR="0014603A">
        <w:rPr>
          <w:rFonts w:ascii="Arial" w:hAnsi="Arial" w:cs="Arial"/>
          <w:sz w:val="22"/>
          <w:szCs w:val="22"/>
          <w:lang w:val="en-GB" w:bidi="en-GB"/>
        </w:rPr>
        <w:t>-</w:t>
      </w:r>
      <w:r w:rsidRPr="00C02E60">
        <w:rPr>
          <w:rFonts w:ascii="Arial" w:hAnsi="Arial" w:cs="Arial"/>
          <w:sz w:val="22"/>
          <w:szCs w:val="22"/>
          <w:lang w:val="en-GB" w:bidi="en-GB"/>
        </w:rPr>
        <w:t xml:space="preserve"> also in light of the upcoming review of the securitisation framework - had expressed its preference for a different approach, not envisaging the design of a new template but rather leveraging on existing templates (identifying information not useful/necessary that could be not required for private securitisation). </w:t>
      </w:r>
    </w:p>
    <w:p w14:paraId="6D9362F7" w14:textId="77777777" w:rsidR="00E00825" w:rsidRPr="00C02E60" w:rsidRDefault="00E00825" w:rsidP="00E00825">
      <w:pPr>
        <w:pStyle w:val="Default"/>
        <w:spacing w:line="276" w:lineRule="auto"/>
        <w:jc w:val="both"/>
        <w:rPr>
          <w:rFonts w:ascii="Arial" w:hAnsi="Arial" w:cs="Arial"/>
          <w:sz w:val="22"/>
          <w:szCs w:val="22"/>
          <w:lang w:val="en-GB" w:bidi="en-GB"/>
        </w:rPr>
      </w:pPr>
    </w:p>
    <w:p w14:paraId="4A4891A5" w14:textId="77777777" w:rsidR="00E00825" w:rsidRPr="00C02E60" w:rsidRDefault="00E00825" w:rsidP="00E00825">
      <w:pPr>
        <w:pStyle w:val="Default"/>
        <w:spacing w:line="276" w:lineRule="auto"/>
        <w:jc w:val="both"/>
        <w:rPr>
          <w:rFonts w:ascii="Arial" w:hAnsi="Arial" w:cs="Arial"/>
          <w:b/>
          <w:bCs/>
          <w:sz w:val="22"/>
          <w:szCs w:val="22"/>
          <w:lang w:val="en-GB" w:bidi="en-GB"/>
        </w:rPr>
      </w:pPr>
      <w:r w:rsidRPr="00C02E60">
        <w:rPr>
          <w:rFonts w:ascii="Arial" w:hAnsi="Arial" w:cs="Arial"/>
          <w:b/>
          <w:bCs/>
          <w:sz w:val="22"/>
          <w:szCs w:val="22"/>
          <w:lang w:val="en-GB" w:bidi="en-GB"/>
        </w:rPr>
        <w:t xml:space="preserve">In the same vein, in ABI’s view, to ensure that the benefit outweighs implementation costs, it is crucial that the new template is maintained after the forthcoming revision of the Level 1 securitisation framework. </w:t>
      </w:r>
    </w:p>
    <w:p w14:paraId="5D0840C7" w14:textId="77777777" w:rsidR="00E00825" w:rsidRPr="00C02E60" w:rsidRDefault="00E00825" w:rsidP="00E00825">
      <w:pPr>
        <w:pStyle w:val="Default"/>
        <w:spacing w:line="276" w:lineRule="auto"/>
        <w:jc w:val="both"/>
        <w:rPr>
          <w:rFonts w:ascii="Arial" w:hAnsi="Arial" w:cs="Arial"/>
          <w:sz w:val="22"/>
          <w:szCs w:val="22"/>
          <w:lang w:val="en-GB" w:bidi="en-GB"/>
        </w:rPr>
      </w:pPr>
      <w:r w:rsidRPr="00C02E60">
        <w:rPr>
          <w:rFonts w:ascii="Arial" w:hAnsi="Arial" w:cs="Arial"/>
          <w:sz w:val="22"/>
          <w:szCs w:val="22"/>
          <w:lang w:val="en-GB" w:bidi="en-GB"/>
        </w:rPr>
        <w:t xml:space="preserve">In other words, before finalising the RTS, effective dialogue between Authorities and legislators should ensure that the simplified template for private securitisation </w:t>
      </w:r>
      <w:proofErr w:type="gramStart"/>
      <w:r w:rsidRPr="00C02E60">
        <w:rPr>
          <w:rFonts w:ascii="Arial" w:hAnsi="Arial" w:cs="Arial"/>
          <w:sz w:val="22"/>
          <w:szCs w:val="22"/>
          <w:lang w:val="en-GB" w:bidi="en-GB"/>
        </w:rPr>
        <w:t>still remain</w:t>
      </w:r>
      <w:proofErr w:type="gramEnd"/>
      <w:r w:rsidRPr="00C02E60">
        <w:rPr>
          <w:rFonts w:ascii="Arial" w:hAnsi="Arial" w:cs="Arial"/>
          <w:sz w:val="22"/>
          <w:szCs w:val="22"/>
          <w:lang w:val="en-GB" w:bidi="en-GB"/>
        </w:rPr>
        <w:t xml:space="preserve"> suitable to comply with the new framework, in order to avoid further changes and thus additional operational burdens.</w:t>
      </w:r>
    </w:p>
    <w:p w14:paraId="20AA0A55" w14:textId="77777777" w:rsidR="00E00825" w:rsidRPr="00C02E60" w:rsidRDefault="00E00825" w:rsidP="00E00825">
      <w:pPr>
        <w:pStyle w:val="Default"/>
        <w:spacing w:line="276" w:lineRule="auto"/>
        <w:jc w:val="both"/>
        <w:rPr>
          <w:rFonts w:ascii="Arial" w:hAnsi="Arial" w:cs="Arial"/>
          <w:sz w:val="22"/>
          <w:szCs w:val="22"/>
          <w:lang w:val="en-GB" w:bidi="en-GB"/>
        </w:rPr>
      </w:pPr>
    </w:p>
    <w:p w14:paraId="365B11E8" w14:textId="7945E2B4" w:rsidR="00E00825" w:rsidRPr="00C02E60" w:rsidRDefault="00E00825" w:rsidP="00E00825">
      <w:pPr>
        <w:rPr>
          <w:rFonts w:eastAsia="Times New Roman"/>
          <w:szCs w:val="22"/>
          <w:lang w:eastAsia="en-GB" w:bidi="en-GB"/>
        </w:rPr>
      </w:pPr>
      <w:r w:rsidRPr="00C02E60">
        <w:rPr>
          <w:rFonts w:eastAsia="Times New Roman"/>
          <w:szCs w:val="22"/>
          <w:lang w:eastAsia="en-GB" w:bidi="en-GB"/>
        </w:rPr>
        <w:lastRenderedPageBreak/>
        <w:t>An aspect of the proposed approach raising serious concerns is the requirement in paragraph 22 (section 4.2), that - in addition to the simplified template - the full set of «public» disclosure information should be available upon request of investors, potential investors and competent authorities. This would make the proposal for a simplified template completely meaningless, given that it would entail additional costs for reporting entities, without allowing for cost savings (due to the need to maintain both reporting systems). The introduction of a new simplified template only makes sense if no other reporting/disclosure obligations are attached.</w:t>
      </w:r>
    </w:p>
    <w:p w14:paraId="5ECABF81" w14:textId="52728B8C" w:rsidR="00E00825" w:rsidRPr="00C02E60" w:rsidRDefault="00E00825" w:rsidP="00E00825">
      <w:pPr>
        <w:rPr>
          <w:rFonts w:eastAsia="Times New Roman"/>
          <w:szCs w:val="22"/>
          <w:lang w:eastAsia="en-GB" w:bidi="en-GB"/>
        </w:rPr>
      </w:pPr>
      <w:r w:rsidRPr="00431176">
        <w:rPr>
          <w:rFonts w:eastAsia="Times New Roman"/>
          <w:szCs w:val="22"/>
          <w:lang w:eastAsia="en-GB" w:bidi="en-GB"/>
        </w:rPr>
        <w:t xml:space="preserve">Another point worth noting is that the simplified template might not be well-suited to ensure cost savings always and </w:t>
      </w:r>
      <w:r w:rsidRPr="00C02E60">
        <w:rPr>
          <w:rFonts w:eastAsia="Times New Roman"/>
          <w:szCs w:val="22"/>
          <w:lang w:eastAsia="en-GB" w:bidi="en-GB"/>
        </w:rPr>
        <w:t xml:space="preserve">for all types of private securitisation. </w:t>
      </w:r>
      <w:proofErr w:type="gramStart"/>
      <w:r w:rsidRPr="00C02E60">
        <w:rPr>
          <w:rFonts w:eastAsia="Times New Roman"/>
          <w:szCs w:val="22"/>
          <w:lang w:eastAsia="en-GB" w:bidi="en-GB"/>
        </w:rPr>
        <w:t>In particular, there</w:t>
      </w:r>
      <w:proofErr w:type="gramEnd"/>
      <w:r w:rsidRPr="00C02E60">
        <w:rPr>
          <w:rFonts w:eastAsia="Times New Roman"/>
          <w:szCs w:val="22"/>
          <w:lang w:eastAsia="en-GB" w:bidi="en-GB"/>
        </w:rPr>
        <w:t xml:space="preserve"> are transactions for which rating agencies would normally require detailed loan-by-loan information (beyond the aggregated data by portfolio cluster provided for in the proposed template). In these cases, reporting entities should retain the option to keep the </w:t>
      </w:r>
      <w:r w:rsidR="00896928" w:rsidRPr="00C02E60">
        <w:rPr>
          <w:rFonts w:eastAsia="Times New Roman"/>
          <w:szCs w:val="22"/>
          <w:lang w:eastAsia="en-GB" w:bidi="en-GB"/>
        </w:rPr>
        <w:t>«public»</w:t>
      </w:r>
      <w:r w:rsidRPr="00C02E60">
        <w:rPr>
          <w:rFonts w:eastAsia="Times New Roman"/>
          <w:szCs w:val="22"/>
          <w:lang w:eastAsia="en-GB" w:bidi="en-GB"/>
        </w:rPr>
        <w:t xml:space="preserve"> disclosure template, possibly applying targeted simplifications to remove non-necessary information.</w:t>
      </w:r>
    </w:p>
    <w:p w14:paraId="2321A9FB" w14:textId="77777777" w:rsidR="00E00825" w:rsidRPr="00C02E60" w:rsidRDefault="00E00825" w:rsidP="00E00825">
      <w:pPr>
        <w:rPr>
          <w:rFonts w:eastAsia="Times New Roman"/>
          <w:szCs w:val="22"/>
          <w:lang w:eastAsia="en-GB" w:bidi="en-GB"/>
        </w:rPr>
      </w:pPr>
      <w:r w:rsidRPr="00C02E60">
        <w:rPr>
          <w:rFonts w:eastAsia="Times New Roman"/>
          <w:szCs w:val="22"/>
          <w:lang w:eastAsia="en-GB" w:bidi="en-GB"/>
        </w:rPr>
        <w:t>In any case, a grandfathering clause should be envisaged to maintain the current templates for outstanding transactions.</w:t>
      </w:r>
    </w:p>
    <w:p w14:paraId="5D82CE29" w14:textId="77777777" w:rsidR="00E00825" w:rsidRPr="00C02E60" w:rsidRDefault="00E00825" w:rsidP="00E00825">
      <w:pPr>
        <w:rPr>
          <w:sz w:val="24"/>
          <w:szCs w:val="22"/>
        </w:rPr>
      </w:pPr>
      <w:r w:rsidRPr="00C02E60">
        <w:rPr>
          <w:rFonts w:eastAsia="Times New Roman"/>
          <w:szCs w:val="22"/>
          <w:lang w:eastAsia="en-GB" w:bidi="en-GB"/>
        </w:rPr>
        <w:t>Other significant remarks are reported in the answers to the questions below.</w:t>
      </w:r>
    </w:p>
    <w:permEnd w:id="2017003256"/>
    <w:p w14:paraId="1AB8F1D3" w14:textId="77777777"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1632D8F4" w14:textId="77777777" w:rsidR="00E00825" w:rsidRDefault="00E00825" w:rsidP="00E00825">
      <w:permStart w:id="1754429413" w:edGrp="everyone"/>
      <w:r>
        <w:t xml:space="preserve">In this regard, ABI would highlight that restricting the scope only to transactions where </w:t>
      </w:r>
      <w:proofErr w:type="gramStart"/>
      <w:r w:rsidRPr="00213805">
        <w:t>all of</w:t>
      </w:r>
      <w:proofErr w:type="gramEnd"/>
      <w:r w:rsidRPr="00213805">
        <w:t xml:space="preserve"> the originators, sponsors, original lenders and SSPEs </w:t>
      </w:r>
      <w:r>
        <w:t xml:space="preserve">are </w:t>
      </w:r>
      <w:r w:rsidRPr="00213805">
        <w:t>established in the Union</w:t>
      </w:r>
      <w:r>
        <w:t xml:space="preserve"> could have a significant deterrent effect on the application of the simplified template.</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0"/>
    <w:p w14:paraId="6B5F0F17" w14:textId="77777777" w:rsidR="00382821" w:rsidRDefault="00382821" w:rsidP="00382821">
      <w:r>
        <w:t>&lt;ESMA_QUESTION_PRSE_3&gt;</w:t>
      </w:r>
    </w:p>
    <w:p w14:paraId="38D2C45E" w14:textId="52F270C8" w:rsidR="00382821" w:rsidRDefault="00E00825" w:rsidP="00382821">
      <w:permStart w:id="627771789" w:edGrp="everyone"/>
      <w:r w:rsidRPr="00E00825">
        <w:lastRenderedPageBreak/>
        <w:t>The option of producing this reporting in CSV format is welcomed. It gives more flexibility to the end users as this format works in different applications, including excel. A general excel format should also be mainly accepted.</w:t>
      </w:r>
    </w:p>
    <w:permEnd w:id="627771789"/>
    <w:p w14:paraId="08C409EB" w14:textId="77777777"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47E990FB" w14:textId="77777777" w:rsidR="00382821" w:rsidRDefault="00382821" w:rsidP="00382821">
      <w:r>
        <w:t>&lt;ESMA_QUESTION_PRSE_4&gt;</w:t>
      </w:r>
    </w:p>
    <w:p w14:paraId="1461DBDB" w14:textId="77777777" w:rsidR="00E00825" w:rsidRDefault="00E00825" w:rsidP="00382821">
      <w:permStart w:id="1527854352" w:edGrp="everyone"/>
      <w:r w:rsidRPr="00E00825">
        <w:t>ABI agrees with the disclosure frequency proposed in the Consultation Paper as it seems in line with the market standard.</w:t>
      </w:r>
    </w:p>
    <w:permEnd w:id="1527854352"/>
    <w:p w14:paraId="4D521EC9" w14:textId="6328195C"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776F7CE4" w14:textId="77777777" w:rsidR="00382821" w:rsidRDefault="00382821" w:rsidP="00382821">
      <w:r>
        <w:t>&lt;ESMA_QUESTION_PRSE_5&gt;</w:t>
      </w:r>
    </w:p>
    <w:p w14:paraId="7B36D055" w14:textId="77777777" w:rsidR="00E00825" w:rsidRDefault="00E00825" w:rsidP="00382821">
      <w:permStart w:id="1515414980" w:edGrp="everyone"/>
      <w:r w:rsidRPr="00E00825">
        <w:t>ABI agrees with the proposed structure of the simplified template. The sections: “Information on the originator or sponsor”, “Exposure and Risk Retention”, “Position Level Information” and “Syn-thetic Coverage Information” seem to contain all the relevant information on private securitization transactions.</w:t>
      </w:r>
    </w:p>
    <w:permEnd w:id="1515414980"/>
    <w:p w14:paraId="12AA369F" w14:textId="17322EB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1BD02C53" w14:textId="77777777" w:rsidR="00382821" w:rsidRDefault="00382821" w:rsidP="00382821">
      <w:r>
        <w:t>&lt;ESMA_QUESTION_PRSE_6&gt;</w:t>
      </w:r>
    </w:p>
    <w:p w14:paraId="281D4B8D" w14:textId="77777777" w:rsidR="00E00825" w:rsidRDefault="00E00825" w:rsidP="00382821">
      <w:permStart w:id="85485728" w:edGrp="everyone"/>
      <w:r w:rsidRPr="00E00825">
        <w:t>The possibility to use the ND options is considered useful and necessary. It is particularly im-</w:t>
      </w:r>
      <w:proofErr w:type="spellStart"/>
      <w:r w:rsidRPr="00E00825">
        <w:t>portant</w:t>
      </w:r>
      <w:proofErr w:type="spellEnd"/>
      <w:r w:rsidRPr="00E00825">
        <w:t xml:space="preserve"> when ESG-related information is required, which is not always available.</w:t>
      </w:r>
    </w:p>
    <w:permEnd w:id="85485728"/>
    <w:p w14:paraId="0C699E01" w14:textId="07216B48" w:rsidR="00382821" w:rsidRDefault="00382821" w:rsidP="00382821">
      <w:r>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3" w:name="_Hlk190102855"/>
      <w:r>
        <w:lastRenderedPageBreak/>
        <w:t xml:space="preserve">Do you agree with the fields proposed in Table 1? If not, please suggest any changes to the Table’s structure and provide the rationale for your proposed modifications. </w:t>
      </w:r>
    </w:p>
    <w:bookmarkEnd w:id="13"/>
    <w:p w14:paraId="6C7C761D" w14:textId="77777777" w:rsidR="00382821" w:rsidRDefault="00382821" w:rsidP="00382821">
      <w:r>
        <w:t>&lt;ESMA_QUESTION_PRSE_7&gt;</w:t>
      </w:r>
    </w:p>
    <w:p w14:paraId="4A80B9D3" w14:textId="77777777" w:rsidR="00E00825" w:rsidRDefault="00E00825" w:rsidP="00382821">
      <w:permStart w:id="493294650" w:edGrp="everyone"/>
      <w:r w:rsidRPr="00E00825">
        <w:t>ABI agrees with the fields proposed in Table 1, as overall they are the general information needed to identify the transactions ensuring an adequate level of transparency.</w:t>
      </w:r>
    </w:p>
    <w:permEnd w:id="493294650"/>
    <w:p w14:paraId="1E73C160" w14:textId="514B22BE"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12CC7F0C" w14:textId="77777777" w:rsidR="00382821" w:rsidRDefault="00382821" w:rsidP="00382821">
      <w:r>
        <w:t>&lt;ESMA_QUESTION_PRSE_8&gt;</w:t>
      </w:r>
    </w:p>
    <w:p w14:paraId="4A32ACCD" w14:textId="00624EDB" w:rsidR="00382821" w:rsidRDefault="00E00825" w:rsidP="00382821">
      <w:permStart w:id="1676095566" w:edGrp="everyone"/>
      <w:r w:rsidRPr="00E00825">
        <w:t>ABI agrees with the fields proposed in Table 2. They capture the relevant transaction details.</w:t>
      </w:r>
    </w:p>
    <w:permEnd w:id="1676095566"/>
    <w:p w14:paraId="151C0C37" w14:textId="77777777"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5A7F3D8F" w14:textId="77777777" w:rsidR="00382821" w:rsidRDefault="00382821" w:rsidP="00382821">
      <w:r>
        <w:t>&lt;ESMA_QUESTION_PRSE_9&gt;</w:t>
      </w:r>
    </w:p>
    <w:p w14:paraId="2C8B12A2" w14:textId="77777777" w:rsidR="00E00825" w:rsidRDefault="00E00825" w:rsidP="00382821">
      <w:permStart w:id="466252494" w:edGrp="everyone"/>
      <w:r w:rsidRPr="00E00825">
        <w:t>ABI agrees with the fields proposed in Table 3.</w:t>
      </w:r>
    </w:p>
    <w:permEnd w:id="466252494"/>
    <w:p w14:paraId="104F0D95" w14:textId="64DA7A1A"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28D0654E" w14:textId="77777777" w:rsidR="00382821" w:rsidRDefault="00382821" w:rsidP="00382821">
      <w:r>
        <w:t>&lt;ESMA_QUESTION_PRSE_10&gt;</w:t>
      </w:r>
    </w:p>
    <w:p w14:paraId="27C8FDF7" w14:textId="77777777" w:rsidR="00E00825" w:rsidRDefault="00E00825" w:rsidP="00382821">
      <w:permStart w:id="694893472" w:edGrp="everyone"/>
      <w:r w:rsidRPr="00E00825">
        <w:t>ABI agrees with the instrument/securities characteristics fields proposed in Table 4.</w:t>
      </w:r>
    </w:p>
    <w:permEnd w:id="694893472"/>
    <w:p w14:paraId="57AD0A66" w14:textId="24DC056D"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17" w:name="_Hlk190102863"/>
      <w:r>
        <w:lastRenderedPageBreak/>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64E4B0F6" w14:textId="77777777" w:rsidR="00382821" w:rsidRDefault="00382821" w:rsidP="00382821">
      <w:r>
        <w:t>&lt;ESMA_QUESTION_PRSE_11&gt;</w:t>
      </w:r>
    </w:p>
    <w:p w14:paraId="2B80E831" w14:textId="77777777" w:rsidR="00E00825" w:rsidRDefault="00E00825" w:rsidP="00382821">
      <w:permStart w:id="139862057" w:edGrp="everyone"/>
      <w:r w:rsidRPr="00E00825">
        <w:t>ABI has not identified significant issues with continuing with Annex 11, which has already been implemented by banks. However, the simplified reporting can also be implemented and for those purposes would be more appropriate given its simplification.</w:t>
      </w:r>
    </w:p>
    <w:permEnd w:id="139862057"/>
    <w:p w14:paraId="3FFF520C" w14:textId="1325C846" w:rsidR="00382821" w:rsidRDefault="00382821" w:rsidP="00382821">
      <w:r>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2CF4C7EF" w14:textId="77777777" w:rsidR="00E00825" w:rsidRDefault="00E00825" w:rsidP="00382821">
      <w:permStart w:id="1666673179" w:edGrp="everyone"/>
      <w:r w:rsidRPr="00E00825">
        <w:t xml:space="preserve">ABI supports the use of the simplified templates for ABCP transactions. However, further </w:t>
      </w:r>
      <w:proofErr w:type="spellStart"/>
      <w:r w:rsidRPr="00E00825">
        <w:t>clarifica-tions</w:t>
      </w:r>
      <w:proofErr w:type="spellEnd"/>
      <w:r w:rsidRPr="00E00825">
        <w:t xml:space="preserve"> would be appreciated on what is intended with "other support provided by the sponsor" (it is not clear whether it refers to other facilities granted to the Conduit, or other than the Liquidity facilities). Clarifications in relation to the "classification of underlying exposures" would also be useful.</w:t>
      </w:r>
    </w:p>
    <w:permEnd w:id="1666673179"/>
    <w:p w14:paraId="16ABF3F0" w14:textId="02FC87DC" w:rsidR="00382821" w:rsidRDefault="00382821" w:rsidP="00382821">
      <w:r>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18"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5D9641AB" w14:textId="77777777" w:rsidR="00382821" w:rsidRDefault="00382821" w:rsidP="00382821">
      <w:r>
        <w:t>&lt;ESMA_QUESTION_PRSE_13&gt;</w:t>
      </w:r>
    </w:p>
    <w:p w14:paraId="30BE8CAB" w14:textId="77777777" w:rsidR="00E00825" w:rsidRDefault="00E00825" w:rsidP="00382821">
      <w:permStart w:id="1902596544" w:edGrp="everyone"/>
      <w:r w:rsidRPr="00E00825">
        <w:t>ABI strongly supports the proposed programme-level approach for ABCP transactions, as it is the most practical and efficient method of disclosure. Requiring transaction-level reporting introduces unnecessary complexity and reporting burdens without providing significant added value to investors. The proposed approach ensures adequate transparency while maintaining operational feasibility for market participants.</w:t>
      </w:r>
    </w:p>
    <w:permEnd w:id="1902596544"/>
    <w:p w14:paraId="18B56EE9" w14:textId="32F30975"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lastRenderedPageBreak/>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1F7BE759" w14:textId="77777777" w:rsidR="00E00825" w:rsidRDefault="00E00825" w:rsidP="00382821">
      <w:permStart w:id="1588479142" w:edGrp="everyone"/>
      <w:r w:rsidRPr="00E00825">
        <w:t>ABI agrees in general with the contact information collected under Table 6, but excluding the in-formation about the law firm, given that more than one law firms can be involved.</w:t>
      </w:r>
    </w:p>
    <w:permEnd w:id="1588479142"/>
    <w:p w14:paraId="0BC00A43" w14:textId="7AC9818D"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370BED65" w14:textId="77777777" w:rsidR="00E00825" w:rsidRDefault="00E00825" w:rsidP="00382821">
      <w:permStart w:id="2008383309" w:edGrp="everyone"/>
      <w:r w:rsidRPr="00E00825">
        <w:t>ABI has no objections to providing the information on underlying exposures as proposed in Table 7. The level of detail required in Table 7 appears proportionate to the needs of both investors and supervisors, ensuring a balance between transparency and efficiency of reporting.</w:t>
      </w:r>
    </w:p>
    <w:permEnd w:id="2008383309"/>
    <w:p w14:paraId="49E3F891" w14:textId="796F1F2D"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55111FF9" w14:textId="106A24FD" w:rsidR="00E00825" w:rsidRDefault="00E00825" w:rsidP="00382821">
      <w:permStart w:id="242687765" w:edGrp="everyone"/>
      <w:r w:rsidRPr="00E00825">
        <w:t xml:space="preserve">ABI acknowledges the importance of ensuring that a minimum set of relevant information is </w:t>
      </w:r>
      <w:proofErr w:type="spellStart"/>
      <w:r w:rsidRPr="00E00825">
        <w:t>availa-ble</w:t>
      </w:r>
      <w:proofErr w:type="spellEnd"/>
      <w:r w:rsidRPr="00E00825">
        <w:t xml:space="preserve"> to users to effectively monitor the evolution of underlying risks. However, ABI believes that fields related to environmental performance should be excluded from the reporting requirements for the following reasons: i) data on environmental performance are not frequently available or systematically collected by originators, particularly for certain asset classes such as consumer loans; ii) requiring such information would place an undue burden on reporting entities, as many originators would struggle to provide consistent and reliable environmental metrics.</w:t>
      </w:r>
    </w:p>
    <w:permEnd w:id="242687765"/>
    <w:p w14:paraId="6E35F9F3" w14:textId="33801E24"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 xml:space="preserve">ESMA proposes the inclusion of fields to capture information on underlying assets to be reported at an aggregated level. Some of this information is also included in </w:t>
      </w:r>
      <w:r>
        <w:lastRenderedPageBreak/>
        <w:t>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59495DC9" w14:textId="77777777" w:rsidR="00E00825" w:rsidRDefault="00E00825" w:rsidP="00382821">
      <w:permStart w:id="1498686568" w:edGrp="everyone"/>
      <w:r w:rsidRPr="00E00825">
        <w:t>Avoiding any duplication of information would be preferable, to ensure efficiency, reduce reporting burdens, and maintain data consistency. If the same information on underlying assets is already captured in the Investor Report for non-ABCP transactions, requiring duplicate reporting in the private securitisation template would create unnecessary administrative and compliance burdens for reporting entities.</w:t>
      </w:r>
    </w:p>
    <w:permEnd w:id="1498686568"/>
    <w:p w14:paraId="071DDFBC" w14:textId="5FDA6B0B"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1B11CF69" w14:textId="77777777" w:rsidR="00E00825" w:rsidRDefault="00E00825" w:rsidP="00382821">
      <w:permStart w:id="1730950196" w:edGrp="everyone"/>
      <w:r w:rsidRPr="00E00825">
        <w:t>Providing the information on restructured exposures through the investor report is considered sufficient, while requiring the same details in Table 7.5 would lead to unnecessary duplication.</w:t>
      </w:r>
    </w:p>
    <w:permEnd w:id="1730950196"/>
    <w:p w14:paraId="3A83175F" w14:textId="19DF000E"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23D54C0E" w14:textId="77777777" w:rsidR="00382821" w:rsidRDefault="00382821" w:rsidP="00382821">
      <w:permStart w:id="1883986982" w:edGrp="everyone"/>
      <w:r>
        <w:t>TYPE YOUR TEXT HERE</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5BAD21E8" w14:textId="77777777" w:rsidR="00E00825" w:rsidRDefault="00E00825" w:rsidP="00382821">
      <w:permStart w:id="1388260463" w:edGrp="everyone"/>
      <w:r w:rsidRPr="00E00825">
        <w:lastRenderedPageBreak/>
        <w:t xml:space="preserve">ABI does not support the mandatory inclusion of energy performance fields in Table 7.6 due to the difficulty in obtaining this data, the operational challenges it presents, and the potential </w:t>
      </w:r>
      <w:proofErr w:type="spellStart"/>
      <w:r w:rsidRPr="00E00825">
        <w:t>inconsist-encies</w:t>
      </w:r>
      <w:proofErr w:type="spellEnd"/>
      <w:r w:rsidRPr="00E00825">
        <w:t xml:space="preserve"> in reporting. A more flexible, voluntary approach would be preferable if ESMA aims to capture this information over time.</w:t>
      </w:r>
    </w:p>
    <w:permEnd w:id="1388260463"/>
    <w:p w14:paraId="5F69AB37" w14:textId="3E339377" w:rsidR="00382821" w:rsidRDefault="00382821" w:rsidP="00382821">
      <w:r>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1BD23CD2" w14:textId="77777777" w:rsidR="00382821" w:rsidRDefault="00382821" w:rsidP="00382821">
      <w:permStart w:id="1220880257" w:edGrp="everyone"/>
      <w:r>
        <w:t>TYPE YOUR TEXT HERE</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40FC5455" w14:textId="2A558CC0" w:rsidR="00E00825" w:rsidRDefault="00E00825" w:rsidP="00382821">
      <w:permStart w:id="1678802657" w:edGrp="everyone"/>
      <w:r w:rsidRPr="00E00825">
        <w:t>ABI would prefer not to include risk retention fields in the private securitisation template, as this information is already disclosed in investor reports. Avoiding redundant reporting would help maintaining a streamlined and proportionate disclosure framework, reducing unnecessary administrative burdens for market participants.</w:t>
      </w:r>
    </w:p>
    <w:permEnd w:id="1678802657"/>
    <w:p w14:paraId="78DA90E8" w14:textId="7F642C16"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59A9E26B" w14:textId="77777777" w:rsidR="00382821" w:rsidRDefault="00382821" w:rsidP="00382821">
      <w:permStart w:id="747701949" w:edGrp="everyone"/>
      <w:r>
        <w:t>TYPE YOUR TEXT HERE</w:t>
      </w:r>
    </w:p>
    <w:permEnd w:id="747701949"/>
    <w:p w14:paraId="656006C0" w14:textId="77777777"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lastRenderedPageBreak/>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1AEFA3C0" w14:textId="77777777" w:rsidR="00E00825" w:rsidRDefault="00E00825" w:rsidP="00382821">
      <w:permStart w:id="1305178671" w:edGrp="everyone"/>
      <w:r w:rsidRPr="00E00825">
        <w:t>In ABI’s view, Table 9 should be deleted as it would require dynamic updating, and Table 4 should be sufficient to capture general information about securities/instruments issued. If supervisors need information on the total outstanding, they can obtain by accessing tailored investor reporting. However, information on the share of each tranche in the proposed “retention” field can be com-</w:t>
      </w:r>
      <w:proofErr w:type="spellStart"/>
      <w:r w:rsidRPr="00E00825">
        <w:t>mercially</w:t>
      </w:r>
      <w:proofErr w:type="spellEnd"/>
      <w:r w:rsidRPr="00E00825">
        <w:t xml:space="preserve"> sensitive and would not be reported to investors; it is also not entirely clear what benefit it can provide to the supervisor. It </w:t>
      </w:r>
      <w:proofErr w:type="gramStart"/>
      <w:r w:rsidRPr="00E00825">
        <w:t>has to</w:t>
      </w:r>
      <w:proofErr w:type="gramEnd"/>
      <w:r w:rsidRPr="00E00825">
        <w:t xml:space="preserve"> be noted that currently only the ECB/SSM template applicable to significant institutions requires information on retention, but it is framed differently from how it is presented in Table 9 as it is limited to what is retained according to Article 6.</w:t>
      </w:r>
    </w:p>
    <w:permEnd w:id="1305178671"/>
    <w:p w14:paraId="140996F6" w14:textId="565BCDB6" w:rsidR="00382821" w:rsidRDefault="00382821" w:rsidP="00382821">
      <w:r>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665953FC" w14:textId="77777777" w:rsidR="00E00825" w:rsidRDefault="00E00825" w:rsidP="00382821">
      <w:permStart w:id="731979321" w:edGrp="everyone"/>
      <w:r w:rsidRPr="00E00825">
        <w:t>ABI agrees with the fields proposed in Table 9, as they represent typical and relevant information for synthetic securitisation transactions. The inclusion of these fields helps ensure transparency, regulatory oversight, and consistency in reporting synthetic securitisations.</w:t>
      </w:r>
    </w:p>
    <w:permEnd w:id="731979321"/>
    <w:p w14:paraId="38D34A4F" w14:textId="26D57795"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42EAAED0" w14:textId="77777777" w:rsidR="00E00825" w:rsidRDefault="00E00825" w:rsidP="00E00825">
      <w:permStart w:id="1022781935" w:edGrp="everyone"/>
      <w:r>
        <w:t>As anticipated in the answer to Q1, given that the implementation of a new template entails opera-</w:t>
      </w:r>
      <w:proofErr w:type="spellStart"/>
      <w:r>
        <w:t>tional</w:t>
      </w:r>
      <w:proofErr w:type="spellEnd"/>
      <w:r>
        <w:t xml:space="preserve"> burdens, to ensure that the benefit outweighs implementation costs, it is crucial that the new template is maintained after the forthcoming revision of the Level 1 securitisation framework. </w:t>
      </w:r>
    </w:p>
    <w:p w14:paraId="404137F5" w14:textId="344D41CE" w:rsidR="00E00825" w:rsidRDefault="00E00825" w:rsidP="00E00825">
      <w:r>
        <w:t xml:space="preserve">Moreover, the implementation of the simplified template would only represent a cost if the full set of «public» disclosure information shall be available upon request of investors, potential investors and competent authorities. </w:t>
      </w:r>
    </w:p>
    <w:p w14:paraId="210C760A" w14:textId="1592092E" w:rsidR="00E00825" w:rsidRDefault="00E00825" w:rsidP="00E00825">
      <w:r>
        <w:lastRenderedPageBreak/>
        <w:t xml:space="preserve">In addition, the simplified template might not be well-suited to ensure cost savings always and for all types of private securitisation. </w:t>
      </w:r>
      <w:proofErr w:type="gramStart"/>
      <w:r>
        <w:t>In particular, there</w:t>
      </w:r>
      <w:proofErr w:type="gramEnd"/>
      <w:r>
        <w:t xml:space="preserve"> are transactions - e.g. true sales transaction</w:t>
      </w:r>
      <w:r>
        <w:t>s</w:t>
      </w:r>
      <w:r>
        <w:t xml:space="preserve"> - for which rating agencies would normally require detailed loan-by-loan information (beyond the aggregated data by portfolio cluster provided for in the proposed template). In these cases, reporting entities should retain the option to keep the “public” disclosure template, possibly applying targeted simplifications to remove non-necessary information. More generally speaking, targeted simplifications as proposed in the ABI response to the previous consultation (i.e. reducing mandatory fields of little added value for investors and improving the use of ND options) should be envisaged for “public” securitisations disclosure.</w:t>
      </w:r>
    </w:p>
    <w:p w14:paraId="0A1C4006" w14:textId="77777777" w:rsidR="00E00825" w:rsidRDefault="00E00825" w:rsidP="00382821">
      <w:r>
        <w:t>In any case, a grandfathering clause should be envisaged to maintain the current templates for outstanding transactions.</w:t>
      </w:r>
    </w:p>
    <w:permEnd w:id="1022781935"/>
    <w:p w14:paraId="534FF4FF" w14:textId="7CEC2389"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196776FB" w14:textId="77777777" w:rsidR="00E00825" w:rsidRDefault="00E00825" w:rsidP="00382821">
      <w:permStart w:id="215905194" w:edGrp="everyone"/>
      <w:r w:rsidRPr="00E00825">
        <w:t xml:space="preserve">The one-off implementation costs associated with transitioning to the simplified template for </w:t>
      </w:r>
      <w:proofErr w:type="spellStart"/>
      <w:r w:rsidRPr="00E00825">
        <w:t>pri-vate</w:t>
      </w:r>
      <w:proofErr w:type="spellEnd"/>
      <w:r w:rsidRPr="00E00825">
        <w:t xml:space="preserve"> securitisations are expected to be significantly lower than the expenses incurred during the development and implementation of the original reporting templates. As to reporting, a significant reduction of ongoing costs is expected.</w:t>
      </w:r>
    </w:p>
    <w:permEnd w:id="215905194"/>
    <w:p w14:paraId="2F58EDA6" w14:textId="7EEE5CB5"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578A7790" w14:textId="77777777" w:rsidR="00E00825" w:rsidRDefault="00E00825" w:rsidP="00382821">
      <w:permStart w:id="444752322" w:edGrp="everyone"/>
      <w:r w:rsidRPr="00E00825">
        <w:t xml:space="preserve">The simplified template is expected to provide added value for the investors, by improving the clarity and accessibility of key transaction data while maintaining their ability to perform due </w:t>
      </w:r>
      <w:proofErr w:type="spellStart"/>
      <w:r w:rsidRPr="00E00825">
        <w:t>dili-gence</w:t>
      </w:r>
      <w:proofErr w:type="spellEnd"/>
      <w:r w:rsidRPr="00E00825">
        <w:t xml:space="preserve"> effectively. The streamlined reporting format ensures that investors receive the most </w:t>
      </w:r>
      <w:proofErr w:type="spellStart"/>
      <w:r w:rsidRPr="00E00825">
        <w:t>essen-tial</w:t>
      </w:r>
      <w:proofErr w:type="spellEnd"/>
      <w:r w:rsidRPr="00E00825">
        <w:t xml:space="preserve"> and relevant data needed for their risk assessment. By reducing unnecessary complexity, the simplified template enhances data usability, making it easier for investors to interpret and </w:t>
      </w:r>
      <w:proofErr w:type="spellStart"/>
      <w:r w:rsidRPr="00E00825">
        <w:t>analyze</w:t>
      </w:r>
      <w:proofErr w:type="spellEnd"/>
      <w:r w:rsidRPr="00E00825">
        <w:t xml:space="preserve"> securitisation </w:t>
      </w:r>
      <w:proofErr w:type="spellStart"/>
      <w:proofErr w:type="gramStart"/>
      <w:r w:rsidRPr="00E00825">
        <w:t>transactions.The</w:t>
      </w:r>
      <w:proofErr w:type="spellEnd"/>
      <w:proofErr w:type="gramEnd"/>
      <w:r w:rsidRPr="00E00825">
        <w:t xml:space="preserve"> new framework retains the key disclosure elements that investors need to assess credit risk, structure, and performance, ensuring they can still conduct proper due diligence. Investors will spend less time filtering through excessive data, allowing for more </w:t>
      </w:r>
      <w:proofErr w:type="spellStart"/>
      <w:r w:rsidRPr="00E00825">
        <w:t>effi-cient</w:t>
      </w:r>
      <w:proofErr w:type="spellEnd"/>
      <w:r w:rsidRPr="00E00825">
        <w:t xml:space="preserve"> decision-making based on the most critical information.</w:t>
      </w:r>
    </w:p>
    <w:permEnd w:id="444752322"/>
    <w:p w14:paraId="777C7FC5" w14:textId="23DC5A8C" w:rsidR="00382821" w:rsidRDefault="00382821" w:rsidP="00382821">
      <w:r>
        <w:lastRenderedPageBreak/>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2C62D9C5" w14:textId="77777777" w:rsidR="00382821" w:rsidRDefault="00382821" w:rsidP="00382821">
      <w:permStart w:id="316223941" w:edGrp="everyone"/>
      <w:r>
        <w:t>TYPE YOUR TEXT HERE</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77B1" w14:textId="77777777" w:rsidR="00B40590" w:rsidRDefault="00B40590" w:rsidP="00F716D4">
      <w:r>
        <w:separator/>
      </w:r>
    </w:p>
    <w:p w14:paraId="7ABEBA75" w14:textId="77777777" w:rsidR="00B40590" w:rsidRDefault="00B40590" w:rsidP="00F716D4"/>
  </w:endnote>
  <w:endnote w:type="continuationSeparator" w:id="0">
    <w:p w14:paraId="70DAD66F" w14:textId="77777777" w:rsidR="00B40590" w:rsidRDefault="00B40590" w:rsidP="00F716D4">
      <w:r>
        <w:continuationSeparator/>
      </w:r>
    </w:p>
    <w:p w14:paraId="16615811" w14:textId="77777777" w:rsidR="00B40590" w:rsidRDefault="00B40590" w:rsidP="00F716D4"/>
  </w:endnote>
  <w:endnote w:type="continuationNotice" w:id="1">
    <w:p w14:paraId="4AA69C64" w14:textId="77777777" w:rsidR="00B40590" w:rsidRDefault="00B40590"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Pidipagina"/>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Collegamentoipertestuale"/>
          <w:sz w:val="15"/>
          <w:szCs w:val="15"/>
          <w:lang w:val="fr-FR"/>
        </w:rPr>
        <w:t>www.esma.</w:t>
      </w:r>
      <w:r w:rsidRPr="00A8626B">
        <w:rPr>
          <w:rStyle w:val="Collegamentoipertestuale"/>
          <w:sz w:val="15"/>
          <w:szCs w:val="15"/>
          <w:lang w:val="fr-BE"/>
        </w:rPr>
        <w:t>europa</w:t>
      </w:r>
      <w:r w:rsidRPr="00A8626B">
        <w:rPr>
          <w:rStyle w:val="Collegamentoipertestuale"/>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31083" w14:textId="77777777" w:rsidR="00B40590" w:rsidRDefault="00B40590" w:rsidP="00F716D4">
      <w:r>
        <w:separator/>
      </w:r>
    </w:p>
    <w:p w14:paraId="742D31A7" w14:textId="77777777" w:rsidR="00B40590" w:rsidRDefault="00B40590" w:rsidP="00F716D4"/>
  </w:footnote>
  <w:footnote w:type="continuationSeparator" w:id="0">
    <w:p w14:paraId="3C88B201" w14:textId="77777777" w:rsidR="00B40590" w:rsidRDefault="00B40590" w:rsidP="00F716D4">
      <w:r>
        <w:continuationSeparator/>
      </w:r>
    </w:p>
    <w:p w14:paraId="63219EBD" w14:textId="77777777" w:rsidR="00B40590" w:rsidRDefault="00B40590" w:rsidP="00F716D4"/>
  </w:footnote>
  <w:footnote w:type="continuationNotice" w:id="1">
    <w:p w14:paraId="1EA24A6F" w14:textId="77777777" w:rsidR="00B40590" w:rsidRDefault="00B40590"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Titolo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AB2"/>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03A"/>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4F2D"/>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821"/>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8F2"/>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3632"/>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C5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28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510"/>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96928"/>
    <w:rsid w:val="008A2585"/>
    <w:rsid w:val="008A2718"/>
    <w:rsid w:val="008A4CF6"/>
    <w:rsid w:val="008A4E42"/>
    <w:rsid w:val="008A51AA"/>
    <w:rsid w:val="008A6A12"/>
    <w:rsid w:val="008B0994"/>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17770"/>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54B"/>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590"/>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4F7"/>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B5F"/>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03F5"/>
    <w:rsid w:val="00D83D4B"/>
    <w:rsid w:val="00D871C6"/>
    <w:rsid w:val="00D91010"/>
    <w:rsid w:val="00D9143D"/>
    <w:rsid w:val="00D920D1"/>
    <w:rsid w:val="00D9439D"/>
    <w:rsid w:val="00DA0FA7"/>
    <w:rsid w:val="00DA12B0"/>
    <w:rsid w:val="00DA2BA0"/>
    <w:rsid w:val="00DA39AD"/>
    <w:rsid w:val="00DA5B13"/>
    <w:rsid w:val="00DA6917"/>
    <w:rsid w:val="00DA6926"/>
    <w:rsid w:val="00DB068E"/>
    <w:rsid w:val="00DB0965"/>
    <w:rsid w:val="00DB0E47"/>
    <w:rsid w:val="00DB2BDD"/>
    <w:rsid w:val="00DB4121"/>
    <w:rsid w:val="00DB46C3"/>
    <w:rsid w:val="00DB5742"/>
    <w:rsid w:val="00DB5EDF"/>
    <w:rsid w:val="00DB6C46"/>
    <w:rsid w:val="00DB72B8"/>
    <w:rsid w:val="00DC0E7D"/>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0825"/>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5DA"/>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1F12"/>
    <w:rsid w:val="00F123D0"/>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e">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Titolo1">
    <w:name w:val="heading 1"/>
    <w:basedOn w:val="Normale"/>
    <w:next w:val="Normale"/>
    <w:link w:val="Titolo1Carattere"/>
    <w:qFormat/>
    <w:locked/>
    <w:rsid w:val="00BB1973"/>
    <w:pPr>
      <w:keepNext/>
      <w:numPr>
        <w:numId w:val="36"/>
      </w:numPr>
      <w:spacing w:before="240" w:after="60" w:line="360" w:lineRule="auto"/>
      <w:outlineLvl w:val="0"/>
    </w:pPr>
    <w:rPr>
      <w:b/>
      <w:bCs/>
      <w:color w:val="00379F"/>
      <w:kern w:val="32"/>
      <w:sz w:val="28"/>
      <w:szCs w:val="28"/>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2"/>
      </w:numPr>
      <w:spacing w:before="200"/>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qFormat/>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rPr>
  </w:style>
  <w:style w:type="paragraph" w:styleId="Sommario4">
    <w:name w:val="toc 4"/>
    <w:basedOn w:val="Normale"/>
    <w:next w:val="Normale"/>
    <w:autoRedefine/>
    <w:uiPriority w:val="39"/>
    <w:unhideWhenUsed/>
    <w:locked/>
    <w:rsid w:val="00F377CD"/>
    <w:pPr>
      <w:spacing w:after="100"/>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7"/>
      </w:numPr>
      <w:spacing w:after="240"/>
    </w:pPr>
    <w:rPr>
      <w:rFonts w:ascii="Times New Roman" w:hAnsi="Times New Roman"/>
      <w:sz w:val="24"/>
      <w:lang w:eastAsia="en-GB"/>
    </w:rPr>
  </w:style>
  <w:style w:type="character" w:customStyle="1" w:styleId="CorpotestoCarattere">
    <w:name w:val="Corpo testo Carattere"/>
    <w:link w:val="Corpotesto"/>
    <w:rsid w:val="00AA016B"/>
    <w:rPr>
      <w:rFonts w:eastAsiaTheme="minorEastAsia" w:cs="Arial"/>
      <w:color w:val="1A1A1A" w:themeColor="background1" w:themeShade="1A"/>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rFonts w:eastAsiaTheme="minorEastAsia" w:cs="Arial"/>
      <w:b/>
      <w:bCs/>
      <w:color w:val="1A1A1A" w:themeColor="background1" w:themeShade="1A"/>
      <w:sz w:val="22"/>
      <w:szCs w:val="22"/>
      <w:lang w:eastAsia="en-US"/>
    </w:rPr>
  </w:style>
  <w:style w:type="character" w:customStyle="1" w:styleId="Titolo8Carattere">
    <w:name w:val="Titolo 8 Carattere"/>
    <w:link w:val="Titolo8"/>
    <w:rsid w:val="002D6E1A"/>
    <w:rPr>
      <w:rFonts w:eastAsiaTheme="minorEastAsia" w:cs="Arial"/>
      <w:i/>
      <w:iCs/>
      <w:color w:val="1A1A1A" w:themeColor="background1" w:themeShade="1A"/>
      <w:sz w:val="22"/>
      <w:lang w:eastAsia="en-US"/>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uiPriority w:val="99"/>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8"/>
      </w:numPr>
      <w:spacing w:before="120" w:after="120"/>
      <w:ind w:left="360" w:hanging="360"/>
    </w:pPr>
    <w:rPr>
      <w:rFonts w:ascii="Times New Roman" w:hAnsi="Times New Roman"/>
      <w:sz w:val="24"/>
    </w:r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pPr>
    <w:rPr>
      <w:rFonts w:eastAsia="Calibri"/>
      <w:lang w:eastAsia="en-GB"/>
    </w:rPr>
  </w:style>
  <w:style w:type="paragraph" w:customStyle="1" w:styleId="Tiret1">
    <w:name w:val="Tiret 1"/>
    <w:basedOn w:val="Normale"/>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pPr>
    <w:rPr>
      <w:b/>
      <w:u w:val="single"/>
    </w:rPr>
  </w:style>
  <w:style w:type="paragraph" w:customStyle="1" w:styleId="Bullet">
    <w:name w:val="Bullet"/>
    <w:basedOn w:val="Normale"/>
    <w:locked/>
    <w:rsid w:val="002D6E1A"/>
    <w:pPr>
      <w:numPr>
        <w:numId w:val="10"/>
      </w:numPr>
      <w:tabs>
        <w:tab w:val="left" w:pos="708"/>
      </w:tabs>
      <w:spacing w:before="120" w:after="120"/>
    </w:pPr>
    <w:rPr>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eastAsiaTheme="minorEastAsia" w:hAnsi="Arial" w:cs="Arial"/>
      <w:b/>
      <w:color w:val="1A1A1A" w:themeColor="background1" w:themeShade="1A"/>
      <w:sz w:val="22"/>
      <w:lang w:eastAsia="en-US"/>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line="340" w:lineRule="exact"/>
      <w:ind w:left="397" w:hanging="397"/>
    </w:pPr>
    <w:rPr>
      <w:b/>
      <w:caps/>
      <w:color w:val="2D4190"/>
      <w:sz w:val="28"/>
      <w:lang w:val="de-DE"/>
    </w:rPr>
  </w:style>
  <w:style w:type="paragraph" w:customStyle="1" w:styleId="04RunningText">
    <w:name w:val="04_Running Text"/>
    <w:basedOn w:val="Normale"/>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ind w:left="284" w:hanging="284"/>
    </w:pPr>
    <w:rPr>
      <w:rFonts w:eastAsia="Calibri"/>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e"/>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e"/>
    <w:next w:val="Normale"/>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e"/>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e"/>
    <w:rsid w:val="000D2D0B"/>
  </w:style>
  <w:style w:type="paragraph" w:customStyle="1" w:styleId="Sbuchead">
    <w:name w:val="Sbuchead"/>
    <w:basedOn w:val="Normale"/>
    <w:locked/>
    <w:rsid w:val="000D2D0B"/>
    <w:pPr>
      <w:spacing w:after="360"/>
    </w:pPr>
    <w:rPr>
      <w:rFonts w:ascii="Times New Roman" w:hAnsi="Times New Roman"/>
      <w:b/>
      <w:caps/>
      <w:sz w:val="24"/>
      <w:lang w:eastAsia="en-GB"/>
    </w:rPr>
  </w:style>
  <w:style w:type="paragraph" w:customStyle="1" w:styleId="Applicationdirecte">
    <w:name w:val="Application directe"/>
    <w:basedOn w:val="Normale"/>
    <w:next w:val="Fait"/>
    <w:locked/>
    <w:rsid w:val="000D2D0B"/>
    <w:pPr>
      <w:spacing w:before="480" w:after="120"/>
    </w:pPr>
    <w:rPr>
      <w:rFonts w:ascii="Times New Roman" w:hAnsi="Times New Roman"/>
      <w:sz w:val="24"/>
    </w:rPr>
  </w:style>
  <w:style w:type="paragraph" w:customStyle="1" w:styleId="Fait">
    <w:name w:val="Fait à"/>
    <w:basedOn w:val="Normale"/>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e"/>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e"/>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e"/>
    <w:locked/>
    <w:rsid w:val="000D2D0B"/>
    <w:pPr>
      <w:spacing w:before="120" w:after="120"/>
      <w:ind w:left="850"/>
    </w:pPr>
    <w:rPr>
      <w:rFonts w:ascii="Times New Roman" w:hAnsi="Times New Roman"/>
      <w:sz w:val="24"/>
    </w:rPr>
  </w:style>
  <w:style w:type="paragraph" w:customStyle="1" w:styleId="Text2">
    <w:name w:val="Text 2"/>
    <w:basedOn w:val="Normale"/>
    <w:locked/>
    <w:rsid w:val="000D2D0B"/>
    <w:pPr>
      <w:spacing w:before="120" w:after="120"/>
      <w:ind w:left="1417"/>
    </w:pPr>
    <w:rPr>
      <w:rFonts w:ascii="Times New Roman" w:hAnsi="Times New Roman"/>
      <w:sz w:val="24"/>
    </w:rPr>
  </w:style>
  <w:style w:type="paragraph" w:customStyle="1" w:styleId="Text3">
    <w:name w:val="Text 3"/>
    <w:basedOn w:val="Normale"/>
    <w:locked/>
    <w:rsid w:val="000D2D0B"/>
    <w:pPr>
      <w:spacing w:before="120" w:after="120"/>
      <w:ind w:left="1984"/>
    </w:pPr>
    <w:rPr>
      <w:rFonts w:ascii="Times New Roman" w:hAnsi="Times New Roman"/>
      <w:sz w:val="24"/>
    </w:rPr>
  </w:style>
  <w:style w:type="paragraph" w:customStyle="1" w:styleId="Text4">
    <w:name w:val="Text 4"/>
    <w:basedOn w:val="Normale"/>
    <w:locked/>
    <w:rsid w:val="000D2D0B"/>
    <w:pPr>
      <w:spacing w:before="120" w:after="120"/>
      <w:ind w:left="2551"/>
    </w:pPr>
    <w:rPr>
      <w:rFonts w:ascii="Times New Roman" w:hAnsi="Times New Roman"/>
      <w:sz w:val="24"/>
    </w:rPr>
  </w:style>
  <w:style w:type="paragraph" w:customStyle="1" w:styleId="NormalCentered">
    <w:name w:val="Normal Centered"/>
    <w:basedOn w:val="Normale"/>
    <w:rsid w:val="000D2D0B"/>
    <w:pPr>
      <w:spacing w:before="120" w:after="120"/>
      <w:jc w:val="center"/>
    </w:pPr>
    <w:rPr>
      <w:rFonts w:ascii="Times New Roman" w:hAnsi="Times New Roman"/>
      <w:sz w:val="24"/>
    </w:rPr>
  </w:style>
  <w:style w:type="paragraph" w:customStyle="1" w:styleId="NormalLeft">
    <w:name w:val="Normal Left"/>
    <w:basedOn w:val="Normale"/>
    <w:rsid w:val="000D2D0B"/>
    <w:pPr>
      <w:spacing w:before="120" w:after="120"/>
    </w:pPr>
    <w:rPr>
      <w:rFonts w:ascii="Times New Roman" w:hAnsi="Times New Roman"/>
      <w:sz w:val="24"/>
    </w:rPr>
  </w:style>
  <w:style w:type="paragraph" w:customStyle="1" w:styleId="NormalRight">
    <w:name w:val="Normal Right"/>
    <w:basedOn w:val="Normale"/>
    <w:rsid w:val="000D2D0B"/>
    <w:pPr>
      <w:spacing w:before="120" w:after="120"/>
      <w:jc w:val="right"/>
    </w:pPr>
    <w:rPr>
      <w:rFonts w:ascii="Times New Roman" w:hAnsi="Times New Roman"/>
      <w:sz w:val="24"/>
    </w:rPr>
  </w:style>
  <w:style w:type="paragraph" w:customStyle="1" w:styleId="QuotedText">
    <w:name w:val="Quoted Text"/>
    <w:basedOn w:val="Normale"/>
    <w:locked/>
    <w:rsid w:val="000D2D0B"/>
    <w:pPr>
      <w:spacing w:before="120" w:after="120"/>
      <w:ind w:left="1417"/>
    </w:pPr>
    <w:rPr>
      <w:rFonts w:ascii="Times New Roman" w:hAnsi="Times New Roman"/>
      <w:sz w:val="24"/>
    </w:rPr>
  </w:style>
  <w:style w:type="paragraph" w:customStyle="1" w:styleId="Point0">
    <w:name w:val="Point 0"/>
    <w:basedOn w:val="Normale"/>
    <w:locked/>
    <w:rsid w:val="000D2D0B"/>
    <w:pPr>
      <w:spacing w:before="120" w:after="120"/>
      <w:ind w:left="850" w:hanging="850"/>
    </w:pPr>
    <w:rPr>
      <w:rFonts w:ascii="Times New Roman" w:hAnsi="Times New Roman"/>
      <w:sz w:val="24"/>
    </w:rPr>
  </w:style>
  <w:style w:type="paragraph" w:customStyle="1" w:styleId="Point1">
    <w:name w:val="Point 1"/>
    <w:basedOn w:val="Normale"/>
    <w:locked/>
    <w:rsid w:val="000D2D0B"/>
    <w:pPr>
      <w:spacing w:before="120" w:after="120"/>
      <w:ind w:left="1417" w:hanging="567"/>
    </w:pPr>
    <w:rPr>
      <w:rFonts w:ascii="Times New Roman" w:hAnsi="Times New Roman"/>
      <w:sz w:val="24"/>
    </w:rPr>
  </w:style>
  <w:style w:type="paragraph" w:customStyle="1" w:styleId="Point2">
    <w:name w:val="Point 2"/>
    <w:basedOn w:val="Normale"/>
    <w:locked/>
    <w:rsid w:val="000D2D0B"/>
    <w:pPr>
      <w:spacing w:before="120" w:after="120"/>
      <w:ind w:left="1984" w:hanging="567"/>
    </w:pPr>
    <w:rPr>
      <w:rFonts w:ascii="Times New Roman" w:hAnsi="Times New Roman"/>
      <w:sz w:val="24"/>
    </w:rPr>
  </w:style>
  <w:style w:type="paragraph" w:customStyle="1" w:styleId="Point3">
    <w:name w:val="Point 3"/>
    <w:basedOn w:val="Normale"/>
    <w:locked/>
    <w:rsid w:val="000D2D0B"/>
    <w:pPr>
      <w:spacing w:before="120" w:after="120"/>
      <w:ind w:left="2551" w:hanging="567"/>
    </w:pPr>
    <w:rPr>
      <w:rFonts w:ascii="Times New Roman" w:hAnsi="Times New Roman"/>
      <w:sz w:val="24"/>
    </w:rPr>
  </w:style>
  <w:style w:type="paragraph" w:customStyle="1" w:styleId="Point4">
    <w:name w:val="Point 4"/>
    <w:basedOn w:val="Normale"/>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e"/>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e"/>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e"/>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e"/>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e"/>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e"/>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e"/>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e"/>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e"/>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e"/>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e"/>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e"/>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e"/>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e"/>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e"/>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e"/>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e"/>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e"/>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e"/>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e"/>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e"/>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e"/>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7"/>
      </w:numPr>
      <w:spacing w:before="120" w:after="120"/>
    </w:pPr>
    <w:rPr>
      <w:rFonts w:ascii="Times New Roman" w:hAnsi="Times New Roman"/>
      <w:sz w:val="24"/>
    </w:rPr>
  </w:style>
  <w:style w:type="paragraph" w:customStyle="1" w:styleId="Point1number">
    <w:name w:val="Point 1 (number)"/>
    <w:basedOn w:val="Normale"/>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e"/>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e"/>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e"/>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e"/>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e"/>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e"/>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e"/>
    <w:locked/>
    <w:rsid w:val="000D2D0B"/>
    <w:pPr>
      <w:numPr>
        <w:ilvl w:val="8"/>
        <w:numId w:val="27"/>
      </w:numPr>
      <w:spacing w:before="120" w:after="120"/>
    </w:pPr>
    <w:rPr>
      <w:rFonts w:ascii="Times New Roman" w:hAnsi="Times New Roman"/>
      <w:sz w:val="24"/>
    </w:rPr>
  </w:style>
  <w:style w:type="paragraph" w:customStyle="1" w:styleId="Bullet0">
    <w:name w:val="Bullet 0"/>
    <w:basedOn w:val="Normale"/>
    <w:locked/>
    <w:rsid w:val="000D2D0B"/>
    <w:pPr>
      <w:numPr>
        <w:numId w:val="21"/>
      </w:numPr>
      <w:spacing w:before="120" w:after="120"/>
    </w:pPr>
    <w:rPr>
      <w:rFonts w:ascii="Times New Roman" w:hAnsi="Times New Roman"/>
      <w:sz w:val="24"/>
    </w:rPr>
  </w:style>
  <w:style w:type="paragraph" w:customStyle="1" w:styleId="Bullet1">
    <w:name w:val="Bullet 1"/>
    <w:basedOn w:val="Normale"/>
    <w:locked/>
    <w:rsid w:val="000D2D0B"/>
    <w:pPr>
      <w:numPr>
        <w:numId w:val="22"/>
      </w:numPr>
      <w:spacing w:before="120" w:after="120"/>
    </w:pPr>
    <w:rPr>
      <w:rFonts w:ascii="Times New Roman" w:hAnsi="Times New Roman"/>
      <w:sz w:val="24"/>
    </w:rPr>
  </w:style>
  <w:style w:type="paragraph" w:customStyle="1" w:styleId="Bullet2">
    <w:name w:val="Bullet 2"/>
    <w:basedOn w:val="Normale"/>
    <w:locked/>
    <w:rsid w:val="000D2D0B"/>
    <w:pPr>
      <w:numPr>
        <w:numId w:val="23"/>
      </w:numPr>
      <w:spacing w:before="120" w:after="120"/>
    </w:pPr>
    <w:rPr>
      <w:rFonts w:ascii="Times New Roman" w:hAnsi="Times New Roman"/>
      <w:sz w:val="24"/>
    </w:rPr>
  </w:style>
  <w:style w:type="paragraph" w:customStyle="1" w:styleId="Bullet3">
    <w:name w:val="Bullet 3"/>
    <w:basedOn w:val="Normale"/>
    <w:locked/>
    <w:rsid w:val="000D2D0B"/>
    <w:pPr>
      <w:numPr>
        <w:numId w:val="24"/>
      </w:numPr>
      <w:spacing w:before="120" w:after="120"/>
    </w:pPr>
    <w:rPr>
      <w:rFonts w:ascii="Times New Roman" w:hAnsi="Times New Roman"/>
      <w:sz w:val="24"/>
    </w:rPr>
  </w:style>
  <w:style w:type="paragraph" w:customStyle="1" w:styleId="Bullet4">
    <w:name w:val="Bullet 4"/>
    <w:basedOn w:val="Normale"/>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e"/>
    <w:next w:val="Normale"/>
    <w:locked/>
    <w:rsid w:val="000D2D0B"/>
    <w:pPr>
      <w:keepNext/>
      <w:spacing w:before="480" w:after="120"/>
    </w:pPr>
    <w:rPr>
      <w:rFonts w:ascii="Times New Roman" w:hAnsi="Times New Roman"/>
      <w:sz w:val="24"/>
      <w:u w:val="single"/>
    </w:rPr>
  </w:style>
  <w:style w:type="paragraph" w:customStyle="1" w:styleId="Confidence">
    <w:name w:val="Confidence"/>
    <w:basedOn w:val="Normale"/>
    <w:next w:val="Normale"/>
    <w:locked/>
    <w:rsid w:val="000D2D0B"/>
    <w:pPr>
      <w:spacing w:before="360" w:after="120"/>
      <w:jc w:val="center"/>
    </w:pPr>
    <w:rPr>
      <w:rFonts w:ascii="Times New Roman" w:hAnsi="Times New Roman"/>
      <w:sz w:val="24"/>
    </w:rPr>
  </w:style>
  <w:style w:type="paragraph" w:customStyle="1" w:styleId="Confidentialit">
    <w:name w:val="Confidentialité"/>
    <w:basedOn w:val="Normale"/>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e"/>
    <w:next w:val="Normale"/>
    <w:locked/>
    <w:rsid w:val="000D2D0B"/>
    <w:pPr>
      <w:spacing w:after="240"/>
    </w:pPr>
    <w:rPr>
      <w:rFonts w:ascii="Times New Roman" w:hAnsi="Times New Roman"/>
      <w:sz w:val="24"/>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rPr>
  </w:style>
  <w:style w:type="paragraph" w:customStyle="1" w:styleId="Emission">
    <w:name w:val="Emission"/>
    <w:basedOn w:val="Normale"/>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e"/>
    <w:next w:val="Normale"/>
    <w:locked/>
    <w:rsid w:val="000D2D0B"/>
    <w:pPr>
      <w:keepNext/>
      <w:spacing w:before="600" w:after="120"/>
    </w:pPr>
    <w:rPr>
      <w:rFonts w:ascii="Times New Roman" w:hAnsi="Times New Roman"/>
      <w:sz w:val="24"/>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e"/>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e"/>
    <w:next w:val="Emission"/>
    <w:locked/>
    <w:rsid w:val="000D2D0B"/>
    <w:rPr>
      <w:sz w:val="24"/>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rPr>
  </w:style>
  <w:style w:type="paragraph" w:customStyle="1" w:styleId="Sous-titreobjet">
    <w:name w:val="Sous-titre objet"/>
    <w:basedOn w:val="Normale"/>
    <w:locked/>
    <w:rsid w:val="000D2D0B"/>
    <w:pPr>
      <w:jc w:val="center"/>
    </w:pPr>
    <w:rPr>
      <w:rFonts w:ascii="Times New Roman" w:hAnsi="Times New Roman"/>
      <w:b/>
      <w:sz w:val="24"/>
    </w:rPr>
  </w:style>
  <w:style w:type="paragraph" w:customStyle="1" w:styleId="Statut">
    <w:name w:val="Statut"/>
    <w:basedOn w:val="Normale"/>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e"/>
    <w:next w:val="Normale"/>
    <w:locked/>
    <w:rsid w:val="000D2D0B"/>
    <w:pPr>
      <w:spacing w:before="120" w:after="120"/>
    </w:pPr>
    <w:rPr>
      <w:rFonts w:ascii="Times New Roman" w:hAnsi="Times New Roman"/>
      <w:i/>
      <w:caps/>
      <w:sz w:val="24"/>
    </w:rPr>
  </w:style>
  <w:style w:type="paragraph" w:customStyle="1" w:styleId="Pagedecouverture">
    <w:name w:val="Page de couverture"/>
    <w:basedOn w:val="Normale"/>
    <w:next w:val="Normale"/>
    <w:locked/>
    <w:rsid w:val="000D2D0B"/>
    <w:pPr>
      <w:spacing w:before="120" w:after="120"/>
    </w:pPr>
    <w:rPr>
      <w:rFonts w:ascii="Times New Roman" w:hAnsi="Times New Roman"/>
      <w:sz w:val="24"/>
    </w:rPr>
  </w:style>
  <w:style w:type="paragraph" w:customStyle="1" w:styleId="Supertitre">
    <w:name w:val="Supertitre"/>
    <w:basedOn w:val="Normale"/>
    <w:next w:val="Normale"/>
    <w:locked/>
    <w:rsid w:val="000D2D0B"/>
    <w:pPr>
      <w:spacing w:after="600"/>
      <w:jc w:val="center"/>
    </w:pPr>
    <w:rPr>
      <w:rFonts w:ascii="Times New Roman" w:hAnsi="Times New Roman"/>
      <w:b/>
      <w:sz w:val="24"/>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rPr>
  </w:style>
  <w:style w:type="paragraph" w:customStyle="1" w:styleId="Rfrencecroise">
    <w:name w:val="Référence croisée"/>
    <w:basedOn w:val="Normale"/>
    <w:locked/>
    <w:rsid w:val="000D2D0B"/>
    <w:pPr>
      <w:jc w:val="center"/>
    </w:pPr>
    <w:rPr>
      <w:rFonts w:ascii="Times New Roman" w:hAnsi="Times New Roman"/>
      <w:sz w:val="24"/>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rPr>
  </w:style>
  <w:style w:type="paragraph" w:styleId="Numeroelenco2">
    <w:name w:val="List Number 2"/>
    <w:basedOn w:val="Normale"/>
    <w:locked/>
    <w:rsid w:val="000D2D0B"/>
    <w:pPr>
      <w:tabs>
        <w:tab w:val="num" w:pos="643"/>
      </w:tabs>
      <w:spacing w:before="120" w:after="120"/>
      <w:ind w:left="643" w:hanging="360"/>
    </w:pPr>
    <w:rPr>
      <w:rFonts w:ascii="Times New Roman" w:hAnsi="Times New Roman"/>
      <w:sz w:val="24"/>
    </w:rPr>
  </w:style>
  <w:style w:type="paragraph" w:styleId="Numeroelenco3">
    <w:name w:val="List Number 3"/>
    <w:basedOn w:val="Normale"/>
    <w:locked/>
    <w:rsid w:val="000D2D0B"/>
    <w:pPr>
      <w:tabs>
        <w:tab w:val="num" w:pos="926"/>
      </w:tabs>
      <w:spacing w:before="120" w:after="120"/>
      <w:ind w:left="926" w:hanging="360"/>
    </w:pPr>
    <w:rPr>
      <w:rFonts w:ascii="Times New Roman" w:hAnsi="Times New Roman"/>
      <w:sz w:val="24"/>
    </w:rPr>
  </w:style>
  <w:style w:type="paragraph" w:styleId="Numeroelenco4">
    <w:name w:val="List Number 4"/>
    <w:basedOn w:val="Normale"/>
    <w:locked/>
    <w:rsid w:val="000D2D0B"/>
    <w:pPr>
      <w:tabs>
        <w:tab w:val="num" w:pos="1209"/>
        <w:tab w:val="num" w:pos="1417"/>
      </w:tabs>
      <w:spacing w:before="120" w:after="120"/>
      <w:ind w:left="1209" w:hanging="360"/>
    </w:pPr>
    <w:rPr>
      <w:rFonts w:ascii="Times New Roman" w:hAnsi="Times New Roman"/>
      <w:sz w:val="24"/>
    </w:rPr>
  </w:style>
  <w:style w:type="paragraph" w:styleId="Puntoelenco">
    <w:name w:val="List Bullet"/>
    <w:basedOn w:val="Normale"/>
    <w:locked/>
    <w:rsid w:val="000D2D0B"/>
    <w:pPr>
      <w:numPr>
        <w:numId w:val="13"/>
      </w:numPr>
      <w:tabs>
        <w:tab w:val="num" w:pos="360"/>
      </w:tabs>
      <w:spacing w:before="120" w:after="120"/>
      <w:ind w:left="360" w:hanging="360"/>
    </w:pPr>
    <w:rPr>
      <w:rFonts w:ascii="Times New Roman" w:hAnsi="Times New Roman"/>
      <w:sz w:val="24"/>
    </w:rPr>
  </w:style>
  <w:style w:type="paragraph" w:styleId="Puntoelenco2">
    <w:name w:val="List Bullet 2"/>
    <w:basedOn w:val="Normale"/>
    <w:locked/>
    <w:rsid w:val="000D2D0B"/>
    <w:pPr>
      <w:tabs>
        <w:tab w:val="num" w:pos="643"/>
        <w:tab w:val="num" w:pos="851"/>
      </w:tabs>
      <w:spacing w:before="120" w:after="120"/>
      <w:ind w:left="643" w:hanging="360"/>
    </w:pPr>
    <w:rPr>
      <w:rFonts w:ascii="Times New Roman" w:hAnsi="Times New Roman"/>
      <w:sz w:val="24"/>
    </w:rPr>
  </w:style>
  <w:style w:type="paragraph" w:styleId="Puntoelenco3">
    <w:name w:val="List Bullet 3"/>
    <w:basedOn w:val="Normale"/>
    <w:locked/>
    <w:rsid w:val="000D2D0B"/>
    <w:pPr>
      <w:numPr>
        <w:numId w:val="15"/>
      </w:numPr>
      <w:tabs>
        <w:tab w:val="num" w:pos="926"/>
      </w:tabs>
      <w:spacing w:before="120" w:after="120"/>
      <w:ind w:left="926"/>
    </w:pPr>
    <w:rPr>
      <w:rFonts w:ascii="Times New Roman" w:hAnsi="Times New Roman"/>
      <w:sz w:val="24"/>
    </w:rPr>
  </w:style>
  <w:style w:type="paragraph" w:styleId="Puntoelenco4">
    <w:name w:val="List Bullet 4"/>
    <w:basedOn w:val="Normale"/>
    <w:locked/>
    <w:rsid w:val="000D2D0B"/>
    <w:pPr>
      <w:numPr>
        <w:numId w:val="16"/>
      </w:numPr>
      <w:tabs>
        <w:tab w:val="num" w:pos="1209"/>
      </w:tabs>
      <w:spacing w:before="120" w:after="120"/>
      <w:ind w:left="1209"/>
    </w:pPr>
    <w:rPr>
      <w:rFonts w:ascii="Times New Roman" w:hAnsi="Times New Roman"/>
      <w:sz w:val="24"/>
    </w:rPr>
  </w:style>
  <w:style w:type="paragraph" w:styleId="Indicedellefigure">
    <w:name w:val="table of figures"/>
    <w:basedOn w:val="Normale"/>
    <w:next w:val="Normale"/>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pPr>
    <w:rPr>
      <w:rFonts w:ascii="Myriad Pro Light" w:hAnsi="Myriad Pro Light"/>
      <w:b/>
      <w:sz w:val="21"/>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ind w:left="284" w:hanging="284"/>
    </w:p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e"/>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e"/>
    <w:locked/>
    <w:rsid w:val="003A6E9A"/>
    <w:pPr>
      <w:keepNext/>
      <w:numPr>
        <w:numId w:val="29"/>
      </w:numPr>
      <w:spacing w:before="240"/>
      <w:outlineLvl w:val="0"/>
    </w:pPr>
    <w:rPr>
      <w:b/>
      <w:bCs/>
      <w:kern w:val="32"/>
      <w:sz w:val="28"/>
      <w:szCs w:val="28"/>
    </w:rPr>
  </w:style>
  <w:style w:type="paragraph" w:customStyle="1" w:styleId="NEW-Level1">
    <w:name w:val="NEW-Level1"/>
    <w:basedOn w:val="Normale"/>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e"/>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e"/>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e"/>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1"/>
      </w:numPr>
      <w:spacing w:before="250"/>
    </w:pPr>
    <w:rPr>
      <w:rFonts w:cstheme="minorBidi"/>
      <w:b/>
    </w:rPr>
  </w:style>
  <w:style w:type="character" w:customStyle="1" w:styleId="CPQuestionsChar">
    <w:name w:val="CP_Questions Char"/>
    <w:basedOn w:val="Carpredefinitoparagrafo"/>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Titolo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e"/>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e"/>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e"/>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e"/>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e"/>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e"/>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e"/>
    <w:next w:val="Normale"/>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Carpredefinitoparagrafo"/>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Enfasigrassetto"/>
    <w:uiPriority w:val="1"/>
    <w:qFormat/>
    <w:rsid w:val="00F87468"/>
    <w:rPr>
      <w:b w:val="0"/>
      <w:bCs/>
      <w:caps/>
      <w:smallCaps w:val="0"/>
      <w:color w:val="F79646" w:themeColor="accent6"/>
      <w:sz w:val="22"/>
    </w:rPr>
  </w:style>
  <w:style w:type="paragraph" w:styleId="Sottotitolo">
    <w:name w:val="Subtitle"/>
    <w:basedOn w:val="Normale"/>
    <w:next w:val="Normale"/>
    <w:link w:val="SottotitoloCarattere"/>
    <w:uiPriority w:val="11"/>
    <w:qFormat/>
    <w:locked/>
    <w:rsid w:val="00E70E2E"/>
    <w:pPr>
      <w:numPr>
        <w:ilvl w:val="1"/>
      </w:numPr>
    </w:pPr>
    <w:rPr>
      <w:rFonts w:eastAsiaTheme="majorEastAsia"/>
      <w:b/>
      <w:bCs/>
      <w:sz w:val="28"/>
    </w:rPr>
  </w:style>
  <w:style w:type="character" w:customStyle="1" w:styleId="SottotitoloCarattere">
    <w:name w:val="Sottotitolo Carattere"/>
    <w:basedOn w:val="Carpredefinitoparagrafo"/>
    <w:link w:val="Sottotitolo"/>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e"/>
    <w:link w:val="HeaderFootChar"/>
    <w:qFormat/>
    <w:rsid w:val="00F716D4"/>
    <w:pPr>
      <w:spacing w:after="0"/>
      <w:jc w:val="right"/>
    </w:pPr>
    <w:rPr>
      <w:color w:val="001B4F"/>
      <w:sz w:val="16"/>
      <w:szCs w:val="16"/>
    </w:rPr>
  </w:style>
  <w:style w:type="character" w:styleId="Menzionenonrisolta">
    <w:name w:val="Unresolved Mention"/>
    <w:basedOn w:val="Carpredefinitoparagrafo"/>
    <w:uiPriority w:val="99"/>
    <w:semiHidden/>
    <w:unhideWhenUsed/>
    <w:rsid w:val="0034374F"/>
    <w:rPr>
      <w:color w:val="605E5C"/>
      <w:shd w:val="clear" w:color="auto" w:fill="E1DFDD"/>
    </w:rPr>
  </w:style>
  <w:style w:type="character" w:customStyle="1" w:styleId="HeaderFootChar">
    <w:name w:val="HeaderFoot Char"/>
    <w:basedOn w:val="Carpredefinitoparagrafo"/>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e"/>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Carpredefinitoparagrafo"/>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Carpredefinitoparagrafo"/>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1fb430719e565b9939d75d06f8491fe9">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522ac47a3cba7e59d9776d6cff6ca173"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329</Value>
      <Value>308</Value>
    </TaxCatchAll>
    <_dlc_DocId xmlns="d0fb0f98-34f9-4d57-9559-eb8efd17aa5e">ESMA12-2121844265-4735</_dlc_DocId>
    <_dlc_DocIdUrl xmlns="d0fb0f98-34f9-4d57-9559-eb8efd17aa5e">
      <Url>https://securitiesandmarketsauth.sharepoint.com/sites/sherpa-daru/_layouts/15/DocIdRedir.aspx?ID=ESMA12-2121844265-4735</Url>
      <Description>ESMA12-2121844265-4735</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IconOverlay xmlns="http://schemas.microsoft.com/sharepoint/v4" xsi:nil="true"/>
    <a9b3b1dad23b4ba58c3f3e36a96e1d9c xmlns="d0fb0f98-34f9-4d57-9559-eb8efd17aa5e">
      <Terms xmlns="http://schemas.microsoft.com/office/infopath/2007/PartnerControls"/>
    </a9b3b1dad23b4ba58c3f3e36a96e1d9c>
    <adfed02cb80f4453940112edc610ae0b xmlns="d0fb0f98-34f9-4d57-9559-eb8efd17aa5e">
      <Terms xmlns="http://schemas.microsoft.com/office/infopath/2007/PartnerControls"/>
    </adfed02cb80f4453940112edc610ae0b>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caa5aeb1a6644849b60fbe2335e12657>
  </documentManagement>
</p:properties>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8B4B120F-6890-4473-8CAA-A6D1DAB8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6f12cd6b-8b2a-4dd7-980a-cc1ae6d6393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3441</Words>
  <Characters>19615</Characters>
  <Application>Microsoft Office Word</Application>
  <DocSecurity>8</DocSecurity>
  <Lines>163</Lines>
  <Paragraphs>46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Reply form for the MiFID II/MiFIR Consultation Paper</vt:lpstr>
      <vt:lpstr>Reply form for the MiFID II/MiFIR Consultation Paper</vt:lpstr>
    </vt:vector>
  </TitlesOfParts>
  <Company>ESMA</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Greco Giorgia</cp:lastModifiedBy>
  <cp:revision>9</cp:revision>
  <cp:lastPrinted>2015-02-18T20:01:00Z</cp:lastPrinted>
  <dcterms:created xsi:type="dcterms:W3CDTF">2025-03-28T13:51:00Z</dcterms:created>
  <dcterms:modified xsi:type="dcterms:W3CDTF">2025-03-28T13:58:00Z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9fbf1900-88f3-4d47-bf2f-454eb0bc862f</vt:lpwstr>
  </property>
  <property fmtid="{D5CDD505-2E9C-101B-9397-08002B2CF9AE}" pid="4" name="TeamName">
    <vt:lpwstr>10;#CCP|cfa1e806-4441-4d82-a168-2bc2f7f5a273</vt:lpwstr>
  </property>
  <property fmtid="{D5CDD505-2E9C-101B-9397-08002B2CF9AE}" pid="5" name="Topic">
    <vt:lpwstr>308</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