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ous-titr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ous-titr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phedeliste"/>
        <w:numPr>
          <w:ilvl w:val="0"/>
          <w:numId w:val="35"/>
        </w:numPr>
        <w:contextualSpacing w:val="0"/>
      </w:pPr>
      <w:r w:rsidRPr="005B6B12">
        <w:t>respond to the question stated;</w:t>
      </w:r>
    </w:p>
    <w:p w14:paraId="73161343" w14:textId="77777777" w:rsidR="00E70E2E" w:rsidRPr="005B6B12" w:rsidRDefault="00E70E2E" w:rsidP="00E43387">
      <w:pPr>
        <w:pStyle w:val="Paragraphedelist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phedeliste"/>
        <w:numPr>
          <w:ilvl w:val="0"/>
          <w:numId w:val="35"/>
        </w:numPr>
        <w:contextualSpacing w:val="0"/>
      </w:pPr>
      <w:r w:rsidRPr="005B6B12">
        <w:t>contain a clear rationale; and</w:t>
      </w:r>
    </w:p>
    <w:p w14:paraId="30D73002" w14:textId="77777777" w:rsidR="00E70E2E" w:rsidRPr="005B6B12" w:rsidRDefault="00E70E2E" w:rsidP="00E43387">
      <w:pPr>
        <w:pStyle w:val="Paragraphedeliste"/>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phedelist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Paragraphedeliste"/>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phedeliste"/>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Paragraphedelist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Paragraphedelist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Paragraphedelist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Lienhypertext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Lienhypertext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Lienhypertexte"/>
        </w:rPr>
        <w:t>‘</w:t>
      </w:r>
      <w:hyperlink r:id="rId18" w:history="1">
        <w:r>
          <w:rPr>
            <w:rStyle w:val="Lienhypertexte"/>
          </w:rPr>
          <w:t>Data protection</w:t>
        </w:r>
      </w:hyperlink>
      <w:r>
        <w:rPr>
          <w:rStyle w:val="Lienhypertext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re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xtedelespacerserv"/>
            </w:rPr>
            <w:id w:val="651570699"/>
            <w:text/>
          </w:sdtPr>
          <w:sdtEndPr>
            <w:rPr>
              <w:rStyle w:val="Textedelespacerserv"/>
            </w:rPr>
          </w:sdtEndPr>
          <w:sdtContent>
            <w:tc>
              <w:tcPr>
                <w:tcW w:w="5595" w:type="dxa"/>
                <w:shd w:val="clear" w:color="auto" w:fill="auto"/>
                <w:vAlign w:val="center"/>
              </w:tcPr>
              <w:p w14:paraId="633DB1B6" w14:textId="1FB44E51" w:rsidR="00C2682A" w:rsidRPr="00104E00" w:rsidRDefault="004F6FDB" w:rsidP="00104E00">
                <w:pPr>
                  <w:jc w:val="left"/>
                  <w:rPr>
                    <w:rStyle w:val="Textedelespacerserv"/>
                  </w:rPr>
                </w:pPr>
                <w:r>
                  <w:rPr>
                    <w:rStyle w:val="Textedelespacerserv"/>
                  </w:rPr>
                  <w:t>AFEP</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1A2AD8B" w:rsidR="00C2682A" w:rsidRPr="00104E00" w:rsidRDefault="002676FC"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71F5D">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7EB13FFA" w:rsidR="00C2682A" w:rsidRPr="00104E00" w:rsidRDefault="00C71F5D"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CCF5798" w:rsidR="00C2682A" w:rsidRPr="00104E00" w:rsidRDefault="00C71F5D" w:rsidP="00104E00">
                <w:pPr>
                  <w:jc w:val="left"/>
                </w:pPr>
                <w:r>
                  <w:t>France</w:t>
                </w:r>
              </w:p>
            </w:tc>
          </w:sdtContent>
        </w:sdt>
      </w:tr>
      <w:permEnd w:id="1727412903"/>
    </w:tbl>
    <w:p w14:paraId="398E9C9E" w14:textId="10C9CC3D" w:rsidR="00C2682A" w:rsidRDefault="00C2682A" w:rsidP="00F716D4"/>
    <w:p w14:paraId="7F986E69" w14:textId="77777777" w:rsidR="00FA4100" w:rsidRDefault="00BB1973" w:rsidP="00FA4100">
      <w:pPr>
        <w:pStyle w:val="Titre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537716F7" w14:textId="7CA94AEF" w:rsidR="00382821" w:rsidRDefault="00F063EA" w:rsidP="00382821">
      <w:pPr>
        <w:rPr>
          <w:rFonts w:ascii="Lato Light" w:hAnsi="Lato Light" w:cstheme="majorBidi"/>
          <w:color w:val="auto"/>
          <w:sz w:val="20"/>
        </w:rPr>
      </w:pPr>
      <w:permStart w:id="2017003256" w:edGrp="everyone"/>
      <w:r w:rsidRPr="00F063EA">
        <w:rPr>
          <w:color w:val="auto"/>
          <w:sz w:val="24"/>
          <w:szCs w:val="24"/>
        </w:rPr>
        <w:t>AFEP</w:t>
      </w:r>
      <w:r>
        <w:rPr>
          <w:color w:val="auto"/>
          <w:sz w:val="24"/>
          <w:szCs w:val="24"/>
        </w:rPr>
        <w:t>, the French Association of Large Companies,</w:t>
      </w:r>
      <w:r w:rsidRPr="00F063EA">
        <w:rPr>
          <w:color w:val="auto"/>
          <w:sz w:val="24"/>
          <w:szCs w:val="24"/>
        </w:rPr>
        <w:t xml:space="preserve"> brings together large companies operating in France. The Association, based in Paris and Brussels, aims to foster a business-friendly environment and to present the company members’ vision to French public authorities, European institutions and international organisations. AFEP has 117 members</w:t>
      </w:r>
      <w:r>
        <w:rPr>
          <w:color w:val="auto"/>
          <w:sz w:val="24"/>
          <w:szCs w:val="24"/>
        </w:rPr>
        <w:t xml:space="preserve">, including </w:t>
      </w:r>
      <w:r w:rsidR="0079748D">
        <w:rPr>
          <w:color w:val="auto"/>
          <w:sz w:val="24"/>
          <w:szCs w:val="24"/>
        </w:rPr>
        <w:t>the largest French banks,</w:t>
      </w:r>
      <w:r w:rsidRPr="00F063EA">
        <w:rPr>
          <w:color w:val="auto"/>
          <w:sz w:val="24"/>
          <w:szCs w:val="24"/>
        </w:rPr>
        <w:t xml:space="preserve"> and represents one-third of Europe’s 60 largest companies.</w:t>
      </w:r>
    </w:p>
    <w:p w14:paraId="185F304C" w14:textId="25958EA4" w:rsidR="0054683E" w:rsidRPr="0054683E" w:rsidRDefault="0054683E" w:rsidP="00382821">
      <w:pPr>
        <w:rPr>
          <w:sz w:val="24"/>
          <w:szCs w:val="24"/>
        </w:rPr>
      </w:pPr>
      <w:r w:rsidRPr="0054683E">
        <w:rPr>
          <w:color w:val="171717"/>
          <w:sz w:val="24"/>
          <w:szCs w:val="24"/>
          <w:lang w:val="en-US"/>
        </w:rPr>
        <w:t xml:space="preserve">AFEP members </w:t>
      </w:r>
      <w:r w:rsidRPr="0054683E">
        <w:rPr>
          <w:color w:val="171717"/>
          <w:sz w:val="24"/>
          <w:szCs w:val="24"/>
          <w:lang w:val="en-US"/>
        </w:rPr>
        <w:t>agree with ESMA’s proposed approach to simplify the transparency requirements for private securitization transactions</w:t>
      </w:r>
      <w:r w:rsidRPr="0054683E">
        <w:rPr>
          <w:color w:val="171717"/>
          <w:sz w:val="24"/>
          <w:szCs w:val="24"/>
          <w:lang w:val="en-US"/>
        </w:rPr>
        <w:t>.</w:t>
      </w:r>
      <w:r w:rsidR="00DE663E" w:rsidRPr="00DE663E">
        <w:rPr>
          <w:color w:val="171717"/>
          <w:sz w:val="18"/>
          <w:szCs w:val="18"/>
          <w:highlight w:val="yellow"/>
          <w:lang w:val="en-US"/>
        </w:rPr>
        <w:t xml:space="preserve"> </w:t>
      </w:r>
      <w:r w:rsidR="00DE663E" w:rsidRPr="00DE663E">
        <w:rPr>
          <w:color w:val="171717"/>
          <w:sz w:val="24"/>
          <w:szCs w:val="24"/>
          <w:highlight w:val="yellow"/>
          <w:lang w:val="en-US"/>
        </w:rPr>
        <w:t xml:space="preserve">AFEP </w:t>
      </w:r>
      <w:r w:rsidR="00DE663E">
        <w:rPr>
          <w:color w:val="171717"/>
          <w:sz w:val="24"/>
          <w:szCs w:val="24"/>
          <w:highlight w:val="yellow"/>
          <w:lang w:val="en-US"/>
        </w:rPr>
        <w:t xml:space="preserve">supports the </w:t>
      </w:r>
      <w:r w:rsidR="002676FC">
        <w:rPr>
          <w:color w:val="171717"/>
          <w:sz w:val="24"/>
          <w:szCs w:val="24"/>
          <w:highlight w:val="yellow"/>
          <w:lang w:val="en-US"/>
        </w:rPr>
        <w:t xml:space="preserve">contribution </w:t>
      </w:r>
      <w:r w:rsidR="00607EAF">
        <w:rPr>
          <w:color w:val="171717"/>
          <w:sz w:val="24"/>
          <w:szCs w:val="24"/>
          <w:highlight w:val="yellow"/>
          <w:lang w:val="en-US"/>
        </w:rPr>
        <w:t xml:space="preserve">of the French Banking Federation </w:t>
      </w:r>
      <w:r w:rsidR="002676FC">
        <w:rPr>
          <w:color w:val="171717"/>
          <w:sz w:val="24"/>
          <w:szCs w:val="24"/>
          <w:highlight w:val="yellow"/>
          <w:lang w:val="en-US"/>
        </w:rPr>
        <w:t xml:space="preserve">to this consultation </w:t>
      </w:r>
      <w:r w:rsidR="00607EAF">
        <w:rPr>
          <w:color w:val="171717"/>
          <w:sz w:val="24"/>
          <w:szCs w:val="24"/>
          <w:highlight w:val="yellow"/>
          <w:lang w:val="en-US"/>
        </w:rPr>
        <w:t>and, a</w:t>
      </w:r>
      <w:r w:rsidR="00DE663E" w:rsidRPr="00DE663E">
        <w:rPr>
          <w:color w:val="171717"/>
          <w:sz w:val="24"/>
          <w:szCs w:val="24"/>
          <w:highlight w:val="yellow"/>
          <w:lang w:val="en-US"/>
        </w:rPr>
        <w:t>s regards</w:t>
      </w:r>
      <w:r w:rsidR="00607EAF">
        <w:rPr>
          <w:color w:val="171717"/>
          <w:sz w:val="24"/>
          <w:szCs w:val="24"/>
          <w:highlight w:val="yellow"/>
          <w:lang w:val="en-US"/>
        </w:rPr>
        <w:t xml:space="preserve"> specifically</w:t>
      </w:r>
      <w:r w:rsidR="00DE663E" w:rsidRPr="00DE663E">
        <w:rPr>
          <w:color w:val="171717"/>
          <w:sz w:val="24"/>
          <w:szCs w:val="24"/>
          <w:highlight w:val="yellow"/>
          <w:lang w:val="en-US"/>
        </w:rPr>
        <w:t xml:space="preserve"> the new templates put forward by ESMA, </w:t>
      </w:r>
      <w:r w:rsidR="00DE663E" w:rsidRPr="00DE663E">
        <w:rPr>
          <w:color w:val="171717"/>
          <w:sz w:val="24"/>
          <w:szCs w:val="24"/>
          <w:highlight w:val="yellow"/>
          <w:lang w:val="en-US"/>
        </w:rPr>
        <w:t>consider</w:t>
      </w:r>
      <w:r w:rsidR="002676FC">
        <w:rPr>
          <w:color w:val="171717"/>
          <w:sz w:val="24"/>
          <w:szCs w:val="24"/>
          <w:highlight w:val="yellow"/>
          <w:lang w:val="en-US"/>
        </w:rPr>
        <w:t>s</w:t>
      </w:r>
      <w:r w:rsidR="00DE663E" w:rsidRPr="00DE663E">
        <w:rPr>
          <w:color w:val="171717"/>
          <w:sz w:val="24"/>
          <w:szCs w:val="24"/>
          <w:highlight w:val="yellow"/>
          <w:lang w:val="en-US"/>
        </w:rPr>
        <w:t xml:space="preserve"> that the current templates for ABCP programs which should remain unchanged</w:t>
      </w:r>
      <w:r w:rsidR="00DE663E">
        <w:rPr>
          <w:color w:val="171717"/>
          <w:sz w:val="24"/>
          <w:szCs w:val="24"/>
          <w:lang w:val="en-US"/>
        </w:rPr>
        <w:t>.</w:t>
      </w:r>
    </w:p>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 xml:space="preserve">Do you agree with the proposed scope of application, which requires all of the originators, sponsors, original lenders and SSPEs to be established in the Union? Alternatively, do you see any merit in applying the new template when at least the </w:t>
      </w:r>
      <w:r>
        <w:lastRenderedPageBreak/>
        <w:t>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142776C0" w14:textId="77777777" w:rsidR="00CF7E41" w:rsidRPr="00CF7E41" w:rsidRDefault="00CF7E41" w:rsidP="00CF7E41">
      <w:pPr>
        <w:rPr>
          <w:color w:val="171717"/>
          <w:sz w:val="24"/>
          <w:szCs w:val="24"/>
          <w:lang w:val="en-US"/>
        </w:rPr>
      </w:pPr>
      <w:permStart w:id="1754429413" w:edGrp="everyone"/>
      <w:r w:rsidRPr="00CF7E41">
        <w:rPr>
          <w:color w:val="171717"/>
          <w:sz w:val="24"/>
          <w:szCs w:val="24"/>
          <w:lang w:val="en-US"/>
        </w:rPr>
        <w:t xml:space="preserve">No, we disagree with the proposed scope of application and consider that the originators, sponsors, original lenders and SPPEs should not be required to be </w:t>
      </w:r>
      <w:r w:rsidRPr="00CF7E41">
        <w:rPr>
          <w:color w:val="171717"/>
          <w:sz w:val="24"/>
          <w:szCs w:val="24"/>
          <w:u w:val="single"/>
          <w:lang w:val="en-US"/>
        </w:rPr>
        <w:t>all</w:t>
      </w:r>
      <w:r w:rsidRPr="00CF7E41">
        <w:rPr>
          <w:color w:val="171717"/>
          <w:sz w:val="24"/>
          <w:szCs w:val="24"/>
          <w:lang w:val="en-US"/>
        </w:rPr>
        <w:t xml:space="preserve"> established in the Union </w:t>
      </w:r>
      <w:proofErr w:type="gramStart"/>
      <w:r w:rsidRPr="00CF7E41">
        <w:rPr>
          <w:color w:val="171717"/>
          <w:sz w:val="24"/>
          <w:szCs w:val="24"/>
          <w:lang w:val="en-US"/>
        </w:rPr>
        <w:t>in order to</w:t>
      </w:r>
      <w:proofErr w:type="gramEnd"/>
      <w:r w:rsidRPr="00CF7E41">
        <w:rPr>
          <w:color w:val="171717"/>
          <w:sz w:val="24"/>
          <w:szCs w:val="24"/>
          <w:lang w:val="en-US"/>
        </w:rPr>
        <w:t xml:space="preserve"> benefit from the simplified regime.</w:t>
      </w:r>
    </w:p>
    <w:p w14:paraId="6D712B7B" w14:textId="6A597F39" w:rsidR="00382821" w:rsidRPr="00CF7E41" w:rsidRDefault="00CF7E41" w:rsidP="00CF7E41">
      <w:pPr>
        <w:rPr>
          <w:sz w:val="24"/>
          <w:szCs w:val="24"/>
        </w:rPr>
      </w:pPr>
      <w:r w:rsidRPr="00CF7E41">
        <w:rPr>
          <w:color w:val="171717"/>
          <w:sz w:val="24"/>
          <w:szCs w:val="24"/>
        </w:rPr>
        <w:t xml:space="preserve">As explained in the consultation paper, ESMA’s approach acknowledges that investors and potential investors in private securitisations rely on alternative methods to obtain the necessary information for their due diligence. They don’t need prescribed disclosure templates compared to investors in public transactions. This rationale is valid whether the securitisation transaction involves EU or non-EU parties. </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48881E69" w:rsidR="00382821" w:rsidRPr="008752E7" w:rsidRDefault="008752E7" w:rsidP="00382821">
      <w:pPr>
        <w:rPr>
          <w:sz w:val="24"/>
          <w:szCs w:val="24"/>
        </w:rPr>
      </w:pPr>
      <w:permStart w:id="627771789" w:edGrp="everyone"/>
      <w:r w:rsidRPr="008752E7">
        <w:rPr>
          <w:color w:val="171717"/>
          <w:sz w:val="24"/>
          <w:szCs w:val="24"/>
          <w:lang w:val="en-US"/>
        </w:rPr>
        <w:t xml:space="preserve">Yes, we agree with ESMA’s proposal to allow the simplified template to be made available in a CSV format or an Excel format. </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666BB6D6" w14:textId="77777777" w:rsidR="00382821" w:rsidRDefault="00382821" w:rsidP="00382821">
      <w:permStart w:id="1527854352" w:edGrp="everyone"/>
      <w:r>
        <w:t>TYPE YOUR TEXT HERE</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w:t>
      </w:r>
      <w:r>
        <w:lastRenderedPageBreak/>
        <w:t xml:space="preserve">changes to the template’s structure and provide the rationale for your proposed modifications. </w:t>
      </w:r>
    </w:p>
    <w:p w14:paraId="776F7CE4" w14:textId="77777777" w:rsidR="00382821" w:rsidRDefault="00382821" w:rsidP="00382821">
      <w:r>
        <w:t>&lt;ESMA_QUESTION_PRSE_5&gt;</w:t>
      </w:r>
    </w:p>
    <w:p w14:paraId="0B1729C6" w14:textId="77777777" w:rsidR="00382821" w:rsidRDefault="00382821" w:rsidP="00382821">
      <w:permStart w:id="1515414980" w:edGrp="everyone"/>
      <w:r>
        <w:t>TYPE YOUR TEXT HERE</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77777777" w:rsidR="00382821" w:rsidRDefault="00382821" w:rsidP="00382821">
      <w:permStart w:id="85485728" w:edGrp="everyone"/>
      <w:r>
        <w:t>TYPE YOUR TEXT HERE</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7DCC3755" w14:textId="77777777" w:rsidR="00382821" w:rsidRDefault="00382821" w:rsidP="00382821">
      <w:permStart w:id="493294650" w:edGrp="everyone"/>
      <w:r>
        <w:t>TYPE YOUR TEXT HERE</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A32ACCD" w14:textId="77777777" w:rsidR="00382821" w:rsidRDefault="00382821" w:rsidP="00382821">
      <w:permStart w:id="1676095566" w:edGrp="everyone"/>
      <w:r>
        <w:t>TYPE YOUR TEXT HERE</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5E697F8C" w14:textId="77777777" w:rsidR="00382821" w:rsidRDefault="00382821" w:rsidP="00382821">
      <w:permStart w:id="466252494" w:edGrp="everyone"/>
      <w:r>
        <w:lastRenderedPageBreak/>
        <w:t>TYPE YOUR TEXT HERE</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5DCB3494" w14:textId="77777777" w:rsidR="00382821" w:rsidRDefault="00382821" w:rsidP="00382821">
      <w:permStart w:id="694893472" w:edGrp="everyone"/>
      <w:r>
        <w:t>TYPE YOUR TEXT HERE</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1FDD2135" w14:textId="77777777" w:rsidR="00EB1614" w:rsidRPr="00EB1614" w:rsidRDefault="00EB1614" w:rsidP="00EB1614">
      <w:pPr>
        <w:rPr>
          <w:color w:val="171717"/>
          <w:sz w:val="24"/>
          <w:szCs w:val="24"/>
          <w:u w:val="single"/>
          <w:lang w:val="en-US"/>
        </w:rPr>
      </w:pPr>
      <w:permStart w:id="139862057" w:edGrp="everyone"/>
      <w:r w:rsidRPr="00EB1614">
        <w:rPr>
          <w:color w:val="171717"/>
          <w:sz w:val="24"/>
          <w:szCs w:val="24"/>
          <w:lang w:val="en-US"/>
        </w:rPr>
        <w:t>Yes, we support maintaining the current approach for ABCP transactions (i.e. continue to fill in Annexes 11 and 13) or at least allowing the use of these existing templates instead of the new Annex 16.</w:t>
      </w:r>
    </w:p>
    <w:p w14:paraId="3465C9E6" w14:textId="1CD3BC56" w:rsidR="00382821" w:rsidRPr="00EB1614" w:rsidRDefault="00EB1614" w:rsidP="00EB1614">
      <w:pPr>
        <w:rPr>
          <w:sz w:val="24"/>
          <w:szCs w:val="24"/>
        </w:rPr>
      </w:pPr>
      <w:r w:rsidRPr="00EB1614">
        <w:rPr>
          <w:color w:val="171717"/>
          <w:sz w:val="24"/>
          <w:szCs w:val="24"/>
          <w:lang w:val="en-US"/>
        </w:rPr>
        <w:t>The current reporting templates for ABCP do not raise specific issues and are adequate. There is no need in our view to incur new IT development costs for an exclusive use of the new annex.</w:t>
      </w:r>
    </w:p>
    <w:permEnd w:id="139862057"/>
    <w:p w14:paraId="3FFF520C" w14:textId="77777777"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77777777" w:rsidR="00382821" w:rsidRDefault="00382821" w:rsidP="00382821">
      <w:permStart w:id="1666673179" w:edGrp="everyone"/>
      <w:r>
        <w:t>TYPE YOUR TEXT HERE</w:t>
      </w:r>
    </w:p>
    <w:permEnd w:id="1666673179"/>
    <w:p w14:paraId="16ABF3F0" w14:textId="77777777"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lastRenderedPageBreak/>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6862286B" w14:textId="77777777" w:rsidR="00382821" w:rsidRDefault="00382821" w:rsidP="00382821">
      <w:permStart w:id="1902596544" w:edGrp="everyone"/>
      <w:r>
        <w:t>TYPE YOUR TEXT HERE</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7F4EC3F2" w14:textId="77777777" w:rsidR="00382821" w:rsidRDefault="00382821" w:rsidP="00382821">
      <w:permStart w:id="1588479142" w:edGrp="everyone"/>
      <w:r>
        <w:t>TYPE YOUR TEXT HERE</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790EDA91" w14:textId="77777777" w:rsidR="00382821" w:rsidRDefault="00382821" w:rsidP="00382821">
      <w:permStart w:id="2008383309" w:edGrp="everyone"/>
      <w:r>
        <w:t>TYPE YOUR TEXT HERE</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9A6C73B" w14:textId="77777777" w:rsidR="00382821" w:rsidRDefault="00382821" w:rsidP="00382821">
      <w:permStart w:id="242687765" w:edGrp="everyone"/>
      <w:r>
        <w:t>TYPE YOUR TEXT HERE</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2F73C373" w14:textId="77777777" w:rsidR="00382821" w:rsidRDefault="00382821" w:rsidP="00382821">
      <w:permStart w:id="1498686568" w:edGrp="everyone"/>
      <w:r>
        <w:t>TYPE YOUR TEXT HERE</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77777777" w:rsidR="00382821" w:rsidRDefault="00382821" w:rsidP="00382821">
      <w:permStart w:id="1730950196" w:edGrp="everyone"/>
      <w:r>
        <w:t>TYPE YOUR TEXT HERE</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3D54C0E" w14:textId="77777777" w:rsidR="00382821" w:rsidRDefault="00382821" w:rsidP="00382821">
      <w:permStart w:id="1883986982" w:edGrp="everyone"/>
      <w:r>
        <w:t>TYPE YOUR TEXT HERE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2CFC2023" w14:textId="77777777" w:rsidR="00382821" w:rsidRDefault="00382821" w:rsidP="00382821">
      <w:permStart w:id="1388260463" w:edGrp="everyone"/>
      <w:r>
        <w:t>TYPE YOUR TEXT HERE</w:t>
      </w:r>
    </w:p>
    <w:permEnd w:id="1388260463"/>
    <w:p w14:paraId="5F69AB37" w14:textId="77777777" w:rsidR="00382821" w:rsidRDefault="00382821" w:rsidP="00382821">
      <w:r>
        <w:lastRenderedPageBreak/>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0D2C558C" w14:textId="77777777" w:rsidR="00382821" w:rsidRDefault="00382821" w:rsidP="00382821">
      <w:permStart w:id="1678802657" w:edGrp="everyone"/>
      <w:r>
        <w:t>TYPE YOUR TEXT HERE</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59A9E26B" w14:textId="77777777" w:rsidR="00382821" w:rsidRDefault="00382821" w:rsidP="00382821">
      <w:permStart w:id="747701949" w:edGrp="everyone"/>
      <w:r>
        <w:t>TYPE YOUR TEXT HERE</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7C4F94BA" w14:textId="77777777" w:rsidR="00382821" w:rsidRDefault="00382821" w:rsidP="00382821">
      <w:permStart w:id="1305178671" w:edGrp="everyone"/>
      <w:r>
        <w:t>TYPE YOUR TEXT HERE</w:t>
      </w:r>
    </w:p>
    <w:permEnd w:id="1305178671"/>
    <w:p w14:paraId="140996F6" w14:textId="77777777" w:rsidR="00382821" w:rsidRDefault="00382821" w:rsidP="00382821">
      <w:r>
        <w:lastRenderedPageBreak/>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5B67D13F" w14:textId="77777777" w:rsidR="00382821" w:rsidRDefault="00382821" w:rsidP="00382821">
      <w:permStart w:id="731979321" w:edGrp="everyone"/>
      <w:r>
        <w:t>TYPE YOUR TEXT HERE</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30414710" w14:textId="77777777" w:rsidR="00382821" w:rsidRDefault="00382821" w:rsidP="00382821">
      <w:permStart w:id="1022781935" w:edGrp="everyone"/>
      <w:r>
        <w:t>TYPE YOUR TEXT HERE</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77777777" w:rsidR="00382821" w:rsidRDefault="00382821" w:rsidP="00382821">
      <w:permStart w:id="215905194" w:edGrp="everyone"/>
      <w:r>
        <w:t>TYPE YOUR TEXT HERE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08D1E64B" w14:textId="77777777" w:rsidR="00382821" w:rsidRDefault="00382821" w:rsidP="00382821">
      <w:permStart w:id="444752322" w:edGrp="everyone"/>
      <w:r>
        <w:t>TYPE YOUR TEXT HERE</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48D8" w14:textId="77777777" w:rsidR="00C555AC" w:rsidRDefault="00C555AC" w:rsidP="00F716D4">
      <w:r>
        <w:separator/>
      </w:r>
    </w:p>
    <w:p w14:paraId="33F07A62" w14:textId="77777777" w:rsidR="00C555AC" w:rsidRDefault="00C555AC" w:rsidP="00F716D4"/>
  </w:endnote>
  <w:endnote w:type="continuationSeparator" w:id="0">
    <w:p w14:paraId="62536FDA" w14:textId="77777777" w:rsidR="00C555AC" w:rsidRDefault="00C555AC" w:rsidP="00F716D4">
      <w:r>
        <w:continuationSeparator/>
      </w:r>
    </w:p>
    <w:p w14:paraId="35F6DBB5" w14:textId="77777777" w:rsidR="00C555AC" w:rsidRDefault="00C555AC" w:rsidP="00F716D4"/>
  </w:endnote>
  <w:endnote w:type="continuationNotice" w:id="1">
    <w:p w14:paraId="69541595" w14:textId="77777777" w:rsidR="00C555AC" w:rsidRDefault="00C555A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r w:rsidRPr="00A8626B">
        <w:rPr>
          <w:rStyle w:val="Lienhypertexte"/>
          <w:sz w:val="15"/>
          <w:szCs w:val="15"/>
          <w:lang w:val="fr-BE"/>
        </w:rPr>
        <w:t>europa</w:t>
      </w:r>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10BF" w14:textId="77777777" w:rsidR="00C555AC" w:rsidRDefault="00C555AC" w:rsidP="00F716D4">
      <w:r>
        <w:separator/>
      </w:r>
    </w:p>
    <w:p w14:paraId="2FE85A76" w14:textId="77777777" w:rsidR="00C555AC" w:rsidRDefault="00C555AC" w:rsidP="00F716D4"/>
  </w:footnote>
  <w:footnote w:type="continuationSeparator" w:id="0">
    <w:p w14:paraId="48CF0044" w14:textId="77777777" w:rsidR="00C555AC" w:rsidRDefault="00C555AC" w:rsidP="00F716D4">
      <w:r>
        <w:continuationSeparator/>
      </w:r>
    </w:p>
    <w:p w14:paraId="484A0872" w14:textId="77777777" w:rsidR="00C555AC" w:rsidRDefault="00C555AC" w:rsidP="00F716D4"/>
  </w:footnote>
  <w:footnote w:type="continuationNotice" w:id="1">
    <w:p w14:paraId="46C0DE12" w14:textId="77777777" w:rsidR="00C555AC" w:rsidRDefault="00C555A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772552327"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625234245"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10A"/>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676FC"/>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6FDB"/>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83E"/>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07EAF"/>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8D"/>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752E7"/>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27578"/>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1F5D"/>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CF7E41"/>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3E"/>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6BD6"/>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14"/>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063EA"/>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A1A1A" w:themeColor="background1" w:themeShade="1A"/>
      <w:sz w:val="22"/>
      <w:szCs w:val="22"/>
      <w:lang w:eastAsia="en-US"/>
    </w:rPr>
  </w:style>
  <w:style w:type="character" w:customStyle="1" w:styleId="Titre8Car">
    <w:name w:val="Titre 8 Car"/>
    <w:link w:val="Titre8"/>
    <w:rsid w:val="002D6E1A"/>
    <w:rPr>
      <w:rFonts w:eastAsiaTheme="minorEastAsia" w:cs="Arial"/>
      <w:i/>
      <w:iCs/>
      <w:color w:val="1A1A1A"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A1A1A"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79646"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tionnonrsolue">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Policepardfau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58" ma:contentTypeDescription="Crée un document." ma:contentTypeScope="" ma:versionID="5fcec92dfde3703728ecd685fa7339b6">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b2717ff849b3bc3b768b88c96fcc1863"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e455fd3c-015a-4809-b242-59a16ef56313}" ma:internalName="TaxCatchAll" ma:showField="CatchAllData" ma:web="b9e7585d-2ec8-4eff-8eb0-2a5dae3b33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6e7d1998-9230-4196-8869-88f69ae84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e7585d-2ec8-4eff-8eb0-2a5dae3b3336" xsi:nil="true"/>
    <_dlc_DocId xmlns="b9e7585d-2ec8-4eff-8eb0-2a5dae3b3336">WDPCNM7KEHA6-1418529512-477777</_dlc_DocId>
    <_dlc_DocIdUrl xmlns="b9e7585d-2ec8-4eff-8eb0-2a5dae3b3336">
      <Url>https://domafep.sharepoint.com/sites/AFEP-Partage/_layouts/15/DocIdRedir.aspx?ID=WDPCNM7KEHA6-1418529512-477777</Url>
      <Description>WDPCNM7KEHA6-1418529512-477777</Description>
    </_dlc_DocIdUrl>
    <SharedWithUsers xmlns="b9e7585d-2ec8-4eff-8eb0-2a5dae3b3336">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3a7a7858-319f-4063-9ead-c74d916519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000DC-5473-4A42-9F01-42E79368ADFB}"/>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1961</Words>
  <Characters>11716</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Le Quang</cp:lastModifiedBy>
  <cp:revision>13</cp:revision>
  <cp:lastPrinted>2015-02-18T20:01:00Z</cp:lastPrinted>
  <dcterms:created xsi:type="dcterms:W3CDTF">2025-03-28T16:59:00Z</dcterms:created>
  <dcterms:modified xsi:type="dcterms:W3CDTF">2025-03-28T17:11:00Z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_dlc_DocIdItemGuid">
    <vt:lpwstr>0dfa10e6-da18-46ac-8130-2b1b4092ead1</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