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53941B07" w:rsidR="00C2682A" w:rsidRPr="00104E00" w:rsidRDefault="001D0C70" w:rsidP="00104E00">
                <w:pPr>
                  <w:jc w:val="left"/>
                  <w:rPr>
                    <w:rStyle w:val="PlaceholderText"/>
                  </w:rPr>
                </w:pPr>
                <w:r>
                  <w:rPr>
                    <w:rStyle w:val="PlaceholderText"/>
                  </w:rPr>
                  <w:t>Capital Group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20F5C2D" w:rsidR="00C2682A" w:rsidRPr="00104E00" w:rsidRDefault="002C61C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D0C70">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4A6486D" w:rsidR="00C2682A" w:rsidRPr="00104E00" w:rsidRDefault="001D0C70"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7114AD62" w14:textId="77777777" w:rsidR="00A3489C" w:rsidRDefault="00A3489C" w:rsidP="00A3489C">
      <w:pPr>
        <w:spacing w:before="240" w:after="240" w:line="280" w:lineRule="exact"/>
        <w:rPr>
          <w:rFonts w:ascii="AvenirNext LT Com Regular" w:hAnsi="AvenirNext LT Com Regular"/>
          <w:sz w:val="20"/>
        </w:rPr>
      </w:pPr>
      <w:permStart w:id="2017003256" w:edGrp="everyone"/>
      <w:r>
        <w:rPr>
          <w:rFonts w:ascii="AvenirNext LT Com Regular" w:hAnsi="AvenirNext LT Com Regular"/>
          <w:sz w:val="20"/>
        </w:rPr>
        <w:t xml:space="preserve">The overall objective of pursuing simplification and </w:t>
      </w:r>
      <w:r w:rsidRPr="00044F6C">
        <w:rPr>
          <w:rFonts w:ascii="AvenirNext LT Com Regular" w:hAnsi="AvenirNext LT Com Regular"/>
          <w:sz w:val="20"/>
        </w:rPr>
        <w:t>allevia</w:t>
      </w:r>
      <w:r>
        <w:rPr>
          <w:rFonts w:ascii="AvenirNext LT Com Regular" w:hAnsi="AvenirNext LT Com Regular"/>
          <w:sz w:val="20"/>
        </w:rPr>
        <w:t>ting</w:t>
      </w:r>
      <w:r w:rsidRPr="00044F6C">
        <w:rPr>
          <w:rFonts w:ascii="AvenirNext LT Com Regular" w:hAnsi="AvenirNext LT Com Regular"/>
          <w:sz w:val="20"/>
        </w:rPr>
        <w:t xml:space="preserve"> </w:t>
      </w:r>
      <w:r>
        <w:rPr>
          <w:rFonts w:ascii="AvenirNext LT Com Regular" w:hAnsi="AvenirNext LT Com Regular"/>
          <w:sz w:val="20"/>
        </w:rPr>
        <w:t xml:space="preserve">disclosure requirements for issuers and by extent users of securitisation in Europe is plausible. Along these lines the focus of the consultation on the templates is appropriate and an important step. </w:t>
      </w:r>
    </w:p>
    <w:p w14:paraId="414C6D75" w14:textId="77777777" w:rsidR="00A3489C" w:rsidRDefault="00A3489C" w:rsidP="00A3489C">
      <w:pPr>
        <w:spacing w:before="240" w:after="240" w:line="280" w:lineRule="exact"/>
        <w:rPr>
          <w:rFonts w:ascii="AvenirNext LT Com Regular" w:hAnsi="AvenirNext LT Com Regular"/>
          <w:sz w:val="20"/>
        </w:rPr>
      </w:pPr>
      <w:r>
        <w:rPr>
          <w:rFonts w:ascii="AvenirNext LT Com Regular" w:hAnsi="AvenirNext LT Com Regular"/>
          <w:sz w:val="20"/>
        </w:rPr>
        <w:t xml:space="preserve">In relation to the specific approach suggested, we have important concerns, firstly as regards the scope of the issuers captured in relation to these simplification efforts and secondly, as regards the approach to simplification as such. </w:t>
      </w:r>
    </w:p>
    <w:p w14:paraId="2C0FE7DD" w14:textId="77777777" w:rsidR="00A3489C" w:rsidRDefault="00A3489C" w:rsidP="00A3489C">
      <w:pPr>
        <w:spacing w:before="240" w:after="240" w:line="280" w:lineRule="exact"/>
        <w:rPr>
          <w:rFonts w:ascii="AvenirNext LT Com Regular" w:hAnsi="AvenirNext LT Com Regular"/>
          <w:sz w:val="20"/>
        </w:rPr>
      </w:pPr>
      <w:r>
        <w:rPr>
          <w:rFonts w:ascii="AvenirNext LT Com Regular" w:hAnsi="AvenirNext LT Com Regular"/>
          <w:sz w:val="20"/>
        </w:rPr>
        <w:t>As regards the scope, the measures suggested are solely capturing the use of simplified templates by EU issuers, leaving non</w:t>
      </w:r>
      <w:r w:rsidRPr="00044F6C">
        <w:rPr>
          <w:rFonts w:ascii="AvenirNext LT Com Regular" w:hAnsi="AvenirNext LT Com Regular"/>
          <w:sz w:val="20"/>
        </w:rPr>
        <w:t>-EU issuer</w:t>
      </w:r>
      <w:r>
        <w:rPr>
          <w:rFonts w:ascii="AvenirNext LT Com Regular" w:hAnsi="AvenirNext LT Com Regular"/>
          <w:sz w:val="20"/>
        </w:rPr>
        <w:t xml:space="preserve">s still in the scope of the existing overly prescriptive templates. However, from a user’s perspective, the main constraints related to the templates are mostly linked to non-EU issuers and sponsors, who are not bound by the EU rules, hence, do not need to comply with them. </w:t>
      </w:r>
      <w:proofErr w:type="gramStart"/>
      <w:r>
        <w:rPr>
          <w:rFonts w:ascii="AvenirNext LT Com Regular" w:hAnsi="AvenirNext LT Com Regular"/>
          <w:sz w:val="20"/>
        </w:rPr>
        <w:t>Despite the fact that</w:t>
      </w:r>
      <w:proofErr w:type="gramEnd"/>
      <w:r>
        <w:rPr>
          <w:rFonts w:ascii="AvenirNext LT Com Regular" w:hAnsi="AvenirNext LT Com Regular"/>
          <w:sz w:val="20"/>
        </w:rPr>
        <w:t xml:space="preserve"> n</w:t>
      </w:r>
      <w:r w:rsidRPr="00044F6C">
        <w:rPr>
          <w:rFonts w:ascii="AvenirNext LT Com Regular" w:hAnsi="AvenirNext LT Com Regular"/>
          <w:sz w:val="20"/>
        </w:rPr>
        <w:t>on-EU issuers, particularly from the US, generally comply with the requirements of the Regulation</w:t>
      </w:r>
      <w:r>
        <w:rPr>
          <w:rFonts w:ascii="AvenirNext LT Com Regular" w:hAnsi="AvenirNext LT Com Regular"/>
          <w:sz w:val="20"/>
        </w:rPr>
        <w:t xml:space="preserve"> in terms of substance</w:t>
      </w:r>
      <w:r w:rsidRPr="00044F6C">
        <w:rPr>
          <w:rFonts w:ascii="AvenirNext LT Com Regular" w:hAnsi="AvenirNext LT Com Regular"/>
          <w:sz w:val="20"/>
        </w:rPr>
        <w:t>, they often do not fully adhere to the cumbersome Article 7 reporting templates</w:t>
      </w:r>
      <w:r>
        <w:rPr>
          <w:rFonts w:ascii="AvenirNext LT Com Regular" w:hAnsi="AvenirNext LT Com Regular"/>
          <w:sz w:val="20"/>
        </w:rPr>
        <w:t xml:space="preserve">, as they don’t see the need to provide information that is </w:t>
      </w:r>
      <w:proofErr w:type="spellStart"/>
      <w:r>
        <w:rPr>
          <w:rFonts w:ascii="AvenirNext LT Com Regular" w:hAnsi="AvenirNext LT Com Regular"/>
          <w:sz w:val="20"/>
        </w:rPr>
        <w:t>otherswise</w:t>
      </w:r>
      <w:proofErr w:type="spellEnd"/>
      <w:r>
        <w:rPr>
          <w:rFonts w:ascii="AvenirNext LT Com Regular" w:hAnsi="AvenirNext LT Com Regular"/>
          <w:sz w:val="20"/>
        </w:rPr>
        <w:t xml:space="preserve"> readily available in their prospectuses and trustee reports</w:t>
      </w:r>
      <w:r w:rsidRPr="00AF2A39">
        <w:t xml:space="preserve"> </w:t>
      </w:r>
      <w:r w:rsidRPr="00AF2A39">
        <w:rPr>
          <w:rFonts w:ascii="AvenirNext LT Com Regular" w:hAnsi="AvenirNext LT Com Regular"/>
          <w:sz w:val="20"/>
        </w:rPr>
        <w:t>via a new set of additional templates</w:t>
      </w:r>
      <w:r w:rsidRPr="00044F6C">
        <w:rPr>
          <w:rFonts w:ascii="AvenirNext LT Com Regular" w:hAnsi="AvenirNext LT Com Regular"/>
          <w:sz w:val="20"/>
        </w:rPr>
        <w:t xml:space="preserve">. </w:t>
      </w:r>
      <w:r>
        <w:rPr>
          <w:rFonts w:ascii="AvenirNext LT Com Regular" w:hAnsi="AvenirNext LT Com Regular"/>
          <w:sz w:val="20"/>
        </w:rPr>
        <w:t xml:space="preserve">This </w:t>
      </w:r>
      <w:r w:rsidRPr="00044F6C">
        <w:rPr>
          <w:rFonts w:ascii="AvenirNext LT Com Regular" w:hAnsi="AvenirNext LT Com Regular"/>
          <w:sz w:val="20"/>
        </w:rPr>
        <w:t xml:space="preserve">leads to their exclusion from </w:t>
      </w:r>
      <w:r>
        <w:rPr>
          <w:rFonts w:ascii="AvenirNext LT Com Regular" w:hAnsi="AvenirNext LT Com Regular"/>
          <w:sz w:val="20"/>
        </w:rPr>
        <w:t xml:space="preserve">the investable universe of </w:t>
      </w:r>
      <w:r w:rsidRPr="00044F6C">
        <w:rPr>
          <w:rFonts w:ascii="AvenirNext LT Com Regular" w:hAnsi="AvenirNext LT Com Regular"/>
          <w:sz w:val="20"/>
        </w:rPr>
        <w:t>EU products</w:t>
      </w:r>
      <w:r>
        <w:rPr>
          <w:rFonts w:ascii="AvenirNext LT Com Regular" w:hAnsi="AvenirNext LT Com Regular"/>
          <w:sz w:val="20"/>
        </w:rPr>
        <w:t xml:space="preserve"> and</w:t>
      </w:r>
      <w:r w:rsidRPr="00044F6C">
        <w:rPr>
          <w:rFonts w:ascii="AvenirNext LT Com Regular" w:hAnsi="AvenirNext LT Com Regular"/>
          <w:sz w:val="20"/>
        </w:rPr>
        <w:t xml:space="preserve"> creates a less diversified market</w:t>
      </w:r>
      <w:r>
        <w:rPr>
          <w:rFonts w:ascii="AvenirNext LT Com Regular" w:hAnsi="AvenirNext LT Com Regular"/>
          <w:sz w:val="20"/>
        </w:rPr>
        <w:t xml:space="preserve"> </w:t>
      </w:r>
      <w:proofErr w:type="gramStart"/>
      <w:r>
        <w:rPr>
          <w:rFonts w:ascii="AvenirNext LT Com Regular" w:hAnsi="AvenirNext LT Com Regular"/>
          <w:sz w:val="20"/>
        </w:rPr>
        <w:t>and</w:t>
      </w:r>
      <w:r w:rsidRPr="00044F6C">
        <w:rPr>
          <w:rFonts w:ascii="AvenirNext LT Com Regular" w:hAnsi="AvenirNext LT Com Regular"/>
          <w:sz w:val="20"/>
        </w:rPr>
        <w:t xml:space="preserve">  fewer</w:t>
      </w:r>
      <w:proofErr w:type="gramEnd"/>
      <w:r w:rsidRPr="00044F6C">
        <w:rPr>
          <w:rFonts w:ascii="AvenirNext LT Com Regular" w:hAnsi="AvenirNext LT Com Regular"/>
          <w:sz w:val="20"/>
        </w:rPr>
        <w:t xml:space="preserve"> opportunities for investors in EU products.</w:t>
      </w:r>
      <w:r>
        <w:rPr>
          <w:rFonts w:ascii="AvenirNext LT Com Regular" w:hAnsi="AvenirNext LT Com Regular"/>
          <w:sz w:val="20"/>
        </w:rPr>
        <w:t xml:space="preserve"> </w:t>
      </w:r>
      <w:r w:rsidRPr="00044F6C">
        <w:rPr>
          <w:rFonts w:ascii="AvenirNext LT Com Regular" w:hAnsi="AvenirNext LT Com Regular"/>
          <w:sz w:val="20"/>
        </w:rPr>
        <w:t xml:space="preserve"> </w:t>
      </w:r>
      <w:r>
        <w:rPr>
          <w:rFonts w:ascii="AvenirNext LT Com Regular" w:hAnsi="AvenirNext LT Com Regular"/>
          <w:sz w:val="20"/>
        </w:rPr>
        <w:t xml:space="preserve"> </w:t>
      </w:r>
    </w:p>
    <w:p w14:paraId="793ED243" w14:textId="10D45080" w:rsidR="00A3489C" w:rsidRPr="00044F6C" w:rsidRDefault="00A3489C" w:rsidP="00A3489C">
      <w:pPr>
        <w:spacing w:before="240" w:after="240" w:line="280" w:lineRule="exact"/>
        <w:rPr>
          <w:rFonts w:ascii="AvenirNext LT Com Regular" w:hAnsi="AvenirNext LT Com Regular"/>
          <w:sz w:val="20"/>
        </w:rPr>
      </w:pPr>
      <w:r w:rsidRPr="00044F6C">
        <w:rPr>
          <w:rFonts w:ascii="AvenirNext LT Com Regular" w:hAnsi="AvenirNext LT Com Regular"/>
          <w:sz w:val="20"/>
        </w:rPr>
        <w:t xml:space="preserve">Restricting access </w:t>
      </w:r>
      <w:r>
        <w:rPr>
          <w:rFonts w:ascii="AvenirNext LT Com Regular" w:hAnsi="AvenirNext LT Com Regular"/>
          <w:sz w:val="20"/>
        </w:rPr>
        <w:t xml:space="preserve">of EU products to </w:t>
      </w:r>
      <w:r w:rsidRPr="00044F6C">
        <w:rPr>
          <w:rFonts w:ascii="AvenirNext LT Com Regular" w:hAnsi="AvenirNext LT Com Regular"/>
          <w:sz w:val="20"/>
        </w:rPr>
        <w:t xml:space="preserve">non-EU originators solely based on their non-compliance with </w:t>
      </w:r>
      <w:r>
        <w:rPr>
          <w:rFonts w:ascii="AvenirNext LT Com Regular" w:hAnsi="AvenirNext LT Com Regular"/>
          <w:sz w:val="20"/>
        </w:rPr>
        <w:t>the</w:t>
      </w:r>
      <w:r w:rsidRPr="00044F6C">
        <w:rPr>
          <w:rFonts w:ascii="AvenirNext LT Com Regular" w:hAnsi="AvenirNext LT Com Regular"/>
          <w:sz w:val="20"/>
        </w:rPr>
        <w:t xml:space="preserve"> EU template </w:t>
      </w:r>
      <w:r>
        <w:rPr>
          <w:rFonts w:ascii="AvenirNext LT Com Regular" w:hAnsi="AvenirNext LT Com Regular"/>
          <w:sz w:val="20"/>
        </w:rPr>
        <w:t xml:space="preserve">and not on the reason of not being aligned with the substance of the requirements, results in a disadvantage for EU investors and defies the overall </w:t>
      </w:r>
      <w:r>
        <w:rPr>
          <w:rFonts w:ascii="AvenirNext LT Com Regular" w:hAnsi="AvenirNext LT Com Regular"/>
          <w:sz w:val="20"/>
        </w:rPr>
        <w:t xml:space="preserve">EU </w:t>
      </w:r>
      <w:r>
        <w:rPr>
          <w:rFonts w:ascii="AvenirNext LT Com Regular" w:hAnsi="AvenirNext LT Com Regular"/>
          <w:sz w:val="20"/>
        </w:rPr>
        <w:t xml:space="preserve">objective of enhancing </w:t>
      </w:r>
      <w:r w:rsidRPr="00044F6C">
        <w:rPr>
          <w:rFonts w:ascii="AvenirNext LT Com Regular" w:hAnsi="AvenirNext LT Com Regular"/>
          <w:sz w:val="20"/>
        </w:rPr>
        <w:t xml:space="preserve">competitiveness for </w:t>
      </w:r>
      <w:r>
        <w:rPr>
          <w:rFonts w:ascii="AvenirNext LT Com Regular" w:hAnsi="AvenirNext LT Com Regular"/>
          <w:sz w:val="20"/>
        </w:rPr>
        <w:t xml:space="preserve">its investors and industry. At the same time, investors in other mutual funds around the globe have the capacity to diversify risks via a larger pool of issuers and sponsors and, hence, benefit from enhanced </w:t>
      </w:r>
      <w:r>
        <w:rPr>
          <w:rFonts w:ascii="AvenirNext LT Com Regular" w:hAnsi="AvenirNext LT Com Regular"/>
          <w:sz w:val="20"/>
        </w:rPr>
        <w:lastRenderedPageBreak/>
        <w:t xml:space="preserve">investment strategies. </w:t>
      </w:r>
      <w:r w:rsidRPr="00044F6C">
        <w:rPr>
          <w:rFonts w:ascii="AvenirNext LT Com Regular" w:hAnsi="AvenirNext LT Com Regular"/>
          <w:sz w:val="20"/>
        </w:rPr>
        <w:t xml:space="preserve">Given the limited number of EU-originated securitised assets, </w:t>
      </w:r>
      <w:r>
        <w:rPr>
          <w:rFonts w:ascii="AvenirNext LT Com Regular" w:hAnsi="AvenirNext LT Com Regular"/>
          <w:sz w:val="20"/>
        </w:rPr>
        <w:t>making it feasible for EU investment products to also</w:t>
      </w:r>
      <w:r w:rsidRPr="00044F6C">
        <w:rPr>
          <w:rFonts w:ascii="AvenirNext LT Com Regular" w:hAnsi="AvenirNext LT Com Regular"/>
          <w:sz w:val="20"/>
        </w:rPr>
        <w:t xml:space="preserve"> invest</w:t>
      </w:r>
      <w:r>
        <w:rPr>
          <w:rFonts w:ascii="AvenirNext LT Com Regular" w:hAnsi="AvenirNext LT Com Regular"/>
          <w:sz w:val="20"/>
        </w:rPr>
        <w:t xml:space="preserve"> </w:t>
      </w:r>
      <w:r w:rsidRPr="00044F6C">
        <w:rPr>
          <w:rFonts w:ascii="AvenirNext LT Com Regular" w:hAnsi="AvenirNext LT Com Regular"/>
          <w:sz w:val="20"/>
        </w:rPr>
        <w:t>into non-EU issue</w:t>
      </w:r>
      <w:r>
        <w:rPr>
          <w:rFonts w:ascii="AvenirNext LT Com Regular" w:hAnsi="AvenirNext LT Com Regular"/>
          <w:sz w:val="20"/>
        </w:rPr>
        <w:t>r</w:t>
      </w:r>
      <w:r w:rsidRPr="00044F6C">
        <w:rPr>
          <w:rFonts w:ascii="AvenirNext LT Com Regular" w:hAnsi="AvenirNext LT Com Regular"/>
          <w:sz w:val="20"/>
        </w:rPr>
        <w:t xml:space="preserve">s that meet all substance requirements of the Regulation would significantly </w:t>
      </w:r>
      <w:r>
        <w:rPr>
          <w:rFonts w:ascii="AvenirNext LT Com Regular" w:hAnsi="AvenirNext LT Com Regular"/>
          <w:sz w:val="20"/>
        </w:rPr>
        <w:t>enhance their investment options and</w:t>
      </w:r>
      <w:r>
        <w:rPr>
          <w:rFonts w:ascii="AvenirNext LT Com Regular" w:hAnsi="AvenirNext LT Com Regular"/>
          <w:sz w:val="20"/>
        </w:rPr>
        <w:t>,</w:t>
      </w:r>
      <w:r>
        <w:rPr>
          <w:rFonts w:ascii="AvenirNext LT Com Regular" w:hAnsi="AvenirNext LT Com Regular"/>
          <w:sz w:val="20"/>
        </w:rPr>
        <w:t xml:space="preserve"> in that way</w:t>
      </w:r>
      <w:r>
        <w:rPr>
          <w:rFonts w:ascii="AvenirNext LT Com Regular" w:hAnsi="AvenirNext LT Com Regular"/>
          <w:sz w:val="20"/>
        </w:rPr>
        <w:t>,</w:t>
      </w:r>
      <w:r>
        <w:rPr>
          <w:rFonts w:ascii="AvenirNext LT Com Regular" w:hAnsi="AvenirNext LT Com Regular"/>
          <w:sz w:val="20"/>
        </w:rPr>
        <w:t xml:space="preserve"> allow them to channel capital back to the economy in a more efficient way</w:t>
      </w:r>
      <w:r w:rsidRPr="00044F6C">
        <w:rPr>
          <w:rFonts w:ascii="AvenirNext LT Com Regular" w:hAnsi="AvenirNext LT Com Regular"/>
          <w:sz w:val="20"/>
        </w:rPr>
        <w:t>.</w:t>
      </w:r>
    </w:p>
    <w:p w14:paraId="17E6459F" w14:textId="77777777" w:rsidR="00E27951" w:rsidRDefault="00E27951" w:rsidP="001D0C70">
      <w:pPr>
        <w:spacing w:before="240" w:after="240" w:line="280" w:lineRule="exact"/>
        <w:rPr>
          <w:rFonts w:ascii="AvenirNext LT Com Regular" w:hAnsi="AvenirNext LT Com Regular"/>
          <w:sz w:val="20"/>
        </w:rPr>
      </w:pPr>
      <w:r>
        <w:rPr>
          <w:rFonts w:ascii="AvenirNext LT Com Regular" w:hAnsi="AvenirNext LT Com Regular"/>
          <w:sz w:val="20"/>
        </w:rPr>
        <w:t>O</w:t>
      </w:r>
      <w:r w:rsidRPr="00044F6C">
        <w:rPr>
          <w:rFonts w:ascii="AvenirNext LT Com Regular" w:hAnsi="AvenirNext LT Com Regular"/>
          <w:sz w:val="20"/>
        </w:rPr>
        <w:t>ur preferred solution would be to adopt a more principles-based approach to transparency requirements</w:t>
      </w:r>
      <w:r>
        <w:rPr>
          <w:rFonts w:ascii="AvenirNext LT Com Regular" w:hAnsi="AvenirNext LT Com Regular"/>
          <w:sz w:val="20"/>
        </w:rPr>
        <w:t xml:space="preserve">, </w:t>
      </w:r>
      <w:r w:rsidRPr="00044F6C">
        <w:rPr>
          <w:rFonts w:ascii="AvenirNext LT Com Regular" w:hAnsi="AvenirNext LT Com Regular"/>
          <w:sz w:val="20"/>
        </w:rPr>
        <w:t>allow</w:t>
      </w:r>
      <w:r>
        <w:rPr>
          <w:rFonts w:ascii="AvenirNext LT Com Regular" w:hAnsi="AvenirNext LT Com Regular"/>
          <w:sz w:val="20"/>
        </w:rPr>
        <w:t>ing</w:t>
      </w:r>
      <w:r w:rsidRPr="00044F6C">
        <w:rPr>
          <w:rFonts w:ascii="AvenirNext LT Com Regular" w:hAnsi="AvenirNext LT Com Regular"/>
          <w:sz w:val="20"/>
        </w:rPr>
        <w:t xml:space="preserve"> meaningful information to be gathered from third-country originators, sponsors, or original lenders as part of the investor's due diligence process, without the need for predetermined templates. Market practice indicates that these issuers already provide meaningful information in their prospectuses and ongoing reports. This approach would enhance access to global markets, improve EU demand for securitisation, diversify portfolios, and boost the global competitiveness of EU-based institutional investors and asset managers, without creating additional risks.</w:t>
      </w:r>
    </w:p>
    <w:p w14:paraId="21BA0CEC" w14:textId="191B8736" w:rsidR="00E27951" w:rsidRDefault="00E27951" w:rsidP="00E27951">
      <w:pPr>
        <w:spacing w:before="240" w:after="240" w:line="280" w:lineRule="exact"/>
        <w:rPr>
          <w:rFonts w:ascii="AvenirNext LT Com Regular" w:hAnsi="AvenirNext LT Com Regular"/>
          <w:sz w:val="20"/>
        </w:rPr>
      </w:pPr>
      <w:r>
        <w:rPr>
          <w:rFonts w:ascii="AvenirNext LT Com Regular" w:hAnsi="AvenirNext LT Com Regular"/>
          <w:sz w:val="20"/>
        </w:rPr>
        <w:t>In relation to the suggested changes for simplifying the templates, we agree with the approach towards less granular and more aggregated data, but we still consider that maintaining the reporting based on the predefined templates</w:t>
      </w:r>
      <w:r w:rsidR="00A3489C">
        <w:rPr>
          <w:rFonts w:ascii="AvenirNext LT Com Regular" w:hAnsi="AvenirNext LT Com Regular"/>
          <w:sz w:val="20"/>
        </w:rPr>
        <w:t xml:space="preserve"> renders the overall approach</w:t>
      </w:r>
      <w:r>
        <w:rPr>
          <w:rFonts w:ascii="AvenirNext LT Com Regular" w:hAnsi="AvenirNext LT Com Regular"/>
          <w:sz w:val="20"/>
        </w:rPr>
        <w:t xml:space="preserve"> less efficient. </w:t>
      </w:r>
      <w:r w:rsidR="00A3489C">
        <w:rPr>
          <w:rFonts w:ascii="AvenirNext LT Com Regular" w:hAnsi="AvenirNext LT Com Regular"/>
          <w:sz w:val="20"/>
        </w:rPr>
        <w:t>We would, therefore, recommend the removal of the templates.</w:t>
      </w:r>
    </w:p>
    <w:p w14:paraId="57B3B804" w14:textId="501EE467" w:rsidR="001D0C70" w:rsidRPr="00044F6C" w:rsidRDefault="00A3489C" w:rsidP="001D0C70">
      <w:pPr>
        <w:spacing w:before="240" w:after="240" w:line="280" w:lineRule="exact"/>
        <w:rPr>
          <w:rFonts w:ascii="AvenirNext LT Com Regular" w:hAnsi="AvenirNext LT Com Regular"/>
          <w:sz w:val="20"/>
        </w:rPr>
      </w:pPr>
      <w:r>
        <w:rPr>
          <w:rFonts w:ascii="AvenirNext LT Com Regular" w:hAnsi="AvenirNext LT Com Regular"/>
          <w:sz w:val="20"/>
        </w:rPr>
        <w:t>T</w:t>
      </w:r>
      <w:r w:rsidR="00E27951">
        <w:rPr>
          <w:rFonts w:ascii="AvenirNext LT Com Regular" w:hAnsi="AvenirNext LT Com Regular"/>
          <w:sz w:val="20"/>
        </w:rPr>
        <w:t>o the extent templates are maintained, we</w:t>
      </w:r>
      <w:r w:rsidR="001D0C70" w:rsidRPr="00044F6C">
        <w:rPr>
          <w:rFonts w:ascii="AvenirNext LT Com Regular" w:hAnsi="AvenirNext LT Com Regular"/>
          <w:sz w:val="20"/>
        </w:rPr>
        <w:t xml:space="preserve"> w</w:t>
      </w:r>
      <w:r w:rsidR="00F6047B">
        <w:rPr>
          <w:rFonts w:ascii="AvenirNext LT Com Regular" w:hAnsi="AvenirNext LT Com Regular"/>
          <w:sz w:val="20"/>
        </w:rPr>
        <w:t xml:space="preserve">ould call for the extension of the scope for the </w:t>
      </w:r>
      <w:r w:rsidR="001D0C70" w:rsidRPr="00044F6C">
        <w:rPr>
          <w:rFonts w:ascii="AvenirNext LT Com Regular" w:hAnsi="AvenirNext LT Com Regular"/>
          <w:sz w:val="20"/>
        </w:rPr>
        <w:t xml:space="preserve">new "simplified" disclosure framework </w:t>
      </w:r>
      <w:r w:rsidR="00F6047B">
        <w:rPr>
          <w:rFonts w:ascii="AvenirNext LT Com Regular" w:hAnsi="AvenirNext LT Com Regular"/>
          <w:sz w:val="20"/>
        </w:rPr>
        <w:t xml:space="preserve">to also apply to non-European securitisations, </w:t>
      </w:r>
      <w:r w:rsidR="003F75B9">
        <w:rPr>
          <w:rFonts w:ascii="AvenirNext LT Com Regular" w:hAnsi="AvenirNext LT Com Regular"/>
          <w:sz w:val="20"/>
        </w:rPr>
        <w:t xml:space="preserve">meaning, </w:t>
      </w:r>
      <w:r w:rsidR="00F6047B">
        <w:rPr>
          <w:rFonts w:ascii="AvenirNext LT Com Regular" w:hAnsi="AvenirNext LT Com Regular"/>
          <w:sz w:val="20"/>
        </w:rPr>
        <w:t xml:space="preserve">regardless of whether the </w:t>
      </w:r>
      <w:r w:rsidR="001D0C70" w:rsidRPr="00044F6C">
        <w:rPr>
          <w:rFonts w:ascii="AvenirNext LT Com Regular" w:hAnsi="AvenirNext LT Com Regular"/>
          <w:sz w:val="20"/>
        </w:rPr>
        <w:t>sell-side parties — the originator, sponsor, original lender, and SSPE — are established in the EU</w:t>
      </w:r>
      <w:r w:rsidR="003F75B9">
        <w:rPr>
          <w:rFonts w:ascii="AvenirNext LT Com Regular" w:hAnsi="AvenirNext LT Com Regular"/>
          <w:sz w:val="20"/>
        </w:rPr>
        <w:t xml:space="preserve"> or not</w:t>
      </w:r>
      <w:r w:rsidR="001D0C70" w:rsidRPr="00044F6C">
        <w:rPr>
          <w:rFonts w:ascii="AvenirNext LT Com Regular" w:hAnsi="AvenirNext LT Com Regular"/>
          <w:sz w:val="20"/>
        </w:rPr>
        <w:t>.</w:t>
      </w:r>
      <w:r w:rsidR="00E27951" w:rsidRPr="00E27951">
        <w:rPr>
          <w:rFonts w:ascii="AvenirNext LT Com Regular" w:hAnsi="AvenirNext LT Com Regular"/>
          <w:sz w:val="20"/>
        </w:rPr>
        <w:t xml:space="preserve"> </w:t>
      </w:r>
      <w:r w:rsidR="00E27951">
        <w:rPr>
          <w:rFonts w:ascii="AvenirNext LT Com Regular" w:hAnsi="AvenirNext LT Com Regular"/>
          <w:sz w:val="20"/>
        </w:rPr>
        <w:t>W</w:t>
      </w:r>
      <w:r w:rsidR="00E27951" w:rsidRPr="00044F6C">
        <w:rPr>
          <w:rFonts w:ascii="AvenirNext LT Com Regular" w:hAnsi="AvenirNext LT Com Regular"/>
          <w:sz w:val="20"/>
        </w:rPr>
        <w:t xml:space="preserve">e would </w:t>
      </w:r>
      <w:r w:rsidR="00E27951">
        <w:rPr>
          <w:rFonts w:ascii="AvenirNext LT Com Regular" w:hAnsi="AvenirNext LT Com Regular"/>
          <w:sz w:val="20"/>
        </w:rPr>
        <w:t xml:space="preserve">also </w:t>
      </w:r>
      <w:r w:rsidR="00E27951" w:rsidRPr="00044F6C">
        <w:rPr>
          <w:rFonts w:ascii="AvenirNext LT Com Regular" w:hAnsi="AvenirNext LT Com Regular"/>
          <w:sz w:val="20"/>
        </w:rPr>
        <w:t>like to raise the following point. The CP states that "originators, sponsors, and SSPEs of private transactions must still provide the full set of 'public' disclosure information outlined in Article 7(1)(a) of the SECR to investors, potential investors, and competent authorities upon request." If this is the case, it would undermine the purpose of the exercise</w:t>
      </w:r>
      <w:r w:rsidR="00E27951">
        <w:rPr>
          <w:rFonts w:ascii="AvenirNext LT Com Regular" w:hAnsi="AvenirNext LT Com Regular"/>
          <w:sz w:val="20"/>
        </w:rPr>
        <w:t xml:space="preserve"> to reduce </w:t>
      </w:r>
      <w:r w:rsidR="00E27951" w:rsidRPr="00044F6C">
        <w:rPr>
          <w:rFonts w:ascii="AvenirNext LT Com Regular" w:hAnsi="AvenirNext LT Com Regular"/>
          <w:sz w:val="20"/>
        </w:rPr>
        <w:t>the regulatory burden</w:t>
      </w:r>
      <w:r w:rsidR="00E27951">
        <w:rPr>
          <w:rFonts w:ascii="AvenirNext LT Com Regular" w:hAnsi="AvenirNext LT Com Regular"/>
          <w:sz w:val="20"/>
        </w:rPr>
        <w:t xml:space="preserve"> on market </w:t>
      </w:r>
      <w:proofErr w:type="spellStart"/>
      <w:r w:rsidR="00E27951">
        <w:rPr>
          <w:rFonts w:ascii="AvenirNext LT Com Regular" w:hAnsi="AvenirNext LT Com Regular"/>
          <w:sz w:val="20"/>
        </w:rPr>
        <w:t>particpants</w:t>
      </w:r>
      <w:proofErr w:type="spellEnd"/>
      <w:r w:rsidR="00E27951" w:rsidRPr="00044F6C">
        <w:rPr>
          <w:rFonts w:ascii="AvenirNext LT Com Regular" w:hAnsi="AvenirNext LT Com Regular"/>
          <w:sz w:val="20"/>
        </w:rPr>
        <w:t xml:space="preserve">. </w:t>
      </w:r>
    </w:p>
    <w:p w14:paraId="24A75662" w14:textId="3983EDE5" w:rsidR="001D0C70" w:rsidRPr="00044F6C" w:rsidRDefault="001D0C70" w:rsidP="001D0C70">
      <w:pPr>
        <w:spacing w:before="240" w:after="240" w:line="280" w:lineRule="exact"/>
        <w:rPr>
          <w:rFonts w:ascii="AvenirNext LT Com Regular" w:hAnsi="AvenirNext LT Com Regular"/>
          <w:sz w:val="20"/>
        </w:rPr>
      </w:pPr>
      <w:r w:rsidRPr="00044F6C">
        <w:rPr>
          <w:rFonts w:ascii="AvenirNext LT Com Regular" w:hAnsi="AvenirNext LT Com Regular"/>
          <w:sz w:val="20"/>
        </w:rPr>
        <w:t xml:space="preserve">We would encourage ESMA to ensure access to a more dynamic market. Considering the ongoing review of the EUSR Level 1 text, any proposed changes should </w:t>
      </w:r>
      <w:r>
        <w:rPr>
          <w:rFonts w:ascii="AvenirNext LT Com Regular" w:hAnsi="AvenirNext LT Com Regular"/>
          <w:sz w:val="20"/>
        </w:rPr>
        <w:t xml:space="preserve">also </w:t>
      </w:r>
      <w:r w:rsidRPr="00044F6C">
        <w:rPr>
          <w:rFonts w:ascii="AvenirNext LT Com Regular" w:hAnsi="AvenirNext LT Com Regular"/>
          <w:sz w:val="20"/>
        </w:rPr>
        <w:t>align with potential revisions.</w:t>
      </w:r>
    </w:p>
    <w:p w14:paraId="537716F7" w14:textId="2B8BB044" w:rsidR="00382821" w:rsidRDefault="00382821" w:rsidP="00382821"/>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6D712B7B" w14:textId="78AA5EB3" w:rsidR="00382821" w:rsidRDefault="009C421D" w:rsidP="00382821">
      <w:permStart w:id="1754429413" w:edGrp="everyone"/>
      <w:r>
        <w:t>See our response to the previous question.</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77777777" w:rsidR="00382821" w:rsidRDefault="00382821" w:rsidP="00382821">
      <w:permStart w:id="627771789" w:edGrp="everyone"/>
      <w:r>
        <w:t>TYPE YOUR TEXT HERE</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77777777" w:rsidR="00382821" w:rsidRDefault="00382821" w:rsidP="00382821">
      <w:permStart w:id="1527854352" w:edGrp="everyone"/>
      <w:r>
        <w:t>TYPE YOUR TEXT HERE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0B1729C6" w14:textId="77777777" w:rsidR="00382821" w:rsidRDefault="00382821" w:rsidP="00382821">
      <w:permStart w:id="1515414980" w:edGrp="everyone"/>
      <w:r>
        <w:t>TYPE YOUR TEXT HERE</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77777777" w:rsidR="00382821" w:rsidRDefault="00382821" w:rsidP="00382821">
      <w:permStart w:id="85485728" w:edGrp="everyone"/>
      <w:r>
        <w:t>TYPE YOUR TEXT HERE</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lastRenderedPageBreak/>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7DCC3755" w14:textId="5E1C59BB" w:rsidR="00382821" w:rsidRPr="00A3489C" w:rsidRDefault="00B01BA4" w:rsidP="00382821">
      <w:pPr>
        <w:rPr>
          <w:rFonts w:ascii="AvenirNext LT Com Regular" w:hAnsi="AvenirNext LT Com Regular"/>
          <w:sz w:val="20"/>
        </w:rPr>
      </w:pPr>
      <w:permStart w:id="493294650" w:edGrp="everyone"/>
      <w:r w:rsidRPr="00A3489C">
        <w:rPr>
          <w:rFonts w:ascii="AvenirNext LT Com Regular" w:hAnsi="AvenirNext LT Com Regular"/>
          <w:sz w:val="20"/>
        </w:rPr>
        <w:t>‘Full legal name of the original lender’ could comprise many different entities. As such, it should be possible to populate more than one name.</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40EB101F" w:rsidR="00382821" w:rsidRPr="00A3489C" w:rsidRDefault="00321F02" w:rsidP="00382821">
      <w:pPr>
        <w:rPr>
          <w:rFonts w:ascii="AvenirNext LT Com Regular" w:hAnsi="AvenirNext LT Com Regular"/>
          <w:sz w:val="20"/>
        </w:rPr>
      </w:pPr>
      <w:permStart w:id="1676095566" w:edGrp="everyone"/>
      <w:r w:rsidRPr="00A3489C">
        <w:rPr>
          <w:rFonts w:ascii="AvenirNext LT Com Regular" w:hAnsi="AvenirNext LT Com Regular"/>
          <w:sz w:val="20"/>
        </w:rPr>
        <w:t>The concept of “Significant Event Information” is rather broad, and Trustees (who will presumably be doing most of this reporting) will not be able to comment on “shifts in risk characteristics</w:t>
      </w:r>
      <w:r w:rsidR="00A3489C">
        <w:rPr>
          <w:rFonts w:ascii="AvenirNext LT Com Regular" w:hAnsi="AvenirNext LT Com Regular"/>
          <w:sz w:val="20"/>
        </w:rPr>
        <w:t>”</w:t>
      </w:r>
      <w:r w:rsidRPr="00A3489C">
        <w:rPr>
          <w:rFonts w:ascii="AvenirNext LT Com Regular" w:hAnsi="AvenirNext LT Com Regular"/>
          <w:sz w:val="20"/>
        </w:rPr>
        <w:t xml:space="preserve">. A </w:t>
      </w:r>
      <w:proofErr w:type="gramStart"/>
      <w:r w:rsidRPr="00A3489C">
        <w:rPr>
          <w:rFonts w:ascii="AvenirNext LT Com Regular" w:hAnsi="AvenirNext LT Com Regular"/>
          <w:sz w:val="20"/>
        </w:rPr>
        <w:t>more narrow</w:t>
      </w:r>
      <w:proofErr w:type="gramEnd"/>
      <w:r w:rsidRPr="00A3489C">
        <w:rPr>
          <w:rFonts w:ascii="AvenirNext LT Com Regular" w:hAnsi="AvenirNext LT Com Regular"/>
          <w:sz w:val="20"/>
        </w:rPr>
        <w:t xml:space="preserve"> set of requirements that Trustees can definitively opine on would be Events of Default, Indenture Amendments, or changes in key parties (Trustee, servicer, account bank, etc.)</w:t>
      </w:r>
      <w:r w:rsidR="00A3489C">
        <w:rPr>
          <w:rFonts w:ascii="AvenirNext LT Com Regular" w:hAnsi="AvenirNext LT Com Regular"/>
          <w:sz w:val="20"/>
        </w:rPr>
        <w:t>.</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26A2A639" w14:textId="77777777" w:rsidR="00B01BA4" w:rsidRPr="00044F6C" w:rsidRDefault="00B01BA4" w:rsidP="00B01BA4">
      <w:pPr>
        <w:numPr>
          <w:ilvl w:val="1"/>
          <w:numId w:val="37"/>
        </w:numPr>
        <w:spacing w:before="240" w:after="240" w:line="280" w:lineRule="exact"/>
        <w:jc w:val="left"/>
        <w:rPr>
          <w:rFonts w:ascii="AvenirNext LT Com Regular" w:hAnsi="AvenirNext LT Com Regular"/>
          <w:sz w:val="20"/>
        </w:rPr>
      </w:pPr>
      <w:permStart w:id="466252494" w:edGrp="everyone"/>
      <w:r w:rsidRPr="00044F6C">
        <w:rPr>
          <w:rFonts w:ascii="AvenirNext LT Com Regular" w:hAnsi="AvenirNext LT Com Regular"/>
          <w:sz w:val="20"/>
        </w:rPr>
        <w:t>Credit rating: The deal itself will not have a credit rating; each tranche may (or may not) have a rating from multiple rating agencies.</w:t>
      </w:r>
    </w:p>
    <w:p w14:paraId="5E697F8C" w14:textId="13117EF7" w:rsidR="00382821" w:rsidRPr="00A3489C" w:rsidRDefault="00B01BA4" w:rsidP="00382821">
      <w:pPr>
        <w:numPr>
          <w:ilvl w:val="1"/>
          <w:numId w:val="38"/>
        </w:numPr>
        <w:spacing w:before="240" w:after="240" w:line="280" w:lineRule="exact"/>
        <w:jc w:val="left"/>
        <w:rPr>
          <w:rFonts w:ascii="AvenirNext LT Com Regular" w:hAnsi="AvenirNext LT Com Regular"/>
          <w:sz w:val="20"/>
        </w:rPr>
      </w:pPr>
      <w:r w:rsidRPr="00044F6C">
        <w:rPr>
          <w:rFonts w:ascii="AvenirNext LT Com Regular" w:hAnsi="AvenirNext LT Com Regular"/>
          <w:sz w:val="20"/>
        </w:rPr>
        <w:t>Date of origination: Clarify if this is for the deal or the loans/assets (if it’s the loans/assets, there could be hundreds of dates).</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441F9415" w14:textId="77777777" w:rsidR="00B01BA4" w:rsidRPr="00044F6C" w:rsidRDefault="00B01BA4" w:rsidP="00B01BA4">
      <w:pPr>
        <w:numPr>
          <w:ilvl w:val="1"/>
          <w:numId w:val="37"/>
        </w:numPr>
        <w:spacing w:before="240" w:after="240" w:line="280" w:lineRule="exact"/>
        <w:jc w:val="left"/>
        <w:rPr>
          <w:rFonts w:ascii="AvenirNext LT Com Regular" w:hAnsi="AvenirNext LT Com Regular"/>
          <w:sz w:val="20"/>
        </w:rPr>
      </w:pPr>
      <w:permStart w:id="694893472" w:edGrp="everyone"/>
      <w:r w:rsidRPr="00044F6C">
        <w:rPr>
          <w:rFonts w:ascii="AvenirNext LT Com Regular" w:hAnsi="AvenirNext LT Com Regular"/>
          <w:sz w:val="20"/>
        </w:rPr>
        <w:lastRenderedPageBreak/>
        <w:t>Instrument/Security type: If the tranches are the rows, it is unclear what the columns are.</w:t>
      </w:r>
    </w:p>
    <w:p w14:paraId="5DCB3494" w14:textId="0FB2D1A7" w:rsidR="00382821" w:rsidRPr="00B01BA4" w:rsidRDefault="00B01BA4" w:rsidP="00382821">
      <w:pPr>
        <w:numPr>
          <w:ilvl w:val="1"/>
          <w:numId w:val="37"/>
        </w:numPr>
        <w:spacing w:before="240" w:after="240" w:line="280" w:lineRule="exact"/>
        <w:jc w:val="left"/>
        <w:rPr>
          <w:rFonts w:ascii="AvenirNext LT Com Regular" w:hAnsi="AvenirNext LT Com Regular"/>
          <w:sz w:val="20"/>
        </w:rPr>
      </w:pPr>
      <w:r w:rsidRPr="00044F6C">
        <w:rPr>
          <w:rFonts w:ascii="AvenirNext LT Com Regular" w:hAnsi="AvenirNext LT Com Regular"/>
          <w:sz w:val="20"/>
        </w:rPr>
        <w:t>Maturity Date: Clarification if this is the Anticipated Maturity or Legal Final Maturity.</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3465C9E6" w14:textId="77777777" w:rsidR="00382821" w:rsidRDefault="00382821" w:rsidP="00382821">
      <w:permStart w:id="139862057" w:edGrp="everyone"/>
      <w:r>
        <w:t>TYPE YOUR TEXT HERE</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6862286B" w14:textId="77777777" w:rsidR="00382821" w:rsidRDefault="00382821" w:rsidP="00382821">
      <w:permStart w:id="1902596544" w:edGrp="everyone"/>
      <w:r>
        <w:t>TYPE YOUR TEXT HERE</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lastRenderedPageBreak/>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1AD4E10D" w14:textId="77777777" w:rsidR="00B01BA4" w:rsidRPr="00044F6C" w:rsidRDefault="00B01BA4" w:rsidP="00B01BA4">
      <w:pPr>
        <w:numPr>
          <w:ilvl w:val="1"/>
          <w:numId w:val="37"/>
        </w:numPr>
        <w:spacing w:before="240" w:after="240" w:line="280" w:lineRule="exact"/>
        <w:jc w:val="left"/>
        <w:rPr>
          <w:rFonts w:ascii="AvenirNext LT Com Regular" w:hAnsi="AvenirNext LT Com Regular"/>
          <w:sz w:val="20"/>
        </w:rPr>
      </w:pPr>
      <w:permStart w:id="1588479142" w:edGrp="everyone"/>
      <w:r w:rsidRPr="00044F6C">
        <w:rPr>
          <w:rFonts w:ascii="AvenirNext LT Com Regular" w:hAnsi="AvenirNext LT Com Regular"/>
          <w:sz w:val="20"/>
        </w:rPr>
        <w:t>Full legal name of designated reporting entity: Consider whether this can be the trustee.</w:t>
      </w:r>
    </w:p>
    <w:p w14:paraId="45451B58" w14:textId="6864BFD8" w:rsidR="00B01BA4" w:rsidRPr="00B01BA4" w:rsidRDefault="00B01BA4" w:rsidP="00382821">
      <w:pPr>
        <w:numPr>
          <w:ilvl w:val="1"/>
          <w:numId w:val="37"/>
        </w:numPr>
        <w:spacing w:before="240" w:after="240" w:line="280" w:lineRule="exact"/>
        <w:jc w:val="left"/>
        <w:rPr>
          <w:rFonts w:ascii="AvenirNext LT Com Regular" w:hAnsi="AvenirNext LT Com Regular"/>
          <w:sz w:val="20"/>
        </w:rPr>
      </w:pPr>
      <w:r w:rsidRPr="00044F6C">
        <w:rPr>
          <w:rFonts w:ascii="AvenirNext LT Com Regular" w:hAnsi="AvenirNext LT Com Regular"/>
          <w:sz w:val="20"/>
        </w:rPr>
        <w:t>Full legal name of the law firm: Deal legal counsel is rarely disclosed in the documents and has no ongoing involvement in the transactions. Unsure how this requirement would work.</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4E10E392" w:rsidR="00382821" w:rsidRDefault="00716250" w:rsidP="00382821">
      <w:permStart w:id="2008383309" w:edGrp="everyone"/>
      <w:r w:rsidRPr="00716250">
        <w:rPr>
          <w:rFonts w:ascii="AvenirNext LT Com Regular" w:hAnsi="AvenirNext LT Com Regular"/>
          <w:sz w:val="20"/>
        </w:rPr>
        <w:t>Information on securitised exposures:</w:t>
      </w:r>
      <w:r w:rsidRPr="00044F6C">
        <w:rPr>
          <w:rFonts w:ascii="AvenirNext LT Com Regular" w:hAnsi="AvenirNext LT Com Regular"/>
          <w:sz w:val="20"/>
        </w:rPr>
        <w:t xml:space="preserve"> </w:t>
      </w:r>
      <w:r w:rsidR="002C61C0">
        <w:rPr>
          <w:rFonts w:ascii="AvenirNext LT Com Regular" w:hAnsi="AvenirNext LT Com Regular"/>
          <w:sz w:val="20"/>
        </w:rPr>
        <w:t xml:space="preserve">parts of the language used is less </w:t>
      </w:r>
      <w:r w:rsidRPr="00044F6C">
        <w:rPr>
          <w:rFonts w:ascii="AvenirNext LT Com Regular" w:hAnsi="AvenirNext LT Com Regular"/>
          <w:sz w:val="20"/>
        </w:rPr>
        <w:t>familiar to market participants. This section is the only one that will change over time</w:t>
      </w:r>
      <w:r>
        <w:rPr>
          <w:rFonts w:ascii="AvenirNext LT Com Regular" w:hAnsi="AvenirNext LT Com Regular"/>
          <w:sz w:val="20"/>
        </w:rPr>
        <w:t xml:space="preserve"> </w:t>
      </w:r>
      <w:r w:rsidRPr="00044F6C">
        <w:rPr>
          <w:rFonts w:ascii="AvenirNext LT Com Regular" w:hAnsi="AvenirNext LT Com Regular"/>
          <w:sz w:val="20"/>
        </w:rPr>
        <w:t>and continued reporting by the Trustees will take some systemization to work out.</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77777777" w:rsidR="00382821" w:rsidRDefault="00382821" w:rsidP="00382821">
      <w:permStart w:id="242687765" w:edGrp="everyone"/>
      <w:r>
        <w:t>TYPE YOUR TEXT HERE</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 xml:space="preserve">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w:t>
      </w:r>
      <w:r>
        <w:lastRenderedPageBreak/>
        <w:t>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2F73C373" w14:textId="77777777" w:rsidR="00382821" w:rsidRDefault="00382821" w:rsidP="00382821">
      <w:permStart w:id="1498686568" w:edGrp="everyone"/>
      <w:r>
        <w:t>TYPE YOUR TEXT HERE</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77777777" w:rsidR="00382821" w:rsidRDefault="00382821" w:rsidP="00382821">
      <w:permStart w:id="1730950196" w:edGrp="everyone"/>
      <w:r>
        <w:t>TYPE YOUR TEXT HERE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2CFC2023" w14:textId="77777777" w:rsidR="00382821" w:rsidRDefault="00382821" w:rsidP="00382821">
      <w:permStart w:id="1388260463" w:edGrp="everyone"/>
      <w:r>
        <w:t>TYPE YOUR TEXT HERE</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 xml:space="preserve">If you agree with the inclusion of energy performance fields (Question 19), do you also agree with the specific fields proposed in Table 7.6? If not, please suggest any </w:t>
      </w:r>
      <w:r>
        <w:lastRenderedPageBreak/>
        <w:t>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D2C558C" w14:textId="77777777" w:rsidR="00382821" w:rsidRDefault="00382821" w:rsidP="00382821">
      <w:permStart w:id="1678802657" w:edGrp="everyone"/>
      <w:r>
        <w:t>TYPE YOUR TEXT HERE</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7C4F94BA" w14:textId="77777777" w:rsidR="00382821" w:rsidRDefault="00382821" w:rsidP="00382821">
      <w:permStart w:id="1305178671" w:edGrp="everyone"/>
      <w:r>
        <w:t>TYPE YOUR TEXT HERE</w:t>
      </w:r>
    </w:p>
    <w:permEnd w:id="1305178671"/>
    <w:p w14:paraId="140996F6" w14:textId="77777777"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lastRenderedPageBreak/>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77777777" w:rsidR="00382821" w:rsidRDefault="00382821" w:rsidP="00382821">
      <w:permStart w:id="731979321" w:edGrp="everyone"/>
      <w:r>
        <w:t>TYPE YOUR TEXT HERE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30414710" w14:textId="77777777" w:rsidR="00382821" w:rsidRDefault="00382821" w:rsidP="00382821">
      <w:permStart w:id="1022781935" w:edGrp="everyone"/>
      <w:r>
        <w:t>TYPE YOUR TEXT HERE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77777777" w:rsidR="00382821" w:rsidRDefault="00382821" w:rsidP="00382821">
      <w:permStart w:id="444752322" w:edGrp="everyone"/>
      <w:r>
        <w:t>TYPE YOUR TEXT HERE</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lastRenderedPageBreak/>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55A7" w14:textId="77777777" w:rsidR="00EA3B51" w:rsidRDefault="00EA3B51" w:rsidP="00F716D4">
      <w:r>
        <w:separator/>
      </w:r>
    </w:p>
    <w:p w14:paraId="31E0C721" w14:textId="77777777" w:rsidR="00EA3B51" w:rsidRDefault="00EA3B51" w:rsidP="00F716D4"/>
  </w:endnote>
  <w:endnote w:type="continuationSeparator" w:id="0">
    <w:p w14:paraId="26C87BBF" w14:textId="77777777" w:rsidR="00EA3B51" w:rsidRDefault="00EA3B51" w:rsidP="00F716D4">
      <w:r>
        <w:continuationSeparator/>
      </w:r>
    </w:p>
    <w:p w14:paraId="74401258" w14:textId="77777777" w:rsidR="00EA3B51" w:rsidRDefault="00EA3B51" w:rsidP="00F716D4"/>
  </w:endnote>
  <w:endnote w:type="continuationNotice" w:id="1">
    <w:p w14:paraId="56DC2C7D" w14:textId="77777777" w:rsidR="00EA3B51" w:rsidRDefault="00EA3B5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Next LT Com Regular">
    <w:altName w:val="Calibri"/>
    <w:panose1 w:val="020B0503020202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9A23" w14:textId="77777777" w:rsidR="00EA3B51" w:rsidRDefault="00EA3B51" w:rsidP="00F716D4">
      <w:r>
        <w:separator/>
      </w:r>
    </w:p>
    <w:p w14:paraId="63C10768" w14:textId="77777777" w:rsidR="00EA3B51" w:rsidRDefault="00EA3B51" w:rsidP="00F716D4"/>
  </w:footnote>
  <w:footnote w:type="continuationSeparator" w:id="0">
    <w:p w14:paraId="3B954CF5" w14:textId="77777777" w:rsidR="00EA3B51" w:rsidRDefault="00EA3B51" w:rsidP="00F716D4">
      <w:r>
        <w:continuationSeparator/>
      </w:r>
    </w:p>
    <w:p w14:paraId="69B637EE" w14:textId="77777777" w:rsidR="00EA3B51" w:rsidRDefault="00EA3B51" w:rsidP="00F716D4"/>
  </w:footnote>
  <w:footnote w:type="continuationNotice" w:id="1">
    <w:p w14:paraId="42D67249" w14:textId="77777777" w:rsidR="00EA3B51" w:rsidRDefault="00EA3B51"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BE63C8"/>
    <w:multiLevelType w:val="multilevel"/>
    <w:tmpl w:val="7AB2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131287005">
    <w:abstractNumId w:val="5"/>
    <w:lvlOverride w:ilvl="1">
      <w:lvl w:ilvl="1">
        <w:numFmt w:val="bullet"/>
        <w:lvlText w:val=""/>
        <w:lvlJc w:val="left"/>
        <w:pPr>
          <w:tabs>
            <w:tab w:val="num" w:pos="1440"/>
          </w:tabs>
          <w:ind w:left="1440" w:hanging="360"/>
        </w:pPr>
        <w:rPr>
          <w:rFonts w:ascii="Symbol" w:hAnsi="Symbol" w:hint="default"/>
          <w:sz w:val="20"/>
        </w:rPr>
      </w:lvl>
    </w:lvlOverride>
  </w:num>
  <w:num w:numId="38" w16cid:durableId="862013418">
    <w:abstractNumId w:val="5"/>
    <w:lvlOverride w:ilvl="1">
      <w:lvl w:ilvl="1">
        <w:numFmt w:val="bullet"/>
        <w:lvlText w:val=""/>
        <w:lvlJc w:val="left"/>
        <w:pPr>
          <w:tabs>
            <w:tab w:val="num" w:pos="1440"/>
          </w:tabs>
          <w:ind w:left="1440" w:hanging="360"/>
        </w:pPr>
        <w:rPr>
          <w:rFonts w:ascii="Symbol" w:hAnsi="Symbol" w:hint="default"/>
          <w:sz w:val="20"/>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2E20"/>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0B7B"/>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0C70"/>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2B0B"/>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57FF"/>
    <w:rsid w:val="002B7656"/>
    <w:rsid w:val="002C0642"/>
    <w:rsid w:val="002C1492"/>
    <w:rsid w:val="002C1E8B"/>
    <w:rsid w:val="002C2EFE"/>
    <w:rsid w:val="002C53AA"/>
    <w:rsid w:val="002C5B2D"/>
    <w:rsid w:val="002C61C0"/>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1F02"/>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18C9"/>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3F75B9"/>
    <w:rsid w:val="00400195"/>
    <w:rsid w:val="0040254B"/>
    <w:rsid w:val="00403086"/>
    <w:rsid w:val="00403460"/>
    <w:rsid w:val="004040FF"/>
    <w:rsid w:val="00404284"/>
    <w:rsid w:val="004042C4"/>
    <w:rsid w:val="00404E7B"/>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03E0"/>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6B26"/>
    <w:rsid w:val="00587EE7"/>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024"/>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250"/>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2846"/>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18AA"/>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136"/>
    <w:rsid w:val="008D2DB5"/>
    <w:rsid w:val="008D3F10"/>
    <w:rsid w:val="008D611D"/>
    <w:rsid w:val="008E1B6A"/>
    <w:rsid w:val="008E3054"/>
    <w:rsid w:val="008E32FF"/>
    <w:rsid w:val="008E5625"/>
    <w:rsid w:val="008E5C5B"/>
    <w:rsid w:val="008E6A37"/>
    <w:rsid w:val="008F0354"/>
    <w:rsid w:val="008F0635"/>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19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421D"/>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89C"/>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1BA4"/>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C2B"/>
    <w:rsid w:val="00B26FD7"/>
    <w:rsid w:val="00B270AB"/>
    <w:rsid w:val="00B2725B"/>
    <w:rsid w:val="00B27271"/>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1EAE"/>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996"/>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D57"/>
    <w:rsid w:val="00E2585D"/>
    <w:rsid w:val="00E25DBD"/>
    <w:rsid w:val="00E25FA2"/>
    <w:rsid w:val="00E2723D"/>
    <w:rsid w:val="00E27951"/>
    <w:rsid w:val="00E27C77"/>
    <w:rsid w:val="00E3179E"/>
    <w:rsid w:val="00E32AC9"/>
    <w:rsid w:val="00E354DA"/>
    <w:rsid w:val="00E354F5"/>
    <w:rsid w:val="00E3687E"/>
    <w:rsid w:val="00E40974"/>
    <w:rsid w:val="00E40AAB"/>
    <w:rsid w:val="00E41205"/>
    <w:rsid w:val="00E41F02"/>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B51"/>
    <w:rsid w:val="00EA3D36"/>
    <w:rsid w:val="00EA40AA"/>
    <w:rsid w:val="00EA57E2"/>
    <w:rsid w:val="00EA7186"/>
    <w:rsid w:val="00EB018B"/>
    <w:rsid w:val="00EB1003"/>
    <w:rsid w:val="00EB167E"/>
    <w:rsid w:val="00EB24ED"/>
    <w:rsid w:val="00EB2A00"/>
    <w:rsid w:val="00EB309B"/>
    <w:rsid w:val="00EB3AA2"/>
    <w:rsid w:val="00EB4763"/>
    <w:rsid w:val="00EB6CB7"/>
    <w:rsid w:val="00EB7F1D"/>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54AC"/>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047B"/>
    <w:rsid w:val="00F61664"/>
    <w:rsid w:val="00F61B99"/>
    <w:rsid w:val="00F6488D"/>
    <w:rsid w:val="00F64C45"/>
    <w:rsid w:val="00F6502B"/>
    <w:rsid w:val="00F6612A"/>
    <w:rsid w:val="00F66724"/>
    <w:rsid w:val="00F67A59"/>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97744"/>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34074706">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4846230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customXml/itemProps5.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2551</Words>
  <Characters>14933</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Agathi Pafili (AGAP)</cp:lastModifiedBy>
  <cp:revision>3</cp:revision>
  <cp:lastPrinted>2015-02-18T20:01:00Z</cp:lastPrinted>
  <dcterms:created xsi:type="dcterms:W3CDTF">2025-03-28T15:58:00Z</dcterms:created>
  <dcterms:modified xsi:type="dcterms:W3CDTF">2025-03-28T15:59:00Z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