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C4E7" w14:textId="77777777" w:rsidR="004E1D31" w:rsidRDefault="004E1D31" w:rsidP="00D6686A">
      <w:pPr>
        <w:jc w:val="center"/>
        <w:rPr>
          <w:b/>
          <w:bCs/>
          <w:sz w:val="28"/>
          <w:szCs w:val="28"/>
          <w:lang w:val="en-GB"/>
        </w:rPr>
      </w:pPr>
    </w:p>
    <w:p w14:paraId="22078460" w14:textId="731B1E75" w:rsidR="006A22EB" w:rsidRPr="00BB7754" w:rsidRDefault="00D6686A" w:rsidP="00D6686A">
      <w:pPr>
        <w:jc w:val="center"/>
        <w:rPr>
          <w:b/>
          <w:bCs/>
          <w:sz w:val="28"/>
          <w:szCs w:val="28"/>
          <w:lang w:val="en-GB"/>
        </w:rPr>
      </w:pPr>
      <w:r w:rsidRPr="00BB7754">
        <w:rPr>
          <w:b/>
          <w:bCs/>
          <w:sz w:val="28"/>
          <w:szCs w:val="28"/>
          <w:lang w:val="en-GB"/>
        </w:rPr>
        <w:t>S&amp;P Global Ratings Europe response to ESMA’s Consultation Paper on Guidelines on Internal Controls</w:t>
      </w:r>
    </w:p>
    <w:p w14:paraId="3767E719" w14:textId="4A1BA7F7" w:rsidR="0041314F" w:rsidRPr="0041314F" w:rsidRDefault="0041314F" w:rsidP="0042193D">
      <w:pPr>
        <w:jc w:val="both"/>
        <w:rPr>
          <w:lang w:val="en-GB"/>
        </w:rPr>
      </w:pPr>
      <w:r w:rsidRPr="0041314F">
        <w:rPr>
          <w:lang w:val="en-GB"/>
        </w:rPr>
        <w:t>Introduction</w:t>
      </w:r>
    </w:p>
    <w:p w14:paraId="739C60C9" w14:textId="58357CCD" w:rsidR="0041314F" w:rsidRPr="0041314F" w:rsidRDefault="0041314F" w:rsidP="0042193D">
      <w:pPr>
        <w:jc w:val="both"/>
        <w:rPr>
          <w:lang w:val="en-GB"/>
        </w:rPr>
      </w:pPr>
      <w:r w:rsidRPr="0041314F">
        <w:rPr>
          <w:lang w:val="en-GB"/>
        </w:rPr>
        <w:t xml:space="preserve">S&amp;P Global Ratings Europe Ltd. (“SPGRE”) </w:t>
      </w:r>
      <w:r w:rsidR="00211F2E" w:rsidRPr="004D5CC1">
        <w:rPr>
          <w:lang w:val="en-GB"/>
        </w:rPr>
        <w:t xml:space="preserve">appreciates </w:t>
      </w:r>
      <w:r w:rsidRPr="0041314F">
        <w:rPr>
          <w:lang w:val="en-GB"/>
        </w:rPr>
        <w:t xml:space="preserve">the opportunity to submit comments on the Consultation Paper concerning the Guidelines on </w:t>
      </w:r>
      <w:r w:rsidRPr="004D5CC1">
        <w:rPr>
          <w:lang w:val="en-GB"/>
        </w:rPr>
        <w:t xml:space="preserve">Internal Controls for Benchmark Administrators, Credit Rating Agencies (“CRAs”) </w:t>
      </w:r>
      <w:r w:rsidRPr="0041314F">
        <w:rPr>
          <w:lang w:val="en-GB"/>
        </w:rPr>
        <w:t>and Market Transparency Infrastructures (“Draft Guidelines”).</w:t>
      </w:r>
      <w:r w:rsidR="00CB7823" w:rsidRPr="004D5CC1">
        <w:rPr>
          <w:lang w:val="en-GB"/>
        </w:rPr>
        <w:t xml:space="preserve"> </w:t>
      </w:r>
      <w:r w:rsidRPr="0041314F">
        <w:rPr>
          <w:lang w:val="en-GB"/>
        </w:rPr>
        <w:t xml:space="preserve">In this response, reference is made to </w:t>
      </w:r>
      <w:r w:rsidRPr="004D5CC1">
        <w:rPr>
          <w:lang w:val="en-GB"/>
        </w:rPr>
        <w:t xml:space="preserve">2020 </w:t>
      </w:r>
      <w:r w:rsidRPr="0041314F">
        <w:rPr>
          <w:lang w:val="en-GB"/>
        </w:rPr>
        <w:t xml:space="preserve">Guidelines on </w:t>
      </w:r>
      <w:r w:rsidRPr="004D5CC1">
        <w:rPr>
          <w:lang w:val="en-GB"/>
        </w:rPr>
        <w:t xml:space="preserve">Internal Controls for CRAs </w:t>
      </w:r>
      <w:r w:rsidRPr="0041314F">
        <w:rPr>
          <w:lang w:val="en-GB"/>
        </w:rPr>
        <w:t xml:space="preserve">(“Current Guidelines). </w:t>
      </w:r>
    </w:p>
    <w:p w14:paraId="6A634716" w14:textId="77777777" w:rsidR="00B379DB" w:rsidRPr="004D5CC1" w:rsidRDefault="00B379DB" w:rsidP="0042193D">
      <w:pPr>
        <w:jc w:val="both"/>
        <w:rPr>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D761E" w:rsidRPr="004D5CC1" w14:paraId="19CC8387" w14:textId="77777777" w:rsidTr="002C7D33">
        <w:tc>
          <w:tcPr>
            <w:tcW w:w="9016" w:type="dxa"/>
            <w:shd w:val="clear" w:color="auto" w:fill="D9D9D9" w:themeFill="background1" w:themeFillShade="D9"/>
          </w:tcPr>
          <w:p w14:paraId="7C63C013" w14:textId="663D06B6" w:rsidR="007D761E" w:rsidRPr="004D5CC1" w:rsidRDefault="007D761E" w:rsidP="0042193D">
            <w:pPr>
              <w:jc w:val="both"/>
              <w:rPr>
                <w:lang w:val="en-GB"/>
              </w:rPr>
            </w:pPr>
            <w:r w:rsidRPr="004D5CC1">
              <w:rPr>
                <w:lang w:val="en-GB"/>
              </w:rPr>
              <w:t xml:space="preserve">Question </w:t>
            </w:r>
            <w:r w:rsidR="002E33ED" w:rsidRPr="004D5CC1">
              <w:rPr>
                <w:lang w:val="en-GB"/>
              </w:rPr>
              <w:t>1: Do you have any comments on the proposed Guidelines under the section on IC Framework? In providing your comments, please refer to the general principle, component and/or characteristic that you are commenting on.</w:t>
            </w:r>
          </w:p>
        </w:tc>
      </w:tr>
    </w:tbl>
    <w:p w14:paraId="55DE97CD" w14:textId="77777777" w:rsidR="007D761E" w:rsidRPr="004D5CC1" w:rsidRDefault="007D761E" w:rsidP="0042193D">
      <w:pPr>
        <w:jc w:val="both"/>
        <w:rPr>
          <w:lang w:val="en-GB"/>
        </w:rPr>
      </w:pPr>
    </w:p>
    <w:p w14:paraId="466BC258" w14:textId="2FDC157E" w:rsidR="00640D5D" w:rsidRPr="004D5CC1" w:rsidRDefault="00640D5D" w:rsidP="0042193D">
      <w:pPr>
        <w:jc w:val="both"/>
        <w:rPr>
          <w:lang w:val="en-GB"/>
        </w:rPr>
      </w:pPr>
      <w:r w:rsidRPr="004D5CC1">
        <w:rPr>
          <w:lang w:val="en-GB"/>
        </w:rPr>
        <w:t>CRAs have</w:t>
      </w:r>
      <w:r w:rsidR="00292369">
        <w:rPr>
          <w:lang w:val="en-GB"/>
        </w:rPr>
        <w:t xml:space="preserve"> </w:t>
      </w:r>
      <w:r w:rsidRPr="004D5CC1">
        <w:rPr>
          <w:lang w:val="en-GB"/>
        </w:rPr>
        <w:t>been subject to the Current Guidelines for five years and have well defined understanding of the segregation of duties. The proposed segregation of duties is set out in 1.3.1, and, for CRAs in footnote</w:t>
      </w:r>
      <w:r w:rsidR="0078376D">
        <w:rPr>
          <w:lang w:val="en-GB"/>
        </w:rPr>
        <w:t>s</w:t>
      </w:r>
      <w:r w:rsidRPr="004D5CC1">
        <w:rPr>
          <w:lang w:val="en-GB"/>
        </w:rPr>
        <w:t xml:space="preserve"> 18</w:t>
      </w:r>
      <w:r w:rsidR="0078376D">
        <w:rPr>
          <w:lang w:val="en-GB"/>
        </w:rPr>
        <w:t xml:space="preserve"> and 33</w:t>
      </w:r>
      <w:r w:rsidRPr="004D5CC1">
        <w:rPr>
          <w:lang w:val="en-GB"/>
        </w:rPr>
        <w:t>,</w:t>
      </w:r>
      <w:r w:rsidR="00852EA0" w:rsidRPr="004D5CC1">
        <w:rPr>
          <w:lang w:val="en-GB"/>
        </w:rPr>
        <w:t xml:space="preserve"> </w:t>
      </w:r>
      <w:r w:rsidRPr="004D5CC1">
        <w:rPr>
          <w:lang w:val="en-GB"/>
        </w:rPr>
        <w:t xml:space="preserve">however, significantly differs from the Current Guidelines. It is not explained why this is the case, and none of the ‘contributing sources’ cited in paragraph specifically addresses segregation of duties at CRAs. </w:t>
      </w:r>
    </w:p>
    <w:p w14:paraId="2F0B87B5" w14:textId="4A4581C2" w:rsidR="00640D5D" w:rsidRPr="004D5CC1" w:rsidRDefault="00640D5D" w:rsidP="0042193D">
      <w:pPr>
        <w:jc w:val="both"/>
        <w:rPr>
          <w:lang w:val="en-GB"/>
        </w:rPr>
      </w:pPr>
      <w:r w:rsidRPr="004D5CC1">
        <w:rPr>
          <w:lang w:val="en-GB"/>
        </w:rPr>
        <w:t>We would like to point out that footnote 18 is almost identical to the proposed segregation of duties in the 2019 Consultation Paper (“2019 CP</w:t>
      </w:r>
      <w:r w:rsidR="0C59CAD5" w:rsidRPr="609B7339">
        <w:rPr>
          <w:lang w:val="en-GB"/>
        </w:rPr>
        <w:t>”</w:t>
      </w:r>
      <w:r w:rsidRPr="609B7339">
        <w:rPr>
          <w:lang w:val="en-GB"/>
        </w:rPr>
        <w:t>)</w:t>
      </w:r>
      <w:r w:rsidRPr="004D5CC1">
        <w:rPr>
          <w:lang w:val="en-GB"/>
        </w:rPr>
        <w:t xml:space="preserve"> on the Current Guidelines. Specifically, the proposal in the 2019 CP that persons </w:t>
      </w:r>
      <w:r w:rsidR="002A026A">
        <w:rPr>
          <w:lang w:val="en-GB"/>
        </w:rPr>
        <w:t>‘</w:t>
      </w:r>
      <w:r w:rsidRPr="004D5CC1">
        <w:rPr>
          <w:lang w:val="en-GB"/>
        </w:rPr>
        <w:t xml:space="preserve">responsible for the development of credit rating methodologies, models or key rating assumptions are not involved in their </w:t>
      </w:r>
      <w:r w:rsidRPr="1E25D3E3">
        <w:rPr>
          <w:lang w:val="en-GB"/>
        </w:rPr>
        <w:t>implementation</w:t>
      </w:r>
      <w:r w:rsidR="002A026A">
        <w:rPr>
          <w:lang w:val="en-GB"/>
        </w:rPr>
        <w:t>’</w:t>
      </w:r>
      <w:r w:rsidRPr="004D5CC1">
        <w:rPr>
          <w:lang w:val="en-GB"/>
        </w:rPr>
        <w:t xml:space="preserve"> was not retained in the Current Guidelines but is reintroduced here. </w:t>
      </w:r>
    </w:p>
    <w:p w14:paraId="6FBBAF3F" w14:textId="3D725421" w:rsidR="00D12F81" w:rsidRPr="00525B2A" w:rsidRDefault="00FA09FB" w:rsidP="00D3069B">
      <w:pPr>
        <w:jc w:val="both"/>
        <w:rPr>
          <w:lang w:val="en-GB"/>
        </w:rPr>
      </w:pPr>
      <w:r w:rsidRPr="004D5CC1">
        <w:rPr>
          <w:lang w:val="en-GB"/>
        </w:rPr>
        <w:t xml:space="preserve">Such segregation of duties </w:t>
      </w:r>
      <w:r w:rsidRPr="00FD06DC">
        <w:rPr>
          <w:lang w:val="en-GB"/>
        </w:rPr>
        <w:t xml:space="preserve">would </w:t>
      </w:r>
      <w:r>
        <w:rPr>
          <w:lang w:val="en-GB"/>
        </w:rPr>
        <w:t>have an adverse impact on</w:t>
      </w:r>
      <w:r w:rsidRPr="004D5CC1">
        <w:rPr>
          <w:lang w:val="en-GB"/>
        </w:rPr>
        <w:t xml:space="preserve"> </w:t>
      </w:r>
      <w:r>
        <w:rPr>
          <w:lang w:val="en-GB"/>
        </w:rPr>
        <w:t xml:space="preserve">the </w:t>
      </w:r>
      <w:r w:rsidRPr="004D5CC1">
        <w:rPr>
          <w:lang w:val="en-GB"/>
        </w:rPr>
        <w:t>quality and robustness of methodologies</w:t>
      </w:r>
      <w:r>
        <w:rPr>
          <w:lang w:val="en-GB"/>
        </w:rPr>
        <w:t xml:space="preserve">, </w:t>
      </w:r>
      <w:r w:rsidR="00AA4D1F">
        <w:rPr>
          <w:lang w:val="en-GB"/>
        </w:rPr>
        <w:t xml:space="preserve">for CRAs </w:t>
      </w:r>
      <w:r w:rsidR="00B44823">
        <w:rPr>
          <w:lang w:val="en-GB"/>
        </w:rPr>
        <w:t xml:space="preserve">whose </w:t>
      </w:r>
      <w:r w:rsidRPr="004D5CC1">
        <w:rPr>
          <w:lang w:val="en-GB"/>
        </w:rPr>
        <w:t xml:space="preserve">credit rating analysts </w:t>
      </w:r>
      <w:r>
        <w:rPr>
          <w:lang w:val="en-GB"/>
        </w:rPr>
        <w:t xml:space="preserve">contribute </w:t>
      </w:r>
      <w:r w:rsidRPr="00446A34">
        <w:rPr>
          <w:lang w:val="en-GB"/>
        </w:rPr>
        <w:t xml:space="preserve">to the development </w:t>
      </w:r>
      <w:r w:rsidRPr="00870CA1">
        <w:rPr>
          <w:lang w:val="en-GB"/>
        </w:rPr>
        <w:t xml:space="preserve">of methodologies </w:t>
      </w:r>
      <w:r>
        <w:rPr>
          <w:lang w:val="en-GB"/>
        </w:rPr>
        <w:t xml:space="preserve">in </w:t>
      </w:r>
      <w:r w:rsidRPr="00870CA1">
        <w:rPr>
          <w:lang w:val="en-GB"/>
        </w:rPr>
        <w:t>their areas of expertise.</w:t>
      </w:r>
      <w:r>
        <w:rPr>
          <w:lang w:val="en-GB"/>
        </w:rPr>
        <w:t xml:space="preserve"> </w:t>
      </w:r>
      <w:r w:rsidRPr="004D5CC1">
        <w:rPr>
          <w:lang w:val="en-GB"/>
        </w:rPr>
        <w:t xml:space="preserve">Their specific expertise significantly </w:t>
      </w:r>
      <w:r>
        <w:rPr>
          <w:lang w:val="en-GB"/>
        </w:rPr>
        <w:t xml:space="preserve">enhances </w:t>
      </w:r>
      <w:r w:rsidRPr="004D5CC1">
        <w:rPr>
          <w:lang w:val="en-GB"/>
        </w:rPr>
        <w:t xml:space="preserve">the </w:t>
      </w:r>
      <w:r w:rsidR="00AA7AF2" w:rsidRPr="004D5CC1">
        <w:rPr>
          <w:lang w:val="en-GB"/>
        </w:rPr>
        <w:t xml:space="preserve">quality and robustness of </w:t>
      </w:r>
      <w:r w:rsidR="00AA7AF2">
        <w:rPr>
          <w:lang w:val="en-GB"/>
        </w:rPr>
        <w:t xml:space="preserve">the </w:t>
      </w:r>
      <w:r w:rsidR="00AA7AF2" w:rsidRPr="004D5CC1">
        <w:rPr>
          <w:lang w:val="en-GB"/>
        </w:rPr>
        <w:t>methodologies</w:t>
      </w:r>
      <w:r w:rsidR="00AA7AF2">
        <w:rPr>
          <w:lang w:val="en-GB"/>
        </w:rPr>
        <w:t xml:space="preserve"> they </w:t>
      </w:r>
      <w:r w:rsidR="002472A1">
        <w:rPr>
          <w:lang w:val="en-GB"/>
        </w:rPr>
        <w:t>help create</w:t>
      </w:r>
      <w:r w:rsidR="00AA7AF2" w:rsidRPr="004D5CC1">
        <w:rPr>
          <w:lang w:val="en-GB"/>
        </w:rPr>
        <w:t>.</w:t>
      </w:r>
      <w:r w:rsidR="003A4986">
        <w:rPr>
          <w:lang w:val="en-GB"/>
        </w:rPr>
        <w:t xml:space="preserve"> </w:t>
      </w:r>
      <w:r w:rsidR="00711B83" w:rsidRPr="00525B2A">
        <w:rPr>
          <w:lang w:val="en-GB"/>
        </w:rPr>
        <w:t xml:space="preserve">Given that these analysts do not participate in the final approval process of the methodologies they have contributed to, we do not consider </w:t>
      </w:r>
      <w:r w:rsidR="00711B83">
        <w:rPr>
          <w:lang w:val="en-GB"/>
        </w:rPr>
        <w:t xml:space="preserve">their </w:t>
      </w:r>
      <w:r w:rsidR="006814E1">
        <w:rPr>
          <w:lang w:val="en-GB"/>
        </w:rPr>
        <w:t xml:space="preserve">contribution </w:t>
      </w:r>
      <w:r w:rsidR="00711B83" w:rsidRPr="00525B2A">
        <w:rPr>
          <w:lang w:val="en-GB"/>
        </w:rPr>
        <w:t>to constitute a conflict of interest or risk.</w:t>
      </w:r>
      <w:r w:rsidR="00AB33C5">
        <w:rPr>
          <w:lang w:val="en-GB"/>
        </w:rPr>
        <w:t xml:space="preserve"> </w:t>
      </w:r>
      <w:r w:rsidR="00525B2A" w:rsidRPr="00525B2A">
        <w:rPr>
          <w:lang w:val="en-GB"/>
        </w:rPr>
        <w:t xml:space="preserve">Furthermore, it is important to </w:t>
      </w:r>
      <w:r w:rsidR="002109D8">
        <w:rPr>
          <w:lang w:val="en-GB"/>
        </w:rPr>
        <w:t xml:space="preserve">recall </w:t>
      </w:r>
      <w:r w:rsidR="00525B2A" w:rsidRPr="00525B2A">
        <w:rPr>
          <w:lang w:val="en-GB"/>
        </w:rPr>
        <w:t>that SPGRE’s credit ratings are determined by credit rating committee</w:t>
      </w:r>
      <w:r w:rsidR="002109D8">
        <w:rPr>
          <w:lang w:val="en-GB"/>
        </w:rPr>
        <w:t>s</w:t>
      </w:r>
      <w:r w:rsidR="00525B2A" w:rsidRPr="00525B2A">
        <w:rPr>
          <w:lang w:val="en-GB"/>
        </w:rPr>
        <w:t>, rather than by an individual analyst, thereby further mitigating potential concerns regarding impartiality.</w:t>
      </w:r>
      <w:r w:rsidR="00F90880">
        <w:rPr>
          <w:lang w:val="en-GB"/>
        </w:rPr>
        <w:t xml:space="preserve"> We therefore suggest that ESMA retains the current wording </w:t>
      </w:r>
      <w:r w:rsidR="00D12F81">
        <w:rPr>
          <w:lang w:val="en-GB"/>
        </w:rPr>
        <w:t xml:space="preserve">concerning </w:t>
      </w:r>
      <w:r w:rsidR="000063EC">
        <w:rPr>
          <w:lang w:val="en-GB"/>
        </w:rPr>
        <w:t>the segregation of duties.</w:t>
      </w:r>
    </w:p>
    <w:p w14:paraId="273D0344" w14:textId="77777777" w:rsidR="00086BAD" w:rsidRPr="004D5CC1" w:rsidRDefault="00086BAD" w:rsidP="0042193D">
      <w:pPr>
        <w:jc w:val="both"/>
        <w:rPr>
          <w:lang w:val="en-GB"/>
        </w:rPr>
      </w:pPr>
    </w:p>
    <w:p w14:paraId="65E0E3B1" w14:textId="77777777" w:rsidR="004E1D31" w:rsidRDefault="009B1763" w:rsidP="00F12481">
      <w:pPr>
        <w:jc w:val="both"/>
        <w:rPr>
          <w:lang w:val="en-GB"/>
        </w:rPr>
        <w:sectPr w:rsidR="004E1D31">
          <w:headerReference w:type="default" r:id="rId8"/>
          <w:footerReference w:type="default" r:id="rId9"/>
          <w:pgSz w:w="11906" w:h="16838"/>
          <w:pgMar w:top="1440" w:right="1440" w:bottom="1440" w:left="1440" w:header="708" w:footer="708" w:gutter="0"/>
          <w:cols w:space="708"/>
          <w:docGrid w:linePitch="360"/>
        </w:sectPr>
      </w:pPr>
      <w:r w:rsidRPr="009B1763">
        <w:rPr>
          <w:lang w:val="en-GB"/>
        </w:rPr>
        <w:t>We believe that the documented controls and control testing outlined in section 1.3.3 are unnecessarily prescriptive due to the specific items mandated for inclusion in control documentation. Generally, controls should be documented with clear accountability and sufficient detail to facilitate effective monitoring and testing. Furthermore, control activities should be embedded into relevant policies and procedures that responsible functions must adhere to in their day-to-day operations, as referenced in section</w:t>
      </w:r>
      <w:r>
        <w:rPr>
          <w:lang w:val="en-GB"/>
        </w:rPr>
        <w:t xml:space="preserve"> </w:t>
      </w:r>
      <w:r w:rsidR="00FD5854" w:rsidRPr="004D5CC1">
        <w:rPr>
          <w:lang w:val="en-GB"/>
        </w:rPr>
        <w:t xml:space="preserve">1.3.6 </w:t>
      </w:r>
      <w:r w:rsidR="00470F0A" w:rsidRPr="00470F0A">
        <w:rPr>
          <w:lang w:val="en-GB"/>
        </w:rPr>
        <w:t>and paragraphs 30 and 31 on page 15.</w:t>
      </w:r>
    </w:p>
    <w:p w14:paraId="14AA9993" w14:textId="6E194C39" w:rsidR="00470F0A" w:rsidRDefault="00A132C9" w:rsidP="00470F0A">
      <w:pPr>
        <w:jc w:val="both"/>
        <w:rPr>
          <w:lang w:val="en-GB"/>
        </w:rPr>
      </w:pPr>
      <w:r>
        <w:rPr>
          <w:lang w:val="en-GB"/>
        </w:rPr>
        <w:lastRenderedPageBreak/>
        <w:t>We</w:t>
      </w:r>
      <w:bookmarkStart w:id="0" w:name="_Hlk192844867"/>
      <w:r w:rsidR="00ED117A">
        <w:rPr>
          <w:lang w:val="en-GB"/>
        </w:rPr>
        <w:t xml:space="preserve"> consider that i</w:t>
      </w:r>
      <w:r w:rsidR="00470F0A" w:rsidRPr="00470F0A">
        <w:rPr>
          <w:lang w:val="en-GB"/>
        </w:rPr>
        <w:t xml:space="preserve">t is important to note that the requirements set </w:t>
      </w:r>
      <w:r w:rsidR="001A4B23">
        <w:rPr>
          <w:lang w:val="en-GB"/>
        </w:rPr>
        <w:t>out</w:t>
      </w:r>
      <w:r w:rsidR="00470F0A" w:rsidRPr="00470F0A">
        <w:rPr>
          <w:lang w:val="en-GB"/>
        </w:rPr>
        <w:t xml:space="preserve"> in section 1.3.3 may be addressed across multiple documents rather than consolidated into a single document, such as policies and procedures, </w:t>
      </w:r>
      <w:proofErr w:type="gramStart"/>
      <w:r w:rsidR="00ED117A">
        <w:rPr>
          <w:lang w:val="en-GB"/>
        </w:rPr>
        <w:t xml:space="preserve">in particular </w:t>
      </w:r>
      <w:r w:rsidR="00470F0A" w:rsidRPr="00470F0A">
        <w:rPr>
          <w:lang w:val="en-GB"/>
        </w:rPr>
        <w:t>in</w:t>
      </w:r>
      <w:proofErr w:type="gramEnd"/>
      <w:r w:rsidR="00470F0A" w:rsidRPr="00470F0A">
        <w:rPr>
          <w:lang w:val="en-GB"/>
        </w:rPr>
        <w:t xml:space="preserve"> relation to control documentation and control testing.</w:t>
      </w:r>
      <w:r w:rsidR="00FD23FB">
        <w:rPr>
          <w:lang w:val="en-GB"/>
        </w:rPr>
        <w:t xml:space="preserve"> </w:t>
      </w:r>
      <w:r w:rsidR="001A4B23" w:rsidRPr="00470F0A" w:rsidDel="0095019F">
        <w:rPr>
          <w:lang w:val="en-GB"/>
        </w:rPr>
        <w:t xml:space="preserve">The procedures </w:t>
      </w:r>
      <w:r w:rsidR="007E61C3">
        <w:rPr>
          <w:lang w:val="en-GB"/>
        </w:rPr>
        <w:t xml:space="preserve">and documentation </w:t>
      </w:r>
      <w:r w:rsidR="001A4B23" w:rsidRPr="00470F0A" w:rsidDel="0095019F">
        <w:rPr>
          <w:lang w:val="en-GB"/>
        </w:rPr>
        <w:t xml:space="preserve">for control testing and the associated </w:t>
      </w:r>
      <w:r w:rsidR="00101371">
        <w:rPr>
          <w:lang w:val="en-GB"/>
        </w:rPr>
        <w:t xml:space="preserve">control </w:t>
      </w:r>
      <w:r w:rsidR="007E61C3">
        <w:rPr>
          <w:lang w:val="en-GB"/>
        </w:rPr>
        <w:t xml:space="preserve">information included in testing </w:t>
      </w:r>
      <w:r w:rsidR="002A0A94">
        <w:rPr>
          <w:lang w:val="en-GB"/>
        </w:rPr>
        <w:t>documentation may be further divided</w:t>
      </w:r>
      <w:r w:rsidR="001A4B23" w:rsidRPr="00470F0A" w:rsidDel="0095019F">
        <w:rPr>
          <w:lang w:val="en-GB"/>
        </w:rPr>
        <w:t xml:space="preserve"> by the first, second, and third lines of defence, depending on their respective roles and areas of expertise</w:t>
      </w:r>
      <w:r w:rsidR="00470F0A" w:rsidRPr="00470F0A">
        <w:rPr>
          <w:lang w:val="en-GB"/>
        </w:rPr>
        <w:t>.</w:t>
      </w:r>
    </w:p>
    <w:p w14:paraId="0B4EFECF" w14:textId="77777777" w:rsidR="0095019F" w:rsidRPr="00470F0A" w:rsidRDefault="0095019F" w:rsidP="00470F0A">
      <w:pPr>
        <w:jc w:val="both"/>
        <w:rPr>
          <w:lang w:val="en-GB"/>
        </w:rPr>
      </w:pPr>
    </w:p>
    <w:p w14:paraId="3F57D664" w14:textId="5F905EA3" w:rsidR="009666C1" w:rsidRPr="004D5CC1" w:rsidRDefault="13A0006D" w:rsidP="00F12481">
      <w:pPr>
        <w:jc w:val="both"/>
        <w:rPr>
          <w:lang w:val="en-GB"/>
        </w:rPr>
      </w:pPr>
      <w:r w:rsidRPr="25DBBF9C">
        <w:rPr>
          <w:lang w:val="en-GB"/>
        </w:rPr>
        <w:t xml:space="preserve">It is stated in </w:t>
      </w:r>
      <w:r w:rsidR="52EC4B50" w:rsidRPr="25DBBF9C">
        <w:rPr>
          <w:lang w:val="en-GB"/>
        </w:rPr>
        <w:t xml:space="preserve">section </w:t>
      </w:r>
      <w:r w:rsidR="0E0DA327" w:rsidRPr="25DBBF9C">
        <w:rPr>
          <w:lang w:val="en-GB"/>
        </w:rPr>
        <w:t xml:space="preserve">1.3.3 (ii) </w:t>
      </w:r>
      <w:r w:rsidRPr="25DBBF9C">
        <w:rPr>
          <w:lang w:val="en-GB"/>
        </w:rPr>
        <w:t xml:space="preserve">that </w:t>
      </w:r>
      <w:r w:rsidR="0CB6AA21" w:rsidRPr="25DBBF9C">
        <w:rPr>
          <w:lang w:val="en-GB"/>
        </w:rPr>
        <w:t xml:space="preserve">the </w:t>
      </w:r>
      <w:r w:rsidR="5C33B8E9" w:rsidRPr="25DBBF9C">
        <w:rPr>
          <w:lang w:val="en-GB"/>
        </w:rPr>
        <w:t>documentation</w:t>
      </w:r>
      <w:r w:rsidR="0CB6AA21" w:rsidRPr="25DBBF9C">
        <w:rPr>
          <w:lang w:val="en-GB"/>
        </w:rPr>
        <w:t xml:space="preserve"> </w:t>
      </w:r>
      <w:r w:rsidR="2AF9E5D4" w:rsidRPr="25DBBF9C">
        <w:rPr>
          <w:lang w:val="en-GB"/>
        </w:rPr>
        <w:t xml:space="preserve">of controls </w:t>
      </w:r>
      <w:r w:rsidR="0CB6AA21" w:rsidRPr="25DBBF9C">
        <w:rPr>
          <w:lang w:val="en-GB"/>
        </w:rPr>
        <w:t>should set out ‘the associated risk(s)</w:t>
      </w:r>
      <w:r w:rsidR="507C0601" w:rsidRPr="25DBBF9C">
        <w:rPr>
          <w:lang w:val="en-GB"/>
        </w:rPr>
        <w:t>’</w:t>
      </w:r>
      <w:r w:rsidR="4250F66F" w:rsidRPr="25DBBF9C">
        <w:rPr>
          <w:lang w:val="en-GB"/>
        </w:rPr>
        <w:t xml:space="preserve">, </w:t>
      </w:r>
      <w:r w:rsidR="65A68977" w:rsidRPr="25DBBF9C">
        <w:rPr>
          <w:lang w:val="en-GB"/>
        </w:rPr>
        <w:t xml:space="preserve">whereas </w:t>
      </w:r>
      <w:r w:rsidR="4250F66F" w:rsidRPr="25DBBF9C">
        <w:rPr>
          <w:lang w:val="en-GB"/>
        </w:rPr>
        <w:t xml:space="preserve">the </w:t>
      </w:r>
      <w:r w:rsidR="07731587" w:rsidRPr="25DBBF9C">
        <w:rPr>
          <w:lang w:val="en-GB"/>
        </w:rPr>
        <w:t xml:space="preserve">Current Guidelines </w:t>
      </w:r>
      <w:r w:rsidR="78BEF121" w:rsidRPr="25DBBF9C">
        <w:rPr>
          <w:lang w:val="en-GB"/>
        </w:rPr>
        <w:t xml:space="preserve">state ‘the associated </w:t>
      </w:r>
      <w:r w:rsidR="56953C43" w:rsidRPr="25DBBF9C">
        <w:rPr>
          <w:lang w:val="en-GB"/>
        </w:rPr>
        <w:t>material</w:t>
      </w:r>
      <w:r w:rsidR="78BEF121" w:rsidRPr="25DBBF9C">
        <w:rPr>
          <w:lang w:val="en-GB"/>
        </w:rPr>
        <w:t xml:space="preserve"> risk(s)’. We query w</w:t>
      </w:r>
      <w:r w:rsidR="10C8DDE5" w:rsidRPr="25DBBF9C">
        <w:rPr>
          <w:lang w:val="en-GB"/>
        </w:rPr>
        <w:t xml:space="preserve">hy </w:t>
      </w:r>
      <w:r w:rsidR="28158352" w:rsidRPr="25DBBF9C">
        <w:rPr>
          <w:lang w:val="en-GB"/>
        </w:rPr>
        <w:t xml:space="preserve">ESMA </w:t>
      </w:r>
      <w:r w:rsidR="6C06612E" w:rsidRPr="25DBBF9C">
        <w:rPr>
          <w:lang w:val="en-GB"/>
        </w:rPr>
        <w:t xml:space="preserve">has </w:t>
      </w:r>
      <w:r w:rsidR="28158352" w:rsidRPr="25DBBF9C">
        <w:rPr>
          <w:lang w:val="en-GB"/>
        </w:rPr>
        <w:t xml:space="preserve">broadened the scope of the </w:t>
      </w:r>
      <w:r w:rsidR="61B70884" w:rsidRPr="25DBBF9C">
        <w:rPr>
          <w:lang w:val="en-GB"/>
        </w:rPr>
        <w:t>‘</w:t>
      </w:r>
      <w:r w:rsidR="28158352" w:rsidRPr="25DBBF9C">
        <w:rPr>
          <w:lang w:val="en-GB"/>
        </w:rPr>
        <w:t>associated risk</w:t>
      </w:r>
      <w:r w:rsidR="61B70884" w:rsidRPr="25DBBF9C">
        <w:rPr>
          <w:lang w:val="en-GB"/>
        </w:rPr>
        <w:t>(</w:t>
      </w:r>
      <w:r w:rsidR="28158352" w:rsidRPr="25DBBF9C">
        <w:rPr>
          <w:lang w:val="en-GB"/>
        </w:rPr>
        <w:t>s</w:t>
      </w:r>
      <w:r w:rsidR="61B70884" w:rsidRPr="25DBBF9C">
        <w:rPr>
          <w:lang w:val="en-GB"/>
        </w:rPr>
        <w:t>)’</w:t>
      </w:r>
      <w:r w:rsidR="0A6F9464" w:rsidRPr="25DBBF9C">
        <w:rPr>
          <w:lang w:val="en-GB"/>
        </w:rPr>
        <w:t xml:space="preserve">, reverting to the </w:t>
      </w:r>
      <w:r w:rsidR="28158352" w:rsidRPr="25DBBF9C">
        <w:rPr>
          <w:lang w:val="en-GB"/>
        </w:rPr>
        <w:t>2019 CP</w:t>
      </w:r>
      <w:r w:rsidR="04ED1FBB" w:rsidRPr="25DBBF9C">
        <w:rPr>
          <w:lang w:val="en-GB"/>
        </w:rPr>
        <w:t xml:space="preserve"> </w:t>
      </w:r>
      <w:r w:rsidR="0A6F9464" w:rsidRPr="25DBBF9C">
        <w:rPr>
          <w:lang w:val="en-GB"/>
        </w:rPr>
        <w:t xml:space="preserve">which had </w:t>
      </w:r>
      <w:r w:rsidR="04ED1FBB" w:rsidRPr="25DBBF9C">
        <w:rPr>
          <w:lang w:val="en-GB"/>
        </w:rPr>
        <w:t xml:space="preserve">also </w:t>
      </w:r>
      <w:r w:rsidR="0A1D69E1" w:rsidRPr="25DBBF9C">
        <w:rPr>
          <w:lang w:val="en-GB"/>
        </w:rPr>
        <w:t xml:space="preserve">proposed </w:t>
      </w:r>
      <w:r w:rsidR="542E7B5A" w:rsidRPr="25DBBF9C">
        <w:rPr>
          <w:lang w:val="en-GB"/>
        </w:rPr>
        <w:t xml:space="preserve">this broader </w:t>
      </w:r>
      <w:r w:rsidR="0A1D69E1" w:rsidRPr="25DBBF9C">
        <w:rPr>
          <w:lang w:val="en-GB"/>
        </w:rPr>
        <w:t xml:space="preserve">scope. </w:t>
      </w:r>
      <w:r w:rsidR="5597D8D9" w:rsidRPr="25DBBF9C">
        <w:rPr>
          <w:lang w:val="en-GB"/>
        </w:rPr>
        <w:t xml:space="preserve">In </w:t>
      </w:r>
      <w:r w:rsidR="66E0A64B" w:rsidRPr="25DBBF9C">
        <w:rPr>
          <w:lang w:val="en-GB"/>
        </w:rPr>
        <w:t>t</w:t>
      </w:r>
      <w:r w:rsidR="5FE21386" w:rsidRPr="25DBBF9C">
        <w:rPr>
          <w:lang w:val="en-GB"/>
        </w:rPr>
        <w:t>he</w:t>
      </w:r>
      <w:r w:rsidR="1710CAD8" w:rsidRPr="25DBBF9C">
        <w:rPr>
          <w:lang w:val="en-GB"/>
        </w:rPr>
        <w:t xml:space="preserve"> </w:t>
      </w:r>
      <w:r w:rsidR="0A1D69E1" w:rsidRPr="25DBBF9C">
        <w:rPr>
          <w:lang w:val="en-GB"/>
        </w:rPr>
        <w:t>Final Report accompanying the Current Guidelines</w:t>
      </w:r>
      <w:r w:rsidR="1710CAD8" w:rsidRPr="25DBBF9C">
        <w:rPr>
          <w:lang w:val="en-GB"/>
        </w:rPr>
        <w:t>, however,</w:t>
      </w:r>
      <w:r w:rsidR="0A1D69E1" w:rsidRPr="25DBBF9C">
        <w:rPr>
          <w:lang w:val="en-GB"/>
        </w:rPr>
        <w:t xml:space="preserve"> </w:t>
      </w:r>
      <w:r w:rsidR="5BAA0E02" w:rsidRPr="25DBBF9C">
        <w:rPr>
          <w:lang w:val="en-GB"/>
        </w:rPr>
        <w:t xml:space="preserve">it is </w:t>
      </w:r>
      <w:r w:rsidR="0A1D69E1" w:rsidRPr="25DBBF9C">
        <w:rPr>
          <w:lang w:val="en-GB"/>
        </w:rPr>
        <w:t>stated in paragraph 11 that ‘</w:t>
      </w:r>
      <w:r w:rsidR="04ED1FBB" w:rsidRPr="25DBBF9C">
        <w:rPr>
          <w:lang w:val="en-GB"/>
        </w:rPr>
        <w:t>ESMA has further clarified that the scope of the risk management activities it expects CRAs to carry out should be, at a minimum, those risks that could materially impact a CRA’s ability to meet its obligations under CRAR.</w:t>
      </w:r>
      <w:r w:rsidR="394C1C24" w:rsidRPr="25DBBF9C">
        <w:rPr>
          <w:lang w:val="en-GB"/>
        </w:rPr>
        <w:t xml:space="preserve">’ We therefore suggest that ESMA </w:t>
      </w:r>
      <w:r w:rsidR="482D377A" w:rsidRPr="25DBBF9C">
        <w:rPr>
          <w:lang w:val="en-GB"/>
        </w:rPr>
        <w:t>reverts to the wording of the Current Guidelines.</w:t>
      </w:r>
    </w:p>
    <w:bookmarkEnd w:id="0"/>
    <w:p w14:paraId="0E1C5FEB" w14:textId="77777777" w:rsidR="009D6ADC" w:rsidRDefault="009D6ADC" w:rsidP="0042193D">
      <w:pPr>
        <w:jc w:val="both"/>
        <w:rPr>
          <w:lang w:val="en-GB"/>
        </w:rPr>
      </w:pPr>
    </w:p>
    <w:p w14:paraId="78864BC7" w14:textId="708FF20C" w:rsidR="007303DE" w:rsidRDefault="006D0D02" w:rsidP="0042193D">
      <w:pPr>
        <w:jc w:val="both"/>
      </w:pPr>
      <w:r w:rsidRPr="47FB9429">
        <w:t>With respect to t</w:t>
      </w:r>
      <w:r w:rsidR="005B15D9" w:rsidRPr="47FB9429">
        <w:t xml:space="preserve">he </w:t>
      </w:r>
      <w:proofErr w:type="spellStart"/>
      <w:r w:rsidR="00C9595B" w:rsidRPr="47FB9429">
        <w:t>authorisations</w:t>
      </w:r>
      <w:proofErr w:type="spellEnd"/>
      <w:r w:rsidR="00C9595B" w:rsidRPr="47FB9429">
        <w:t xml:space="preserve"> and approvals set out in s</w:t>
      </w:r>
      <w:r w:rsidR="00F12481" w:rsidRPr="47FB9429">
        <w:t xml:space="preserve">ection </w:t>
      </w:r>
      <w:r w:rsidR="00640D5D" w:rsidRPr="47FB9429">
        <w:t>1.3.5</w:t>
      </w:r>
      <w:r w:rsidR="003B12E7" w:rsidRPr="47FB9429">
        <w:t>,</w:t>
      </w:r>
      <w:r w:rsidR="00640D5D" w:rsidRPr="47FB9429">
        <w:t xml:space="preserve"> </w:t>
      </w:r>
      <w:r w:rsidR="002F0601" w:rsidRPr="47FB9429">
        <w:t>‘</w:t>
      </w:r>
      <w:r w:rsidRPr="47FB9429">
        <w:t>processes</w:t>
      </w:r>
      <w:r w:rsidR="002F0601" w:rsidRPr="47FB9429">
        <w:t xml:space="preserve">’ </w:t>
      </w:r>
      <w:r w:rsidR="00640D5D" w:rsidRPr="47FB9429">
        <w:t xml:space="preserve">are not the only methods that can be used </w:t>
      </w:r>
      <w:r w:rsidR="00D57757" w:rsidRPr="47FB9429">
        <w:t xml:space="preserve">to ensure </w:t>
      </w:r>
      <w:r w:rsidR="00640D5D" w:rsidRPr="47FB9429">
        <w:t>appropriate authorization or approval authority</w:t>
      </w:r>
      <w:r w:rsidR="00D30BB8" w:rsidRPr="47FB9429">
        <w:t xml:space="preserve"> in our view</w:t>
      </w:r>
      <w:r w:rsidR="00EE3420" w:rsidRPr="47FB9429">
        <w:t>.</w:t>
      </w:r>
      <w:r w:rsidR="00D30BB8" w:rsidRPr="47FB9429">
        <w:t xml:space="preserve"> </w:t>
      </w:r>
      <w:r w:rsidR="00582847" w:rsidRPr="47FB9429">
        <w:t xml:space="preserve">We </w:t>
      </w:r>
      <w:r w:rsidR="007303DE" w:rsidRPr="47FB9429">
        <w:t xml:space="preserve">propose </w:t>
      </w:r>
      <w:r w:rsidR="00034DB2" w:rsidRPr="47FB9429">
        <w:t xml:space="preserve">the section to read </w:t>
      </w:r>
      <w:r w:rsidR="00FE361C" w:rsidRPr="47FB9429">
        <w:t xml:space="preserve">‘the supervised entity should have </w:t>
      </w:r>
      <w:proofErr w:type="spellStart"/>
      <w:r w:rsidR="00FE361C" w:rsidRPr="47FB9429">
        <w:t>authori</w:t>
      </w:r>
      <w:r w:rsidR="00295A6B" w:rsidRPr="47FB9429">
        <w:t>s</w:t>
      </w:r>
      <w:r w:rsidR="00FE361C" w:rsidRPr="47FB9429">
        <w:t>ation</w:t>
      </w:r>
      <w:proofErr w:type="spellEnd"/>
      <w:r w:rsidR="00FE361C" w:rsidRPr="47FB9429">
        <w:t xml:space="preserve"> process </w:t>
      </w:r>
      <w:r w:rsidR="00FE361C" w:rsidRPr="001678CB">
        <w:rPr>
          <w:i/>
          <w:u w:val="single"/>
        </w:rPr>
        <w:t xml:space="preserve">or </w:t>
      </w:r>
      <w:r w:rsidR="00034DB2" w:rsidRPr="001678CB">
        <w:rPr>
          <w:i/>
          <w:u w:val="single"/>
        </w:rPr>
        <w:t>mechanisms</w:t>
      </w:r>
      <w:r w:rsidR="004D5CC1" w:rsidRPr="47FB9429">
        <w:t xml:space="preserve"> </w:t>
      </w:r>
      <w:r w:rsidR="00034DB2" w:rsidRPr="47FB9429">
        <w:t xml:space="preserve">to </w:t>
      </w:r>
      <w:r w:rsidR="00FE361C" w:rsidRPr="47FB9429">
        <w:t xml:space="preserve">ensure that only </w:t>
      </w:r>
      <w:proofErr w:type="spellStart"/>
      <w:r w:rsidR="00FE361C" w:rsidRPr="47FB9429">
        <w:t>a</w:t>
      </w:r>
      <w:r w:rsidR="00295A6B" w:rsidRPr="47FB9429">
        <w:t>u</w:t>
      </w:r>
      <w:r w:rsidR="00FE361C" w:rsidRPr="47FB9429">
        <w:t>thoris</w:t>
      </w:r>
      <w:r w:rsidR="00720A44" w:rsidRPr="47FB9429">
        <w:t>ed</w:t>
      </w:r>
      <w:proofErr w:type="spellEnd"/>
      <w:r w:rsidR="00720A44" w:rsidRPr="47FB9429">
        <w:t xml:space="preserve"> individuals have access to information and too</w:t>
      </w:r>
      <w:r w:rsidR="00295A6B" w:rsidRPr="47FB9429">
        <w:t>l</w:t>
      </w:r>
      <w:r w:rsidR="00720A44" w:rsidRPr="47FB9429">
        <w:t xml:space="preserve">s on a need to know and least privilege </w:t>
      </w:r>
      <w:proofErr w:type="gramStart"/>
      <w:r w:rsidR="00720A44" w:rsidRPr="47FB9429">
        <w:t>basis</w:t>
      </w:r>
      <w:r w:rsidR="004D5CC1" w:rsidRPr="47FB9429">
        <w:t>’</w:t>
      </w:r>
      <w:proofErr w:type="gramEnd"/>
      <w:r w:rsidR="00A63FCC" w:rsidRPr="47FB9429">
        <w:t xml:space="preserve">. </w:t>
      </w:r>
    </w:p>
    <w:p w14:paraId="526C8AE2" w14:textId="1C72D019" w:rsidR="00640D5D" w:rsidRDefault="101FCEB3" w:rsidP="0042193D">
      <w:pPr>
        <w:jc w:val="both"/>
        <w:rPr>
          <w:lang w:val="en-GB"/>
        </w:rPr>
      </w:pPr>
      <w:r w:rsidRPr="27D20E4F">
        <w:rPr>
          <w:lang w:val="en-GB"/>
        </w:rPr>
        <w:t xml:space="preserve">Furthermore, </w:t>
      </w:r>
      <w:proofErr w:type="gramStart"/>
      <w:r w:rsidRPr="27D20E4F">
        <w:rPr>
          <w:lang w:val="en-GB"/>
        </w:rPr>
        <w:t xml:space="preserve">so </w:t>
      </w:r>
      <w:r w:rsidR="1C3F6BB3" w:rsidRPr="27D20E4F">
        <w:rPr>
          <w:lang w:val="en-GB"/>
        </w:rPr>
        <w:t>as to</w:t>
      </w:r>
      <w:proofErr w:type="gramEnd"/>
      <w:r w:rsidR="1C3F6BB3" w:rsidRPr="27D20E4F">
        <w:rPr>
          <w:lang w:val="en-GB"/>
        </w:rPr>
        <w:t xml:space="preserve"> determine </w:t>
      </w:r>
      <w:r w:rsidR="2EC5C9DB" w:rsidRPr="27D20E4F">
        <w:rPr>
          <w:lang w:val="en-GB"/>
        </w:rPr>
        <w:t xml:space="preserve">a more precise </w:t>
      </w:r>
      <w:r w:rsidR="57377133" w:rsidRPr="27D20E4F">
        <w:rPr>
          <w:lang w:val="en-GB"/>
        </w:rPr>
        <w:t xml:space="preserve">rather than overly </w:t>
      </w:r>
      <w:r w:rsidR="4EBB8D00" w:rsidRPr="27D20E4F">
        <w:rPr>
          <w:lang w:val="en-GB"/>
        </w:rPr>
        <w:t xml:space="preserve">broad </w:t>
      </w:r>
      <w:r w:rsidR="1C3F6BB3" w:rsidRPr="27D20E4F">
        <w:rPr>
          <w:lang w:val="en-GB"/>
        </w:rPr>
        <w:t xml:space="preserve">scope, we suggest the </w:t>
      </w:r>
      <w:r w:rsidR="3C416FE5" w:rsidRPr="27D20E4F">
        <w:rPr>
          <w:lang w:val="en-GB"/>
        </w:rPr>
        <w:t xml:space="preserve">second sentence </w:t>
      </w:r>
      <w:r w:rsidR="4EBB8D00" w:rsidRPr="27D20E4F">
        <w:rPr>
          <w:lang w:val="en-GB"/>
        </w:rPr>
        <w:t xml:space="preserve">focus on </w:t>
      </w:r>
      <w:r w:rsidR="79C71C0C" w:rsidRPr="27D20E4F">
        <w:rPr>
          <w:i/>
          <w:iCs/>
          <w:lang w:val="en-GB"/>
        </w:rPr>
        <w:t>key</w:t>
      </w:r>
      <w:r w:rsidR="79C71C0C" w:rsidRPr="27D20E4F">
        <w:rPr>
          <w:lang w:val="en-GB"/>
        </w:rPr>
        <w:t xml:space="preserve"> rather than ‘all’ business activities. </w:t>
      </w:r>
      <w:r w:rsidR="48FD2E4A" w:rsidRPr="27D20E4F">
        <w:rPr>
          <w:lang w:val="en-GB"/>
        </w:rPr>
        <w:t>Such an amendment would be appropriate in our view as f</w:t>
      </w:r>
      <w:r w:rsidR="3639AE26" w:rsidRPr="27D20E4F">
        <w:rPr>
          <w:lang w:val="en-GB"/>
        </w:rPr>
        <w:t xml:space="preserve">ootnotes 20 and 35 </w:t>
      </w:r>
      <w:r w:rsidR="062F0386" w:rsidRPr="27D20E4F">
        <w:rPr>
          <w:lang w:val="en-GB"/>
        </w:rPr>
        <w:t xml:space="preserve">narrowly describes </w:t>
      </w:r>
      <w:r w:rsidR="3639AE26" w:rsidRPr="27D20E4F">
        <w:rPr>
          <w:lang w:val="en-GB"/>
        </w:rPr>
        <w:t xml:space="preserve">specific activities </w:t>
      </w:r>
      <w:r w:rsidR="062F0386" w:rsidRPr="27D20E4F">
        <w:rPr>
          <w:lang w:val="en-GB"/>
        </w:rPr>
        <w:t>of CRAs</w:t>
      </w:r>
      <w:r w:rsidR="3580B616" w:rsidRPr="27D20E4F">
        <w:rPr>
          <w:lang w:val="en-GB"/>
        </w:rPr>
        <w:t>,</w:t>
      </w:r>
      <w:r w:rsidR="062F0386" w:rsidRPr="27D20E4F">
        <w:rPr>
          <w:lang w:val="en-GB"/>
        </w:rPr>
        <w:t xml:space="preserve"> </w:t>
      </w:r>
      <w:proofErr w:type="gramStart"/>
      <w:r w:rsidR="7B57D71E" w:rsidRPr="27D20E4F">
        <w:rPr>
          <w:lang w:val="en-GB"/>
        </w:rPr>
        <w:t>similar to</w:t>
      </w:r>
      <w:proofErr w:type="gramEnd"/>
      <w:r w:rsidR="7B57D71E" w:rsidRPr="27D20E4F">
        <w:rPr>
          <w:lang w:val="en-GB"/>
        </w:rPr>
        <w:t xml:space="preserve"> the Current Guidelines. We therefore suggest this section to </w:t>
      </w:r>
      <w:r w:rsidR="4B5567B0" w:rsidRPr="27D20E4F">
        <w:rPr>
          <w:lang w:val="en-GB"/>
        </w:rPr>
        <w:t xml:space="preserve">be </w:t>
      </w:r>
      <w:r w:rsidR="15C052CF" w:rsidRPr="27D20E4F">
        <w:rPr>
          <w:lang w:val="en-GB"/>
        </w:rPr>
        <w:t xml:space="preserve">revised to </w:t>
      </w:r>
      <w:r w:rsidR="7B57D71E" w:rsidRPr="27D20E4F">
        <w:rPr>
          <w:lang w:val="en-GB"/>
        </w:rPr>
        <w:t>read</w:t>
      </w:r>
      <w:r w:rsidR="2E9555E4" w:rsidRPr="27D20E4F">
        <w:rPr>
          <w:lang w:val="en-GB"/>
        </w:rPr>
        <w:t xml:space="preserve">: </w:t>
      </w:r>
      <w:r w:rsidR="1C3F6BB3" w:rsidRPr="27D20E4F">
        <w:rPr>
          <w:lang w:val="en-GB"/>
        </w:rPr>
        <w:t>‘</w:t>
      </w:r>
      <w:r w:rsidR="4683624A" w:rsidRPr="27D20E4F">
        <w:rPr>
          <w:lang w:val="en-GB"/>
        </w:rPr>
        <w:t xml:space="preserve">The supervised entity should also have processes </w:t>
      </w:r>
      <w:r w:rsidR="006B2AFD">
        <w:rPr>
          <w:i/>
          <w:iCs/>
          <w:u w:val="single"/>
          <w:lang w:val="en-GB"/>
        </w:rPr>
        <w:t>or</w:t>
      </w:r>
      <w:r w:rsidR="70952274" w:rsidRPr="00F87CFB">
        <w:rPr>
          <w:i/>
          <w:u w:val="single"/>
          <w:lang w:val="en-GB"/>
        </w:rPr>
        <w:t xml:space="preserve"> mechanisms</w:t>
      </w:r>
      <w:r w:rsidR="70952274" w:rsidRPr="00F87CFB">
        <w:rPr>
          <w:u w:val="single"/>
          <w:lang w:val="en-GB"/>
        </w:rPr>
        <w:t xml:space="preserve"> </w:t>
      </w:r>
      <w:r w:rsidR="4683624A" w:rsidRPr="27D20E4F">
        <w:rPr>
          <w:lang w:val="en-GB"/>
        </w:rPr>
        <w:t xml:space="preserve">in </w:t>
      </w:r>
      <w:r w:rsidR="4683624A" w:rsidRPr="27D20E4F">
        <w:rPr>
          <w:strike/>
          <w:lang w:val="en-GB"/>
        </w:rPr>
        <w:t>all</w:t>
      </w:r>
      <w:r w:rsidR="4683624A" w:rsidRPr="27D20E4F">
        <w:rPr>
          <w:lang w:val="en-GB"/>
        </w:rPr>
        <w:t xml:space="preserve"> </w:t>
      </w:r>
      <w:r w:rsidR="70952274" w:rsidRPr="006B2AFD">
        <w:rPr>
          <w:i/>
          <w:u w:val="single"/>
          <w:lang w:val="en-GB"/>
        </w:rPr>
        <w:t>key</w:t>
      </w:r>
      <w:r w:rsidR="70952274" w:rsidRPr="27D20E4F">
        <w:rPr>
          <w:lang w:val="en-GB"/>
        </w:rPr>
        <w:t xml:space="preserve"> </w:t>
      </w:r>
      <w:r w:rsidR="4683624A" w:rsidRPr="27D20E4F">
        <w:rPr>
          <w:lang w:val="en-GB"/>
        </w:rPr>
        <w:t>business activities to ensure that activities are approved and executed only by staff members acting within the scope of their authority.</w:t>
      </w:r>
      <w:r w:rsidR="5228A840" w:rsidRPr="27D20E4F">
        <w:rPr>
          <w:lang w:val="en-GB"/>
        </w:rPr>
        <w:t xml:space="preserve"> The supervised entity should also have processes </w:t>
      </w:r>
      <w:r w:rsidR="006B2AFD">
        <w:rPr>
          <w:i/>
          <w:iCs/>
          <w:u w:val="single"/>
          <w:lang w:val="en-GB"/>
        </w:rPr>
        <w:t xml:space="preserve">or </w:t>
      </w:r>
      <w:r w:rsidR="00964600" w:rsidRPr="00F87CFB">
        <w:rPr>
          <w:i/>
          <w:iCs/>
          <w:u w:val="single"/>
          <w:lang w:val="en-GB"/>
        </w:rPr>
        <w:t>mechanisms</w:t>
      </w:r>
      <w:r w:rsidR="00964600" w:rsidRPr="00F87CFB">
        <w:rPr>
          <w:u w:val="single"/>
          <w:lang w:val="en-GB"/>
        </w:rPr>
        <w:t xml:space="preserve"> </w:t>
      </w:r>
      <w:r w:rsidR="5228A840" w:rsidRPr="27D20E4F">
        <w:rPr>
          <w:lang w:val="en-GB"/>
        </w:rPr>
        <w:t xml:space="preserve">in </w:t>
      </w:r>
      <w:r w:rsidR="00C4786C" w:rsidRPr="27D20E4F">
        <w:rPr>
          <w:strike/>
          <w:lang w:val="en-GB"/>
        </w:rPr>
        <w:t>all</w:t>
      </w:r>
      <w:r w:rsidR="00C4786C" w:rsidRPr="27D20E4F">
        <w:rPr>
          <w:lang w:val="en-GB"/>
        </w:rPr>
        <w:t xml:space="preserve"> </w:t>
      </w:r>
      <w:r w:rsidR="00C4786C" w:rsidRPr="006B2AFD">
        <w:rPr>
          <w:i/>
          <w:iCs/>
          <w:u w:val="single"/>
          <w:lang w:val="en-GB"/>
        </w:rPr>
        <w:t>key</w:t>
      </w:r>
      <w:r w:rsidR="5228A840" w:rsidRPr="27D20E4F">
        <w:rPr>
          <w:lang w:val="en-GB"/>
        </w:rPr>
        <w:t xml:space="preserve"> business activities to ensure that activities are approved and executed only by staff members acting within the scope of their authority.</w:t>
      </w:r>
      <w:r w:rsidR="1C3F6BB3" w:rsidRPr="27D20E4F">
        <w:rPr>
          <w:lang w:val="en-GB"/>
        </w:rPr>
        <w:t>’</w:t>
      </w:r>
    </w:p>
    <w:p w14:paraId="6CA9B5DF" w14:textId="77777777" w:rsidR="007D761E" w:rsidRPr="004D5CC1" w:rsidRDefault="007D761E" w:rsidP="0042193D">
      <w:pPr>
        <w:jc w:val="both"/>
        <w:rPr>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D761E" w:rsidRPr="004D5CC1" w14:paraId="05273225" w14:textId="77777777" w:rsidTr="002C7D33">
        <w:tc>
          <w:tcPr>
            <w:tcW w:w="9016" w:type="dxa"/>
            <w:shd w:val="clear" w:color="auto" w:fill="D9D9D9" w:themeFill="background1" w:themeFillShade="D9"/>
          </w:tcPr>
          <w:p w14:paraId="45B3288B" w14:textId="45410C0F" w:rsidR="007D761E" w:rsidRPr="004D5CC1" w:rsidRDefault="007D761E" w:rsidP="0042193D">
            <w:pPr>
              <w:jc w:val="both"/>
              <w:rPr>
                <w:lang w:val="en-GB"/>
              </w:rPr>
            </w:pPr>
            <w:r w:rsidRPr="004D5CC1">
              <w:rPr>
                <w:lang w:val="en-GB"/>
              </w:rPr>
              <w:t xml:space="preserve">Question </w:t>
            </w:r>
            <w:r w:rsidR="002E33ED" w:rsidRPr="004D5CC1">
              <w:rPr>
                <w:lang w:val="en-GB"/>
              </w:rPr>
              <w:t>2: Are there any other comments you wish to raise on this section?</w:t>
            </w:r>
          </w:p>
        </w:tc>
      </w:tr>
    </w:tbl>
    <w:p w14:paraId="4BBB5A28" w14:textId="77777777" w:rsidR="007D761E" w:rsidRPr="004D5CC1" w:rsidRDefault="007D761E" w:rsidP="0042193D">
      <w:pPr>
        <w:jc w:val="both"/>
        <w:rPr>
          <w:lang w:val="en-GB"/>
        </w:rPr>
      </w:pPr>
    </w:p>
    <w:p w14:paraId="1BD012BD" w14:textId="4B408144" w:rsidR="007D761E" w:rsidRPr="004D5CC1" w:rsidRDefault="00FB68A8" w:rsidP="0042193D">
      <w:pPr>
        <w:jc w:val="both"/>
        <w:rPr>
          <w:lang w:val="en-GB"/>
        </w:rPr>
      </w:pPr>
      <w:r>
        <w:rPr>
          <w:lang w:val="en-GB"/>
        </w:rPr>
        <w:t>No.</w:t>
      </w:r>
    </w:p>
    <w:p w14:paraId="6D7E8A85" w14:textId="77777777" w:rsidR="007D761E" w:rsidRPr="004D5CC1" w:rsidRDefault="007D761E" w:rsidP="0042193D">
      <w:pPr>
        <w:jc w:val="both"/>
        <w:rPr>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D761E" w:rsidRPr="004D5CC1" w14:paraId="2EC5283F" w14:textId="77777777" w:rsidTr="002C7D33">
        <w:tc>
          <w:tcPr>
            <w:tcW w:w="9016" w:type="dxa"/>
            <w:shd w:val="clear" w:color="auto" w:fill="D9D9D9" w:themeFill="background1" w:themeFillShade="D9"/>
          </w:tcPr>
          <w:p w14:paraId="2A94EFED" w14:textId="24BA74A2" w:rsidR="007D761E" w:rsidRPr="004D5CC1" w:rsidRDefault="007D761E" w:rsidP="0042193D">
            <w:pPr>
              <w:jc w:val="both"/>
              <w:rPr>
                <w:lang w:val="en-GB"/>
              </w:rPr>
            </w:pPr>
            <w:r w:rsidRPr="004D5CC1">
              <w:rPr>
                <w:lang w:val="en-GB"/>
              </w:rPr>
              <w:t xml:space="preserve">Question </w:t>
            </w:r>
            <w:r w:rsidR="002E33ED" w:rsidRPr="004D5CC1">
              <w:rPr>
                <w:lang w:val="en-GB"/>
              </w:rPr>
              <w:t>3: Do you have any comments on the proposed Guidelines under this section on IC Functions? In providing your comments, please refer to the general principle, component and/or characteristic that you are commenting on</w:t>
            </w:r>
          </w:p>
        </w:tc>
      </w:tr>
    </w:tbl>
    <w:p w14:paraId="5CA5C7DC" w14:textId="77777777" w:rsidR="007D761E" w:rsidRPr="004D5CC1" w:rsidRDefault="007D761E" w:rsidP="0042193D">
      <w:pPr>
        <w:jc w:val="both"/>
        <w:rPr>
          <w:lang w:val="en-GB"/>
        </w:rPr>
      </w:pPr>
    </w:p>
    <w:p w14:paraId="1C162113" w14:textId="3851881C" w:rsidR="002E33ED" w:rsidRPr="004D5CC1" w:rsidRDefault="00FB68A8" w:rsidP="0042193D">
      <w:pPr>
        <w:jc w:val="both"/>
        <w:rPr>
          <w:lang w:val="en-GB"/>
        </w:rPr>
      </w:pPr>
      <w:r>
        <w:rPr>
          <w:lang w:val="en-GB"/>
        </w:rPr>
        <w:t>No.</w:t>
      </w:r>
    </w:p>
    <w:p w14:paraId="5EF12DFE" w14:textId="77777777" w:rsidR="007D761E" w:rsidRPr="004D5CC1" w:rsidRDefault="007D761E" w:rsidP="0042193D">
      <w:pPr>
        <w:jc w:val="both"/>
        <w:rPr>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D761E" w:rsidRPr="004D5CC1" w14:paraId="3B203BD5" w14:textId="77777777" w:rsidTr="002C7D33">
        <w:tc>
          <w:tcPr>
            <w:tcW w:w="9016" w:type="dxa"/>
            <w:shd w:val="clear" w:color="auto" w:fill="D9D9D9" w:themeFill="background1" w:themeFillShade="D9"/>
          </w:tcPr>
          <w:p w14:paraId="657E58C4" w14:textId="32F1AAE0" w:rsidR="007D761E" w:rsidRPr="004D5CC1" w:rsidRDefault="007D761E" w:rsidP="0042193D">
            <w:pPr>
              <w:jc w:val="both"/>
              <w:rPr>
                <w:lang w:val="en-GB"/>
              </w:rPr>
            </w:pPr>
            <w:r w:rsidRPr="004D5CC1">
              <w:rPr>
                <w:lang w:val="en-GB"/>
              </w:rPr>
              <w:lastRenderedPageBreak/>
              <w:t>Question 4: Do you have any comments on ESMA’s approach to proportionality for Internal Control Functions?</w:t>
            </w:r>
          </w:p>
        </w:tc>
      </w:tr>
    </w:tbl>
    <w:p w14:paraId="5DFA44BE" w14:textId="182D12CB" w:rsidR="007D761E" w:rsidRDefault="007D761E" w:rsidP="0042193D">
      <w:pPr>
        <w:jc w:val="both"/>
        <w:rPr>
          <w:lang w:val="en-GB"/>
        </w:rPr>
      </w:pPr>
    </w:p>
    <w:p w14:paraId="4F4821CA" w14:textId="640DC800" w:rsidR="002E7571" w:rsidRPr="00E3391F" w:rsidRDefault="00A03D80" w:rsidP="0042193D">
      <w:pPr>
        <w:jc w:val="both"/>
        <w:rPr>
          <w:lang w:val="en-GB"/>
        </w:rPr>
      </w:pPr>
      <w:r w:rsidRPr="00E3391F">
        <w:rPr>
          <w:lang w:val="en-GB"/>
        </w:rPr>
        <w:t xml:space="preserve">In our view, the principle of </w:t>
      </w:r>
      <w:r w:rsidR="002E7571" w:rsidRPr="00E3391F">
        <w:rPr>
          <w:lang w:val="en-GB"/>
        </w:rPr>
        <w:t xml:space="preserve">proportionality </w:t>
      </w:r>
      <w:r w:rsidR="0075649D">
        <w:rPr>
          <w:lang w:val="en-GB"/>
        </w:rPr>
        <w:t xml:space="preserve">should </w:t>
      </w:r>
      <w:r w:rsidR="00B47E20" w:rsidRPr="00E3391F">
        <w:rPr>
          <w:lang w:val="en-GB"/>
        </w:rPr>
        <w:t xml:space="preserve">not only consider the </w:t>
      </w:r>
      <w:r w:rsidR="002E7571" w:rsidRPr="00E3391F">
        <w:rPr>
          <w:lang w:val="en-GB"/>
        </w:rPr>
        <w:t xml:space="preserve">size and scale of the </w:t>
      </w:r>
      <w:r w:rsidR="00B47E20" w:rsidRPr="00E3391F">
        <w:rPr>
          <w:lang w:val="en-GB"/>
        </w:rPr>
        <w:t xml:space="preserve">supervised </w:t>
      </w:r>
      <w:r w:rsidR="002E7571" w:rsidRPr="00E3391F">
        <w:rPr>
          <w:lang w:val="en-GB"/>
        </w:rPr>
        <w:t>entity</w:t>
      </w:r>
      <w:r w:rsidR="00B47E20" w:rsidRPr="00E3391F">
        <w:rPr>
          <w:lang w:val="en-GB"/>
        </w:rPr>
        <w:t xml:space="preserve"> but should also </w:t>
      </w:r>
      <w:r w:rsidR="0089211F">
        <w:rPr>
          <w:lang w:val="en-GB"/>
        </w:rPr>
        <w:t>consider the</w:t>
      </w:r>
      <w:r w:rsidR="006B53A0">
        <w:rPr>
          <w:lang w:val="en-GB"/>
        </w:rPr>
        <w:t xml:space="preserve"> relative</w:t>
      </w:r>
      <w:r w:rsidR="0089211F">
        <w:rPr>
          <w:lang w:val="en-GB"/>
        </w:rPr>
        <w:t xml:space="preserve"> </w:t>
      </w:r>
      <w:r w:rsidR="00B47E20" w:rsidRPr="00E3391F">
        <w:rPr>
          <w:lang w:val="en-GB"/>
        </w:rPr>
        <w:t>risk</w:t>
      </w:r>
      <w:r w:rsidR="006B53A0">
        <w:rPr>
          <w:lang w:val="en-GB"/>
        </w:rPr>
        <w:t xml:space="preserve"> of underlying business processes</w:t>
      </w:r>
      <w:r w:rsidR="00E3391F" w:rsidRPr="00E3391F">
        <w:rPr>
          <w:lang w:val="en-GB"/>
        </w:rPr>
        <w:t xml:space="preserve"> as identified by the supervised entity.</w:t>
      </w:r>
      <w:r w:rsidR="002E7571" w:rsidRPr="00E3391F">
        <w:rPr>
          <w:lang w:val="en-GB"/>
        </w:rPr>
        <w:t xml:space="preserve"> </w:t>
      </w:r>
      <w:r w:rsidR="00B91E0E" w:rsidRPr="00B91E0E">
        <w:rPr>
          <w:rFonts w:ascii="Segoe UI" w:hAnsi="Segoe UI" w:cs="Segoe UI"/>
          <w:sz w:val="18"/>
          <w:szCs w:val="18"/>
        </w:rPr>
        <w:t xml:space="preserve"> </w:t>
      </w:r>
      <w:proofErr w:type="gramStart"/>
      <w:r w:rsidR="00B91E0E" w:rsidRPr="00B91E0E">
        <w:t>In particular that</w:t>
      </w:r>
      <w:proofErr w:type="gramEnd"/>
      <w:r w:rsidR="00B91E0E" w:rsidRPr="00B91E0E">
        <w:t xml:space="preserve"> the type and maturity of control activities may vary depending on the nature, scale and complexity of an underlying business process and its relative risk to the organization.</w:t>
      </w:r>
    </w:p>
    <w:p w14:paraId="5EE039D4" w14:textId="77777777" w:rsidR="007D761E" w:rsidRPr="004D5CC1" w:rsidRDefault="007D761E" w:rsidP="0042193D">
      <w:pPr>
        <w:jc w:val="both"/>
        <w:rPr>
          <w:lang w:val="en-G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B680F" w:rsidRPr="004D5CC1" w14:paraId="7075DC87" w14:textId="77777777" w:rsidTr="00BB680F">
        <w:tc>
          <w:tcPr>
            <w:tcW w:w="9016" w:type="dxa"/>
            <w:shd w:val="clear" w:color="auto" w:fill="D9D9D9" w:themeFill="background1" w:themeFillShade="D9"/>
          </w:tcPr>
          <w:p w14:paraId="7151F6CC" w14:textId="31BBCFB6" w:rsidR="00BB680F" w:rsidRPr="004D5CC1" w:rsidRDefault="00BB680F" w:rsidP="0042193D">
            <w:pPr>
              <w:jc w:val="both"/>
              <w:rPr>
                <w:lang w:val="en-GB"/>
              </w:rPr>
            </w:pPr>
            <w:r w:rsidRPr="004D5CC1">
              <w:rPr>
                <w:lang w:val="en-GB"/>
              </w:rPr>
              <w:t xml:space="preserve">Question </w:t>
            </w:r>
            <w:r w:rsidR="007D761E" w:rsidRPr="004D5CC1">
              <w:rPr>
                <w:lang w:val="en-GB"/>
              </w:rPr>
              <w:t>5</w:t>
            </w:r>
            <w:r w:rsidRPr="004D5CC1">
              <w:rPr>
                <w:lang w:val="en-GB"/>
              </w:rPr>
              <w:t>: Are there any other comments you wish to raise on this section?</w:t>
            </w:r>
          </w:p>
        </w:tc>
      </w:tr>
    </w:tbl>
    <w:p w14:paraId="79D0AB7E" w14:textId="77777777" w:rsidR="00BB680F" w:rsidRPr="004D5CC1" w:rsidRDefault="00BB680F" w:rsidP="0042193D">
      <w:pPr>
        <w:jc w:val="both"/>
        <w:rPr>
          <w:lang w:val="en-GB"/>
        </w:rPr>
      </w:pPr>
    </w:p>
    <w:p w14:paraId="16A7EB83" w14:textId="38E5AAA6" w:rsidR="00522C9C" w:rsidRPr="004D5CC1" w:rsidRDefault="73E9FC08" w:rsidP="0042193D">
      <w:pPr>
        <w:jc w:val="both"/>
        <w:rPr>
          <w:lang w:val="en-GB"/>
        </w:rPr>
      </w:pPr>
      <w:r w:rsidRPr="27D20E4F">
        <w:rPr>
          <w:lang w:val="en-GB"/>
        </w:rPr>
        <w:t xml:space="preserve">Finally, we </w:t>
      </w:r>
      <w:r w:rsidR="43400E74" w:rsidRPr="27D20E4F">
        <w:rPr>
          <w:lang w:val="en-GB"/>
        </w:rPr>
        <w:t>note that ESMA does</w:t>
      </w:r>
      <w:r w:rsidR="2978F5B0" w:rsidRPr="27D20E4F">
        <w:rPr>
          <w:lang w:val="en-GB"/>
        </w:rPr>
        <w:t xml:space="preserve"> </w:t>
      </w:r>
      <w:r w:rsidR="43400E74" w:rsidRPr="27D20E4F">
        <w:rPr>
          <w:lang w:val="en-GB"/>
        </w:rPr>
        <w:t>n</w:t>
      </w:r>
      <w:r w:rsidR="2978F5B0" w:rsidRPr="27D20E4F">
        <w:rPr>
          <w:lang w:val="en-GB"/>
        </w:rPr>
        <w:t>o</w:t>
      </w:r>
      <w:r w:rsidR="43400E74" w:rsidRPr="27D20E4F">
        <w:rPr>
          <w:lang w:val="en-GB"/>
        </w:rPr>
        <w:t xml:space="preserve">t comment on the application of the Draft Guidelines to </w:t>
      </w:r>
      <w:r w:rsidR="489928E6" w:rsidRPr="27D20E4F">
        <w:rPr>
          <w:lang w:val="en-GB"/>
        </w:rPr>
        <w:t>entities</w:t>
      </w:r>
      <w:r w:rsidR="7364058E" w:rsidRPr="27D20E4F">
        <w:rPr>
          <w:lang w:val="en-GB"/>
        </w:rPr>
        <w:t xml:space="preserve"> not yet </w:t>
      </w:r>
      <w:r w:rsidR="41EA3F55" w:rsidRPr="27D20E4F">
        <w:rPr>
          <w:lang w:val="en-GB"/>
        </w:rPr>
        <w:t xml:space="preserve">supervised by ESMA but for which ESMA has been granted a supervisory mandate </w:t>
      </w:r>
      <w:r w:rsidR="43400E74" w:rsidRPr="27D20E4F">
        <w:rPr>
          <w:lang w:val="en-GB"/>
        </w:rPr>
        <w:t xml:space="preserve">such as EU Green Bond Standards External Reviewers or ESG Rating Providers </w:t>
      </w:r>
      <w:r w:rsidR="7E7EA459" w:rsidRPr="27D20E4F">
        <w:rPr>
          <w:lang w:val="en-GB"/>
        </w:rPr>
        <w:t xml:space="preserve">as </w:t>
      </w:r>
      <w:r w:rsidR="489928E6" w:rsidRPr="27D20E4F">
        <w:rPr>
          <w:lang w:val="en-GB"/>
        </w:rPr>
        <w:t xml:space="preserve">these </w:t>
      </w:r>
      <w:r w:rsidR="43400E74" w:rsidRPr="27D20E4F">
        <w:rPr>
          <w:lang w:val="en-GB"/>
        </w:rPr>
        <w:t xml:space="preserve">are not cited as being in scope of the Draft Guidelines. </w:t>
      </w:r>
      <w:r w:rsidR="28B22734" w:rsidRPr="27D20E4F">
        <w:rPr>
          <w:lang w:val="en-GB"/>
        </w:rPr>
        <w:t xml:space="preserve">It is stated in paragraph 11 that </w:t>
      </w:r>
      <w:r w:rsidR="39209D38" w:rsidRPr="27D20E4F">
        <w:rPr>
          <w:lang w:val="en-GB"/>
        </w:rPr>
        <w:t xml:space="preserve">ESMA </w:t>
      </w:r>
      <w:r w:rsidR="3A70CCD8" w:rsidRPr="27D20E4F">
        <w:rPr>
          <w:lang w:val="en-GB"/>
        </w:rPr>
        <w:t>takes</w:t>
      </w:r>
      <w:r w:rsidR="39209D38" w:rsidRPr="27D20E4F">
        <w:rPr>
          <w:lang w:val="en-GB"/>
        </w:rPr>
        <w:t xml:space="preserve"> </w:t>
      </w:r>
      <w:r w:rsidR="3A70CCD8" w:rsidRPr="27D20E4F">
        <w:rPr>
          <w:lang w:val="en-GB"/>
        </w:rPr>
        <w:t xml:space="preserve">‘a </w:t>
      </w:r>
      <w:r w:rsidR="39209D38" w:rsidRPr="27D20E4F">
        <w:rPr>
          <w:lang w:val="en-GB"/>
        </w:rPr>
        <w:t xml:space="preserve">consistent approach to its supervisory assessments of internal control practices across the entities </w:t>
      </w:r>
      <w:proofErr w:type="gramStart"/>
      <w:r w:rsidR="39209D38" w:rsidRPr="27D20E4F">
        <w:rPr>
          <w:lang w:val="en-GB"/>
        </w:rPr>
        <w:t>it</w:t>
      </w:r>
      <w:proofErr w:type="gramEnd"/>
      <w:r w:rsidR="39209D38" w:rsidRPr="27D20E4F">
        <w:rPr>
          <w:lang w:val="en-GB"/>
        </w:rPr>
        <w:t xml:space="preserve"> supervises</w:t>
      </w:r>
      <w:r w:rsidR="3A70CCD8" w:rsidRPr="27D20E4F">
        <w:rPr>
          <w:lang w:val="en-GB"/>
        </w:rPr>
        <w:t xml:space="preserve">’, </w:t>
      </w:r>
      <w:r w:rsidR="448E5AEC" w:rsidRPr="27D20E4F">
        <w:rPr>
          <w:lang w:val="en-GB"/>
        </w:rPr>
        <w:t xml:space="preserve">and </w:t>
      </w:r>
      <w:r w:rsidR="43400E74" w:rsidRPr="27D20E4F">
        <w:rPr>
          <w:lang w:val="en-GB"/>
        </w:rPr>
        <w:t xml:space="preserve">we </w:t>
      </w:r>
      <w:r w:rsidR="448E5AEC" w:rsidRPr="27D20E4F">
        <w:rPr>
          <w:lang w:val="en-GB"/>
        </w:rPr>
        <w:t xml:space="preserve">therefore </w:t>
      </w:r>
      <w:r w:rsidR="43400E74" w:rsidRPr="27D20E4F">
        <w:rPr>
          <w:lang w:val="en-GB"/>
        </w:rPr>
        <w:t xml:space="preserve">anticipate that the Guidelines </w:t>
      </w:r>
      <w:r w:rsidR="28FADACD" w:rsidRPr="27D20E4F">
        <w:rPr>
          <w:lang w:val="en-GB"/>
        </w:rPr>
        <w:t xml:space="preserve">may </w:t>
      </w:r>
      <w:r w:rsidR="43400E74" w:rsidRPr="27D20E4F">
        <w:rPr>
          <w:lang w:val="en-GB"/>
        </w:rPr>
        <w:t xml:space="preserve">eventually apply to </w:t>
      </w:r>
      <w:r w:rsidR="448E5AEC" w:rsidRPr="27D20E4F">
        <w:rPr>
          <w:lang w:val="en-GB"/>
        </w:rPr>
        <w:t xml:space="preserve">such entities and </w:t>
      </w:r>
      <w:r w:rsidR="1D66C962" w:rsidRPr="27D20E4F">
        <w:rPr>
          <w:lang w:val="en-GB"/>
        </w:rPr>
        <w:t>any future supervisory mandate</w:t>
      </w:r>
      <w:r w:rsidR="41006A62" w:rsidRPr="27D20E4F">
        <w:rPr>
          <w:lang w:val="en-GB"/>
        </w:rPr>
        <w:t>.</w:t>
      </w:r>
    </w:p>
    <w:p w14:paraId="6291F59F" w14:textId="7FAC92A6" w:rsidR="00DB1A06" w:rsidRPr="004D5CC1" w:rsidRDefault="008967D4" w:rsidP="0042193D">
      <w:pPr>
        <w:jc w:val="both"/>
        <w:rPr>
          <w:lang w:val="en-GB"/>
        </w:rPr>
      </w:pPr>
      <w:r w:rsidRPr="004D5CC1">
        <w:rPr>
          <w:lang w:val="en-GB"/>
        </w:rPr>
        <w:t xml:space="preserve">Beyond the principle of proportionality outlined in section </w:t>
      </w:r>
      <w:r w:rsidR="00EE58DA" w:rsidRPr="004D5CC1">
        <w:rPr>
          <w:lang w:val="en-GB"/>
        </w:rPr>
        <w:t>3.3</w:t>
      </w:r>
      <w:r w:rsidRPr="004D5CC1">
        <w:rPr>
          <w:lang w:val="en-GB"/>
        </w:rPr>
        <w:t xml:space="preserve"> of the Draft Guidelines, ESMA should </w:t>
      </w:r>
      <w:r w:rsidR="00522C9C" w:rsidRPr="0041314F">
        <w:rPr>
          <w:lang w:val="en-GB"/>
        </w:rPr>
        <w:t xml:space="preserve">avoid creating unduly burdensome requirements that might go beyond the requirements imposed by the respective legislations under which these industries are regulated. </w:t>
      </w:r>
      <w:r w:rsidRPr="004D5CC1">
        <w:rPr>
          <w:lang w:val="en-GB"/>
        </w:rPr>
        <w:t>Therefore, before subjecting new industries or actors to the Guidelines, ESMA should conduct a consultation</w:t>
      </w:r>
      <w:r w:rsidR="00BB680F" w:rsidRPr="004D5CC1">
        <w:rPr>
          <w:lang w:val="en-GB"/>
        </w:rPr>
        <w:t xml:space="preserve"> so that the specifies of these activities are appropriately considered.</w:t>
      </w:r>
    </w:p>
    <w:sectPr w:rsidR="00DB1A06" w:rsidRPr="004D5C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A32B" w14:textId="77777777" w:rsidR="001725E5" w:rsidRDefault="001725E5" w:rsidP="00852EA0">
      <w:pPr>
        <w:spacing w:after="0" w:line="240" w:lineRule="auto"/>
      </w:pPr>
      <w:r>
        <w:separator/>
      </w:r>
    </w:p>
  </w:endnote>
  <w:endnote w:type="continuationSeparator" w:id="0">
    <w:p w14:paraId="22935642" w14:textId="77777777" w:rsidR="001725E5" w:rsidRDefault="001725E5" w:rsidP="00852EA0">
      <w:pPr>
        <w:spacing w:after="0" w:line="240" w:lineRule="auto"/>
      </w:pPr>
      <w:r>
        <w:continuationSeparator/>
      </w:r>
    </w:p>
  </w:endnote>
  <w:endnote w:type="continuationNotice" w:id="1">
    <w:p w14:paraId="63680F1F" w14:textId="77777777" w:rsidR="001725E5" w:rsidRDefault="0017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20704"/>
      <w:docPartObj>
        <w:docPartGallery w:val="Page Numbers (Bottom of Page)"/>
        <w:docPartUnique/>
      </w:docPartObj>
    </w:sdtPr>
    <w:sdtEndPr>
      <w:rPr>
        <w:noProof/>
      </w:rPr>
    </w:sdtEndPr>
    <w:sdtContent>
      <w:p w14:paraId="193E280D" w14:textId="59820192" w:rsidR="004E1D31" w:rsidRDefault="004E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E6E1D" w14:textId="77777777" w:rsidR="004E1D31" w:rsidRDefault="004E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8909" w14:textId="77777777" w:rsidR="001725E5" w:rsidRDefault="001725E5" w:rsidP="00852EA0">
      <w:pPr>
        <w:spacing w:after="0" w:line="240" w:lineRule="auto"/>
      </w:pPr>
      <w:r>
        <w:separator/>
      </w:r>
    </w:p>
  </w:footnote>
  <w:footnote w:type="continuationSeparator" w:id="0">
    <w:p w14:paraId="094B92E2" w14:textId="77777777" w:rsidR="001725E5" w:rsidRDefault="001725E5" w:rsidP="00852EA0">
      <w:pPr>
        <w:spacing w:after="0" w:line="240" w:lineRule="auto"/>
      </w:pPr>
      <w:r>
        <w:continuationSeparator/>
      </w:r>
    </w:p>
  </w:footnote>
  <w:footnote w:type="continuationNotice" w:id="1">
    <w:p w14:paraId="6B56FB8E" w14:textId="77777777" w:rsidR="001725E5" w:rsidRDefault="001725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C6C6" w14:textId="48C66168" w:rsidR="004E1D31" w:rsidRDefault="004E1D31">
    <w:pPr>
      <w:pStyle w:val="Header"/>
    </w:pPr>
    <w:r>
      <w:rPr>
        <w:noProof/>
      </w:rPr>
      <w:drawing>
        <wp:anchor distT="0" distB="0" distL="114300" distR="114300" simplePos="0" relativeHeight="251659264" behindDoc="1" locked="0" layoutInCell="1" allowOverlap="1" wp14:anchorId="7D93B323" wp14:editId="264C4D30">
          <wp:simplePos x="0" y="0"/>
          <wp:positionH relativeFrom="margin">
            <wp:posOffset>0</wp:posOffset>
          </wp:positionH>
          <wp:positionV relativeFrom="paragraph">
            <wp:posOffset>-635</wp:posOffset>
          </wp:positionV>
          <wp:extent cx="1354455" cy="733425"/>
          <wp:effectExtent l="0" t="0" r="0" b="9525"/>
          <wp:wrapNone/>
          <wp:docPr id="1" name="Picture 2" descr="cid:image002.png@01D1A12C.0F4DE090"/>
          <wp:cNvGraphicFramePr/>
          <a:graphic xmlns:a="http://schemas.openxmlformats.org/drawingml/2006/main">
            <a:graphicData uri="http://schemas.openxmlformats.org/drawingml/2006/picture">
              <pic:pic xmlns:pic="http://schemas.openxmlformats.org/drawingml/2006/picture">
                <pic:nvPicPr>
                  <pic:cNvPr id="1" name="Picture 2" descr="cid:image002.png@01D1A12C.0F4DE0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733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415" w14:textId="2A4BB1A3" w:rsidR="004E1D31" w:rsidRDefault="004E1D31" w:rsidP="004E1D31">
    <w:pPr>
      <w:pStyle w:val="Header"/>
      <w:tabs>
        <w:tab w:val="clear" w:pos="4680"/>
        <w:tab w:val="clear" w:pos="936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63F"/>
    <w:multiLevelType w:val="hybridMultilevel"/>
    <w:tmpl w:val="57A49000"/>
    <w:lvl w:ilvl="0" w:tplc="FBF22AA4">
      <w:start w:val="11"/>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1707A06"/>
    <w:multiLevelType w:val="hybridMultilevel"/>
    <w:tmpl w:val="F190E59A"/>
    <w:lvl w:ilvl="0" w:tplc="20DE5D5C">
      <w:start w:val="11"/>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502314427">
    <w:abstractNumId w:val="1"/>
  </w:num>
  <w:num w:numId="2" w16cid:durableId="175532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4F"/>
    <w:rsid w:val="000012B9"/>
    <w:rsid w:val="00002382"/>
    <w:rsid w:val="00002BF5"/>
    <w:rsid w:val="000063EC"/>
    <w:rsid w:val="0000759D"/>
    <w:rsid w:val="00014DCC"/>
    <w:rsid w:val="00022B7E"/>
    <w:rsid w:val="00030BB1"/>
    <w:rsid w:val="00034DB2"/>
    <w:rsid w:val="00037D9D"/>
    <w:rsid w:val="00051DC5"/>
    <w:rsid w:val="0005310C"/>
    <w:rsid w:val="00064413"/>
    <w:rsid w:val="0008629E"/>
    <w:rsid w:val="00086BAD"/>
    <w:rsid w:val="000A363C"/>
    <w:rsid w:val="000C087D"/>
    <w:rsid w:val="000D1BC9"/>
    <w:rsid w:val="000D468F"/>
    <w:rsid w:val="000E3DE0"/>
    <w:rsid w:val="000F277F"/>
    <w:rsid w:val="00101371"/>
    <w:rsid w:val="001230B0"/>
    <w:rsid w:val="00130595"/>
    <w:rsid w:val="001361F7"/>
    <w:rsid w:val="00136DD6"/>
    <w:rsid w:val="00165D09"/>
    <w:rsid w:val="00165E9F"/>
    <w:rsid w:val="001678CB"/>
    <w:rsid w:val="00170E60"/>
    <w:rsid w:val="001725E5"/>
    <w:rsid w:val="001A2F20"/>
    <w:rsid w:val="001A3465"/>
    <w:rsid w:val="001A4B23"/>
    <w:rsid w:val="001B21AE"/>
    <w:rsid w:val="001C457B"/>
    <w:rsid w:val="001C7E54"/>
    <w:rsid w:val="001D70CA"/>
    <w:rsid w:val="001E5D15"/>
    <w:rsid w:val="001F54AD"/>
    <w:rsid w:val="001F5519"/>
    <w:rsid w:val="001F65E2"/>
    <w:rsid w:val="00201A4A"/>
    <w:rsid w:val="0020618A"/>
    <w:rsid w:val="002073A9"/>
    <w:rsid w:val="002109D8"/>
    <w:rsid w:val="00211F2E"/>
    <w:rsid w:val="00213F08"/>
    <w:rsid w:val="0024631F"/>
    <w:rsid w:val="002472A1"/>
    <w:rsid w:val="00263E84"/>
    <w:rsid w:val="00281645"/>
    <w:rsid w:val="00281B5D"/>
    <w:rsid w:val="002835FB"/>
    <w:rsid w:val="00284923"/>
    <w:rsid w:val="00286EE6"/>
    <w:rsid w:val="00292369"/>
    <w:rsid w:val="00295A6B"/>
    <w:rsid w:val="002A026A"/>
    <w:rsid w:val="002A0A94"/>
    <w:rsid w:val="002A29C8"/>
    <w:rsid w:val="002B3A50"/>
    <w:rsid w:val="002B4A9E"/>
    <w:rsid w:val="002C2497"/>
    <w:rsid w:val="002C7D33"/>
    <w:rsid w:val="002D2E3F"/>
    <w:rsid w:val="002D3991"/>
    <w:rsid w:val="002E241E"/>
    <w:rsid w:val="002E33ED"/>
    <w:rsid w:val="002E3D36"/>
    <w:rsid w:val="002E4BED"/>
    <w:rsid w:val="002E6FF2"/>
    <w:rsid w:val="002E7571"/>
    <w:rsid w:val="002F0601"/>
    <w:rsid w:val="002F230E"/>
    <w:rsid w:val="002F342A"/>
    <w:rsid w:val="00306834"/>
    <w:rsid w:val="00307167"/>
    <w:rsid w:val="003240AF"/>
    <w:rsid w:val="003515D2"/>
    <w:rsid w:val="00362FCA"/>
    <w:rsid w:val="00377749"/>
    <w:rsid w:val="00380779"/>
    <w:rsid w:val="00381438"/>
    <w:rsid w:val="00382448"/>
    <w:rsid w:val="00384A1B"/>
    <w:rsid w:val="0039057C"/>
    <w:rsid w:val="00393D01"/>
    <w:rsid w:val="00395683"/>
    <w:rsid w:val="003A4986"/>
    <w:rsid w:val="003B12E7"/>
    <w:rsid w:val="003B3896"/>
    <w:rsid w:val="003B38DE"/>
    <w:rsid w:val="003C046D"/>
    <w:rsid w:val="003C7064"/>
    <w:rsid w:val="003C7F85"/>
    <w:rsid w:val="0041314F"/>
    <w:rsid w:val="00420217"/>
    <w:rsid w:val="0042193D"/>
    <w:rsid w:val="00425A5E"/>
    <w:rsid w:val="0043065C"/>
    <w:rsid w:val="00437004"/>
    <w:rsid w:val="00440B20"/>
    <w:rsid w:val="004423CC"/>
    <w:rsid w:val="004451E3"/>
    <w:rsid w:val="00446074"/>
    <w:rsid w:val="00446A34"/>
    <w:rsid w:val="00464F7E"/>
    <w:rsid w:val="0046777E"/>
    <w:rsid w:val="00470F0A"/>
    <w:rsid w:val="00483C24"/>
    <w:rsid w:val="00485B01"/>
    <w:rsid w:val="00492D0A"/>
    <w:rsid w:val="004C04B1"/>
    <w:rsid w:val="004C056F"/>
    <w:rsid w:val="004C061E"/>
    <w:rsid w:val="004C1BEC"/>
    <w:rsid w:val="004D09D7"/>
    <w:rsid w:val="004D4F79"/>
    <w:rsid w:val="004D5B7E"/>
    <w:rsid w:val="004D5CC1"/>
    <w:rsid w:val="004E16F9"/>
    <w:rsid w:val="004E1D31"/>
    <w:rsid w:val="004F049A"/>
    <w:rsid w:val="004F2A5F"/>
    <w:rsid w:val="004F2B84"/>
    <w:rsid w:val="00504ADD"/>
    <w:rsid w:val="005069F3"/>
    <w:rsid w:val="00512782"/>
    <w:rsid w:val="005133F5"/>
    <w:rsid w:val="005136E0"/>
    <w:rsid w:val="00514358"/>
    <w:rsid w:val="0051646E"/>
    <w:rsid w:val="005178A2"/>
    <w:rsid w:val="00520670"/>
    <w:rsid w:val="00522C9C"/>
    <w:rsid w:val="005258F7"/>
    <w:rsid w:val="00525B2A"/>
    <w:rsid w:val="00535A70"/>
    <w:rsid w:val="005470BB"/>
    <w:rsid w:val="00565B53"/>
    <w:rsid w:val="005778C0"/>
    <w:rsid w:val="00582847"/>
    <w:rsid w:val="00592FFA"/>
    <w:rsid w:val="005A1BB1"/>
    <w:rsid w:val="005B15D9"/>
    <w:rsid w:val="005B230D"/>
    <w:rsid w:val="005B3E1B"/>
    <w:rsid w:val="005C2229"/>
    <w:rsid w:val="005C5874"/>
    <w:rsid w:val="005C60C0"/>
    <w:rsid w:val="005C6854"/>
    <w:rsid w:val="005C7289"/>
    <w:rsid w:val="005D502E"/>
    <w:rsid w:val="005F0880"/>
    <w:rsid w:val="005F41EF"/>
    <w:rsid w:val="006053F7"/>
    <w:rsid w:val="0060554F"/>
    <w:rsid w:val="00611366"/>
    <w:rsid w:val="0061252D"/>
    <w:rsid w:val="0061384A"/>
    <w:rsid w:val="006145CA"/>
    <w:rsid w:val="00622F3E"/>
    <w:rsid w:val="00640D5D"/>
    <w:rsid w:val="00646BD4"/>
    <w:rsid w:val="00650A68"/>
    <w:rsid w:val="00663EE2"/>
    <w:rsid w:val="006664F5"/>
    <w:rsid w:val="0066720E"/>
    <w:rsid w:val="0067188B"/>
    <w:rsid w:val="00674586"/>
    <w:rsid w:val="00676A98"/>
    <w:rsid w:val="006814E1"/>
    <w:rsid w:val="00681579"/>
    <w:rsid w:val="00681D39"/>
    <w:rsid w:val="0068567F"/>
    <w:rsid w:val="006900C4"/>
    <w:rsid w:val="00691ECB"/>
    <w:rsid w:val="006A22EB"/>
    <w:rsid w:val="006B2AFD"/>
    <w:rsid w:val="006B53A0"/>
    <w:rsid w:val="006B6344"/>
    <w:rsid w:val="006C44A6"/>
    <w:rsid w:val="006D0D02"/>
    <w:rsid w:val="006D1EBD"/>
    <w:rsid w:val="006D3BAC"/>
    <w:rsid w:val="006D3D28"/>
    <w:rsid w:val="006E7018"/>
    <w:rsid w:val="006F0699"/>
    <w:rsid w:val="007079A5"/>
    <w:rsid w:val="00711B83"/>
    <w:rsid w:val="00712A12"/>
    <w:rsid w:val="007150F1"/>
    <w:rsid w:val="00715A87"/>
    <w:rsid w:val="0072084F"/>
    <w:rsid w:val="00720A44"/>
    <w:rsid w:val="00720B04"/>
    <w:rsid w:val="0072379F"/>
    <w:rsid w:val="00727B11"/>
    <w:rsid w:val="007303DE"/>
    <w:rsid w:val="00733B89"/>
    <w:rsid w:val="00735CBF"/>
    <w:rsid w:val="00740597"/>
    <w:rsid w:val="00746988"/>
    <w:rsid w:val="00751579"/>
    <w:rsid w:val="0075649D"/>
    <w:rsid w:val="00761D67"/>
    <w:rsid w:val="00764F22"/>
    <w:rsid w:val="00777201"/>
    <w:rsid w:val="007778AB"/>
    <w:rsid w:val="0078376D"/>
    <w:rsid w:val="007928A6"/>
    <w:rsid w:val="00792A5D"/>
    <w:rsid w:val="007A2363"/>
    <w:rsid w:val="007B0842"/>
    <w:rsid w:val="007C211F"/>
    <w:rsid w:val="007C23F0"/>
    <w:rsid w:val="007C3329"/>
    <w:rsid w:val="007C5C7D"/>
    <w:rsid w:val="007D28D5"/>
    <w:rsid w:val="007D761E"/>
    <w:rsid w:val="007E5FEE"/>
    <w:rsid w:val="007E61C3"/>
    <w:rsid w:val="007F0667"/>
    <w:rsid w:val="007F5408"/>
    <w:rsid w:val="00803AB2"/>
    <w:rsid w:val="00804322"/>
    <w:rsid w:val="00810F49"/>
    <w:rsid w:val="00817E17"/>
    <w:rsid w:val="00821410"/>
    <w:rsid w:val="00827D32"/>
    <w:rsid w:val="008312FE"/>
    <w:rsid w:val="0085178B"/>
    <w:rsid w:val="00852EA0"/>
    <w:rsid w:val="0086192B"/>
    <w:rsid w:val="0086238F"/>
    <w:rsid w:val="00864704"/>
    <w:rsid w:val="0086574A"/>
    <w:rsid w:val="00870CA1"/>
    <w:rsid w:val="00871BAB"/>
    <w:rsid w:val="008910E9"/>
    <w:rsid w:val="00891678"/>
    <w:rsid w:val="00891C0E"/>
    <w:rsid w:val="0089211F"/>
    <w:rsid w:val="008944E2"/>
    <w:rsid w:val="008967D4"/>
    <w:rsid w:val="00897BB7"/>
    <w:rsid w:val="008A32C3"/>
    <w:rsid w:val="008A6CC9"/>
    <w:rsid w:val="008C266E"/>
    <w:rsid w:val="008D4F0A"/>
    <w:rsid w:val="008E1A8A"/>
    <w:rsid w:val="008E4F83"/>
    <w:rsid w:val="008E587D"/>
    <w:rsid w:val="0090023B"/>
    <w:rsid w:val="00904CF9"/>
    <w:rsid w:val="009052A8"/>
    <w:rsid w:val="00915DF1"/>
    <w:rsid w:val="0095019F"/>
    <w:rsid w:val="00952DA6"/>
    <w:rsid w:val="00957A23"/>
    <w:rsid w:val="00964600"/>
    <w:rsid w:val="009666C1"/>
    <w:rsid w:val="009779F2"/>
    <w:rsid w:val="009802C2"/>
    <w:rsid w:val="00994632"/>
    <w:rsid w:val="009A2C39"/>
    <w:rsid w:val="009A6F53"/>
    <w:rsid w:val="009B1763"/>
    <w:rsid w:val="009D1DA8"/>
    <w:rsid w:val="009D2CA8"/>
    <w:rsid w:val="009D65BB"/>
    <w:rsid w:val="009D6ADC"/>
    <w:rsid w:val="009E04AC"/>
    <w:rsid w:val="009E0EA5"/>
    <w:rsid w:val="009E1386"/>
    <w:rsid w:val="009E2C5A"/>
    <w:rsid w:val="009E455E"/>
    <w:rsid w:val="009E4883"/>
    <w:rsid w:val="009E4A22"/>
    <w:rsid w:val="009E57EA"/>
    <w:rsid w:val="009F3638"/>
    <w:rsid w:val="009F3A3E"/>
    <w:rsid w:val="00A03D80"/>
    <w:rsid w:val="00A05B5A"/>
    <w:rsid w:val="00A0692C"/>
    <w:rsid w:val="00A132C9"/>
    <w:rsid w:val="00A2217C"/>
    <w:rsid w:val="00A23CC9"/>
    <w:rsid w:val="00A246EC"/>
    <w:rsid w:val="00A34804"/>
    <w:rsid w:val="00A44561"/>
    <w:rsid w:val="00A45739"/>
    <w:rsid w:val="00A4762C"/>
    <w:rsid w:val="00A57BA1"/>
    <w:rsid w:val="00A614BB"/>
    <w:rsid w:val="00A63FCC"/>
    <w:rsid w:val="00A70DEF"/>
    <w:rsid w:val="00A7320A"/>
    <w:rsid w:val="00A73932"/>
    <w:rsid w:val="00A73D39"/>
    <w:rsid w:val="00A768C6"/>
    <w:rsid w:val="00A82A65"/>
    <w:rsid w:val="00A8477E"/>
    <w:rsid w:val="00A94218"/>
    <w:rsid w:val="00AA4D1F"/>
    <w:rsid w:val="00AA7AF2"/>
    <w:rsid w:val="00AB33C5"/>
    <w:rsid w:val="00AC7F0A"/>
    <w:rsid w:val="00AD030F"/>
    <w:rsid w:val="00AD123C"/>
    <w:rsid w:val="00AD7A64"/>
    <w:rsid w:val="00AE6B8E"/>
    <w:rsid w:val="00B00BE9"/>
    <w:rsid w:val="00B00E27"/>
    <w:rsid w:val="00B03BE1"/>
    <w:rsid w:val="00B17F23"/>
    <w:rsid w:val="00B379DB"/>
    <w:rsid w:val="00B44823"/>
    <w:rsid w:val="00B47E20"/>
    <w:rsid w:val="00B5470F"/>
    <w:rsid w:val="00B57FFD"/>
    <w:rsid w:val="00B65114"/>
    <w:rsid w:val="00B76CB3"/>
    <w:rsid w:val="00B87797"/>
    <w:rsid w:val="00B91E0E"/>
    <w:rsid w:val="00B97913"/>
    <w:rsid w:val="00BA1893"/>
    <w:rsid w:val="00BA5656"/>
    <w:rsid w:val="00BA6FA6"/>
    <w:rsid w:val="00BB3C5F"/>
    <w:rsid w:val="00BB680F"/>
    <w:rsid w:val="00BB73F2"/>
    <w:rsid w:val="00BB7678"/>
    <w:rsid w:val="00BB7754"/>
    <w:rsid w:val="00BC08F9"/>
    <w:rsid w:val="00BC696F"/>
    <w:rsid w:val="00BD7D9B"/>
    <w:rsid w:val="00BE0BFA"/>
    <w:rsid w:val="00BE36BB"/>
    <w:rsid w:val="00BE7908"/>
    <w:rsid w:val="00C03212"/>
    <w:rsid w:val="00C16DBB"/>
    <w:rsid w:val="00C244D1"/>
    <w:rsid w:val="00C33F5B"/>
    <w:rsid w:val="00C36177"/>
    <w:rsid w:val="00C465D5"/>
    <w:rsid w:val="00C4786C"/>
    <w:rsid w:val="00C52918"/>
    <w:rsid w:val="00C60302"/>
    <w:rsid w:val="00C700E2"/>
    <w:rsid w:val="00C90E79"/>
    <w:rsid w:val="00C91446"/>
    <w:rsid w:val="00C9415E"/>
    <w:rsid w:val="00C9595B"/>
    <w:rsid w:val="00C97930"/>
    <w:rsid w:val="00CB7823"/>
    <w:rsid w:val="00CC28C7"/>
    <w:rsid w:val="00CC3B1F"/>
    <w:rsid w:val="00CD553D"/>
    <w:rsid w:val="00D02227"/>
    <w:rsid w:val="00D125A3"/>
    <w:rsid w:val="00D12F81"/>
    <w:rsid w:val="00D14143"/>
    <w:rsid w:val="00D26845"/>
    <w:rsid w:val="00D3069B"/>
    <w:rsid w:val="00D30BB8"/>
    <w:rsid w:val="00D3337E"/>
    <w:rsid w:val="00D44D98"/>
    <w:rsid w:val="00D51BB2"/>
    <w:rsid w:val="00D567D7"/>
    <w:rsid w:val="00D57757"/>
    <w:rsid w:val="00D61FB8"/>
    <w:rsid w:val="00D66665"/>
    <w:rsid w:val="00D6686A"/>
    <w:rsid w:val="00D66F41"/>
    <w:rsid w:val="00D76F21"/>
    <w:rsid w:val="00D830D0"/>
    <w:rsid w:val="00D85B4A"/>
    <w:rsid w:val="00D86DA7"/>
    <w:rsid w:val="00D94B45"/>
    <w:rsid w:val="00D94F30"/>
    <w:rsid w:val="00DA6E23"/>
    <w:rsid w:val="00DA6F33"/>
    <w:rsid w:val="00DB0CB3"/>
    <w:rsid w:val="00DB1A06"/>
    <w:rsid w:val="00DB257D"/>
    <w:rsid w:val="00DB7F38"/>
    <w:rsid w:val="00DD2DE1"/>
    <w:rsid w:val="00DD5E2E"/>
    <w:rsid w:val="00DE7244"/>
    <w:rsid w:val="00DE7EE4"/>
    <w:rsid w:val="00E0353E"/>
    <w:rsid w:val="00E11017"/>
    <w:rsid w:val="00E12F4A"/>
    <w:rsid w:val="00E248C8"/>
    <w:rsid w:val="00E3391F"/>
    <w:rsid w:val="00E37B55"/>
    <w:rsid w:val="00E45B44"/>
    <w:rsid w:val="00E56B31"/>
    <w:rsid w:val="00E6585E"/>
    <w:rsid w:val="00E72EA7"/>
    <w:rsid w:val="00E8078F"/>
    <w:rsid w:val="00E83666"/>
    <w:rsid w:val="00E838EB"/>
    <w:rsid w:val="00E84141"/>
    <w:rsid w:val="00E90BEC"/>
    <w:rsid w:val="00E917DF"/>
    <w:rsid w:val="00EB0922"/>
    <w:rsid w:val="00EB3154"/>
    <w:rsid w:val="00EB3346"/>
    <w:rsid w:val="00ED117A"/>
    <w:rsid w:val="00EE1E31"/>
    <w:rsid w:val="00EE3420"/>
    <w:rsid w:val="00EE58DA"/>
    <w:rsid w:val="00EE5DA8"/>
    <w:rsid w:val="00F12481"/>
    <w:rsid w:val="00F554F6"/>
    <w:rsid w:val="00F66977"/>
    <w:rsid w:val="00F740E2"/>
    <w:rsid w:val="00F87CFB"/>
    <w:rsid w:val="00F90880"/>
    <w:rsid w:val="00F91C62"/>
    <w:rsid w:val="00F92B87"/>
    <w:rsid w:val="00FA09FB"/>
    <w:rsid w:val="00FA2E60"/>
    <w:rsid w:val="00FA6CFC"/>
    <w:rsid w:val="00FA7E13"/>
    <w:rsid w:val="00FB5611"/>
    <w:rsid w:val="00FB68A8"/>
    <w:rsid w:val="00FC4F11"/>
    <w:rsid w:val="00FC7300"/>
    <w:rsid w:val="00FC7B20"/>
    <w:rsid w:val="00FD06DC"/>
    <w:rsid w:val="00FD23FB"/>
    <w:rsid w:val="00FD5854"/>
    <w:rsid w:val="00FE0BFD"/>
    <w:rsid w:val="00FE361C"/>
    <w:rsid w:val="00FF37AB"/>
    <w:rsid w:val="00FF4306"/>
    <w:rsid w:val="04ED1FBB"/>
    <w:rsid w:val="0627B6C3"/>
    <w:rsid w:val="062F0386"/>
    <w:rsid w:val="06D357B9"/>
    <w:rsid w:val="07731587"/>
    <w:rsid w:val="0A1D69E1"/>
    <w:rsid w:val="0A6F9464"/>
    <w:rsid w:val="0A9A44C5"/>
    <w:rsid w:val="0C59CAD5"/>
    <w:rsid w:val="0CB6AA21"/>
    <w:rsid w:val="0E0DA327"/>
    <w:rsid w:val="101FCEB3"/>
    <w:rsid w:val="10C8DDE5"/>
    <w:rsid w:val="13A0006D"/>
    <w:rsid w:val="1479100D"/>
    <w:rsid w:val="15C052CF"/>
    <w:rsid w:val="16042F5D"/>
    <w:rsid w:val="1710CAD8"/>
    <w:rsid w:val="1C3F6BB3"/>
    <w:rsid w:val="1D66C962"/>
    <w:rsid w:val="1E25D3E3"/>
    <w:rsid w:val="1EB332E0"/>
    <w:rsid w:val="20CD8421"/>
    <w:rsid w:val="22009597"/>
    <w:rsid w:val="2524A910"/>
    <w:rsid w:val="25DBBF9C"/>
    <w:rsid w:val="27D20E4F"/>
    <w:rsid w:val="28158352"/>
    <w:rsid w:val="28B22734"/>
    <w:rsid w:val="28FADACD"/>
    <w:rsid w:val="2978F5B0"/>
    <w:rsid w:val="2AF9E5D4"/>
    <w:rsid w:val="2E39ACBA"/>
    <w:rsid w:val="2E9555E4"/>
    <w:rsid w:val="2EC5C9DB"/>
    <w:rsid w:val="31F88BD8"/>
    <w:rsid w:val="34E55025"/>
    <w:rsid w:val="3580B616"/>
    <w:rsid w:val="3639AE26"/>
    <w:rsid w:val="3648E45A"/>
    <w:rsid w:val="39209D38"/>
    <w:rsid w:val="394C1C24"/>
    <w:rsid w:val="3A70CCD8"/>
    <w:rsid w:val="3C416FE5"/>
    <w:rsid w:val="3CF6C936"/>
    <w:rsid w:val="3EC1852A"/>
    <w:rsid w:val="41006A62"/>
    <w:rsid w:val="41EA3F55"/>
    <w:rsid w:val="4250F66F"/>
    <w:rsid w:val="43400E74"/>
    <w:rsid w:val="448E5AEC"/>
    <w:rsid w:val="4683624A"/>
    <w:rsid w:val="46CDA42D"/>
    <w:rsid w:val="47FB9429"/>
    <w:rsid w:val="482D377A"/>
    <w:rsid w:val="489928E6"/>
    <w:rsid w:val="48FD2E4A"/>
    <w:rsid w:val="498D49ED"/>
    <w:rsid w:val="4ABA4E8E"/>
    <w:rsid w:val="4B52D311"/>
    <w:rsid w:val="4B5567B0"/>
    <w:rsid w:val="4EBA2023"/>
    <w:rsid w:val="4EBB8D00"/>
    <w:rsid w:val="507C0601"/>
    <w:rsid w:val="5228A840"/>
    <w:rsid w:val="52EC4B50"/>
    <w:rsid w:val="542E7B5A"/>
    <w:rsid w:val="5597D8D9"/>
    <w:rsid w:val="55B99E9A"/>
    <w:rsid w:val="569231F5"/>
    <w:rsid w:val="56953C43"/>
    <w:rsid w:val="57377133"/>
    <w:rsid w:val="5992D0E8"/>
    <w:rsid w:val="5BAA0E02"/>
    <w:rsid w:val="5BD98FFC"/>
    <w:rsid w:val="5C33B8E9"/>
    <w:rsid w:val="5F172678"/>
    <w:rsid w:val="5FE21386"/>
    <w:rsid w:val="609B7339"/>
    <w:rsid w:val="61B70884"/>
    <w:rsid w:val="63394AAA"/>
    <w:rsid w:val="64D57F9D"/>
    <w:rsid w:val="65A68977"/>
    <w:rsid w:val="66146E47"/>
    <w:rsid w:val="66E0A64B"/>
    <w:rsid w:val="687F7898"/>
    <w:rsid w:val="6C06612E"/>
    <w:rsid w:val="6DF7AD10"/>
    <w:rsid w:val="70952274"/>
    <w:rsid w:val="7364058E"/>
    <w:rsid w:val="73DFD7FA"/>
    <w:rsid w:val="73E9FC08"/>
    <w:rsid w:val="7667A684"/>
    <w:rsid w:val="78BEF121"/>
    <w:rsid w:val="79C71C0C"/>
    <w:rsid w:val="7B57D71E"/>
    <w:rsid w:val="7BD86019"/>
    <w:rsid w:val="7CC16102"/>
    <w:rsid w:val="7E7EA459"/>
    <w:rsid w:val="7F22192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4D89"/>
  <w15:chartTrackingRefBased/>
  <w15:docId w15:val="{62D6F03C-BE63-4E99-B72A-D1D69D73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14F"/>
    <w:rPr>
      <w:rFonts w:eastAsiaTheme="majorEastAsia" w:cstheme="majorBidi"/>
      <w:color w:val="272727" w:themeColor="text1" w:themeTint="D8"/>
    </w:rPr>
  </w:style>
  <w:style w:type="paragraph" w:styleId="Title">
    <w:name w:val="Title"/>
    <w:basedOn w:val="Normal"/>
    <w:next w:val="Normal"/>
    <w:link w:val="TitleChar"/>
    <w:uiPriority w:val="10"/>
    <w:qFormat/>
    <w:rsid w:val="00413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14F"/>
    <w:pPr>
      <w:spacing w:before="160"/>
      <w:jc w:val="center"/>
    </w:pPr>
    <w:rPr>
      <w:i/>
      <w:iCs/>
      <w:color w:val="404040" w:themeColor="text1" w:themeTint="BF"/>
    </w:rPr>
  </w:style>
  <w:style w:type="character" w:customStyle="1" w:styleId="QuoteChar">
    <w:name w:val="Quote Char"/>
    <w:basedOn w:val="DefaultParagraphFont"/>
    <w:link w:val="Quote"/>
    <w:uiPriority w:val="29"/>
    <w:rsid w:val="0041314F"/>
    <w:rPr>
      <w:i/>
      <w:iCs/>
      <w:color w:val="404040" w:themeColor="text1" w:themeTint="BF"/>
    </w:rPr>
  </w:style>
  <w:style w:type="paragraph" w:styleId="ListParagraph">
    <w:name w:val="List Paragraph"/>
    <w:basedOn w:val="Normal"/>
    <w:uiPriority w:val="34"/>
    <w:qFormat/>
    <w:rsid w:val="0041314F"/>
    <w:pPr>
      <w:ind w:left="720"/>
      <w:contextualSpacing/>
    </w:pPr>
  </w:style>
  <w:style w:type="character" w:styleId="IntenseEmphasis">
    <w:name w:val="Intense Emphasis"/>
    <w:basedOn w:val="DefaultParagraphFont"/>
    <w:uiPriority w:val="21"/>
    <w:qFormat/>
    <w:rsid w:val="0041314F"/>
    <w:rPr>
      <w:i/>
      <w:iCs/>
      <w:color w:val="0F4761" w:themeColor="accent1" w:themeShade="BF"/>
    </w:rPr>
  </w:style>
  <w:style w:type="paragraph" w:styleId="IntenseQuote">
    <w:name w:val="Intense Quote"/>
    <w:basedOn w:val="Normal"/>
    <w:next w:val="Normal"/>
    <w:link w:val="IntenseQuoteChar"/>
    <w:uiPriority w:val="30"/>
    <w:qFormat/>
    <w:rsid w:val="00413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14F"/>
    <w:rPr>
      <w:i/>
      <w:iCs/>
      <w:color w:val="0F4761" w:themeColor="accent1" w:themeShade="BF"/>
    </w:rPr>
  </w:style>
  <w:style w:type="character" w:styleId="IntenseReference">
    <w:name w:val="Intense Reference"/>
    <w:basedOn w:val="DefaultParagraphFont"/>
    <w:uiPriority w:val="32"/>
    <w:qFormat/>
    <w:rsid w:val="0041314F"/>
    <w:rPr>
      <w:b/>
      <w:bCs/>
      <w:smallCaps/>
      <w:color w:val="0F4761" w:themeColor="accent1" w:themeShade="BF"/>
      <w:spacing w:val="5"/>
    </w:rPr>
  </w:style>
  <w:style w:type="paragraph" w:styleId="Revision">
    <w:name w:val="Revision"/>
    <w:hidden/>
    <w:uiPriority w:val="99"/>
    <w:semiHidden/>
    <w:rsid w:val="0041314F"/>
    <w:pPr>
      <w:spacing w:after="0" w:line="240" w:lineRule="auto"/>
    </w:pPr>
  </w:style>
  <w:style w:type="table" w:styleId="TableGrid">
    <w:name w:val="Table Grid"/>
    <w:basedOn w:val="TableNormal"/>
    <w:uiPriority w:val="39"/>
    <w:rsid w:val="00BB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4CF9"/>
    <w:rPr>
      <w:sz w:val="16"/>
      <w:szCs w:val="16"/>
    </w:rPr>
  </w:style>
  <w:style w:type="paragraph" w:styleId="CommentText">
    <w:name w:val="annotation text"/>
    <w:basedOn w:val="Normal"/>
    <w:link w:val="CommentTextChar"/>
    <w:uiPriority w:val="99"/>
    <w:unhideWhenUsed/>
    <w:rsid w:val="00904CF9"/>
    <w:pPr>
      <w:spacing w:line="240" w:lineRule="auto"/>
    </w:pPr>
    <w:rPr>
      <w:sz w:val="20"/>
      <w:szCs w:val="20"/>
    </w:rPr>
  </w:style>
  <w:style w:type="character" w:customStyle="1" w:styleId="CommentTextChar">
    <w:name w:val="Comment Text Char"/>
    <w:basedOn w:val="DefaultParagraphFont"/>
    <w:link w:val="CommentText"/>
    <w:uiPriority w:val="99"/>
    <w:rsid w:val="00904CF9"/>
    <w:rPr>
      <w:sz w:val="20"/>
      <w:szCs w:val="20"/>
    </w:rPr>
  </w:style>
  <w:style w:type="paragraph" w:styleId="CommentSubject">
    <w:name w:val="annotation subject"/>
    <w:basedOn w:val="CommentText"/>
    <w:next w:val="CommentText"/>
    <w:link w:val="CommentSubjectChar"/>
    <w:uiPriority w:val="99"/>
    <w:semiHidden/>
    <w:unhideWhenUsed/>
    <w:rsid w:val="00904CF9"/>
    <w:rPr>
      <w:b/>
      <w:bCs/>
    </w:rPr>
  </w:style>
  <w:style w:type="character" w:customStyle="1" w:styleId="CommentSubjectChar">
    <w:name w:val="Comment Subject Char"/>
    <w:basedOn w:val="CommentTextChar"/>
    <w:link w:val="CommentSubject"/>
    <w:uiPriority w:val="99"/>
    <w:semiHidden/>
    <w:rsid w:val="00904CF9"/>
    <w:rPr>
      <w:b/>
      <w:bCs/>
      <w:sz w:val="20"/>
      <w:szCs w:val="20"/>
    </w:rPr>
  </w:style>
  <w:style w:type="paragraph" w:styleId="FootnoteText">
    <w:name w:val="footnote text"/>
    <w:basedOn w:val="Normal"/>
    <w:link w:val="FootnoteTextChar"/>
    <w:uiPriority w:val="99"/>
    <w:semiHidden/>
    <w:unhideWhenUsed/>
    <w:rsid w:val="00852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EA0"/>
    <w:rPr>
      <w:sz w:val="20"/>
      <w:szCs w:val="20"/>
    </w:rPr>
  </w:style>
  <w:style w:type="character" w:styleId="FootnoteReference">
    <w:name w:val="footnote reference"/>
    <w:basedOn w:val="DefaultParagraphFont"/>
    <w:uiPriority w:val="99"/>
    <w:semiHidden/>
    <w:unhideWhenUsed/>
    <w:rsid w:val="00852EA0"/>
    <w:rPr>
      <w:vertAlign w:val="superscript"/>
    </w:rPr>
  </w:style>
  <w:style w:type="paragraph" w:styleId="Header">
    <w:name w:val="header"/>
    <w:basedOn w:val="Normal"/>
    <w:link w:val="HeaderChar"/>
    <w:uiPriority w:val="99"/>
    <w:unhideWhenUsed/>
    <w:rsid w:val="00950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9F"/>
  </w:style>
  <w:style w:type="paragraph" w:styleId="Footer">
    <w:name w:val="footer"/>
    <w:basedOn w:val="Normal"/>
    <w:link w:val="FooterChar"/>
    <w:uiPriority w:val="99"/>
    <w:unhideWhenUsed/>
    <w:rsid w:val="00950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9F"/>
  </w:style>
  <w:style w:type="character" w:styleId="Mention">
    <w:name w:val="Mention"/>
    <w:basedOn w:val="DefaultParagraphFont"/>
    <w:uiPriority w:val="99"/>
    <w:unhideWhenUsed/>
    <w:rsid w:val="00BA6F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6938">
      <w:bodyDiv w:val="1"/>
      <w:marLeft w:val="0"/>
      <w:marRight w:val="0"/>
      <w:marTop w:val="0"/>
      <w:marBottom w:val="0"/>
      <w:divBdr>
        <w:top w:val="none" w:sz="0" w:space="0" w:color="auto"/>
        <w:left w:val="none" w:sz="0" w:space="0" w:color="auto"/>
        <w:bottom w:val="none" w:sz="0" w:space="0" w:color="auto"/>
        <w:right w:val="none" w:sz="0" w:space="0" w:color="auto"/>
      </w:divBdr>
    </w:div>
    <w:div w:id="519660153">
      <w:bodyDiv w:val="1"/>
      <w:marLeft w:val="0"/>
      <w:marRight w:val="0"/>
      <w:marTop w:val="0"/>
      <w:marBottom w:val="0"/>
      <w:divBdr>
        <w:top w:val="none" w:sz="0" w:space="0" w:color="auto"/>
        <w:left w:val="none" w:sz="0" w:space="0" w:color="auto"/>
        <w:bottom w:val="none" w:sz="0" w:space="0" w:color="auto"/>
        <w:right w:val="none" w:sz="0" w:space="0" w:color="auto"/>
      </w:divBdr>
    </w:div>
    <w:div w:id="667027541">
      <w:bodyDiv w:val="1"/>
      <w:marLeft w:val="0"/>
      <w:marRight w:val="0"/>
      <w:marTop w:val="0"/>
      <w:marBottom w:val="0"/>
      <w:divBdr>
        <w:top w:val="none" w:sz="0" w:space="0" w:color="auto"/>
        <w:left w:val="none" w:sz="0" w:space="0" w:color="auto"/>
        <w:bottom w:val="none" w:sz="0" w:space="0" w:color="auto"/>
        <w:right w:val="none" w:sz="0" w:space="0" w:color="auto"/>
      </w:divBdr>
    </w:div>
    <w:div w:id="750271505">
      <w:bodyDiv w:val="1"/>
      <w:marLeft w:val="0"/>
      <w:marRight w:val="0"/>
      <w:marTop w:val="0"/>
      <w:marBottom w:val="0"/>
      <w:divBdr>
        <w:top w:val="none" w:sz="0" w:space="0" w:color="auto"/>
        <w:left w:val="none" w:sz="0" w:space="0" w:color="auto"/>
        <w:bottom w:val="none" w:sz="0" w:space="0" w:color="auto"/>
        <w:right w:val="none" w:sz="0" w:space="0" w:color="auto"/>
      </w:divBdr>
    </w:div>
    <w:div w:id="882787974">
      <w:bodyDiv w:val="1"/>
      <w:marLeft w:val="0"/>
      <w:marRight w:val="0"/>
      <w:marTop w:val="0"/>
      <w:marBottom w:val="0"/>
      <w:divBdr>
        <w:top w:val="none" w:sz="0" w:space="0" w:color="auto"/>
        <w:left w:val="none" w:sz="0" w:space="0" w:color="auto"/>
        <w:bottom w:val="none" w:sz="0" w:space="0" w:color="auto"/>
        <w:right w:val="none" w:sz="0" w:space="0" w:color="auto"/>
      </w:divBdr>
    </w:div>
    <w:div w:id="890967860">
      <w:bodyDiv w:val="1"/>
      <w:marLeft w:val="0"/>
      <w:marRight w:val="0"/>
      <w:marTop w:val="0"/>
      <w:marBottom w:val="0"/>
      <w:divBdr>
        <w:top w:val="none" w:sz="0" w:space="0" w:color="auto"/>
        <w:left w:val="none" w:sz="0" w:space="0" w:color="auto"/>
        <w:bottom w:val="none" w:sz="0" w:space="0" w:color="auto"/>
        <w:right w:val="none" w:sz="0" w:space="0" w:color="auto"/>
      </w:divBdr>
    </w:div>
    <w:div w:id="1050492308">
      <w:bodyDiv w:val="1"/>
      <w:marLeft w:val="0"/>
      <w:marRight w:val="0"/>
      <w:marTop w:val="0"/>
      <w:marBottom w:val="0"/>
      <w:divBdr>
        <w:top w:val="none" w:sz="0" w:space="0" w:color="auto"/>
        <w:left w:val="none" w:sz="0" w:space="0" w:color="auto"/>
        <w:bottom w:val="none" w:sz="0" w:space="0" w:color="auto"/>
        <w:right w:val="none" w:sz="0" w:space="0" w:color="auto"/>
      </w:divBdr>
    </w:div>
    <w:div w:id="11778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5C9F-42A8-4731-990F-5C353320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1123</Words>
  <Characters>6402</Characters>
  <Application>Microsoft Office Word</Application>
  <DocSecurity>0</DocSecurity>
  <Lines>53</Lines>
  <Paragraphs>15</Paragraphs>
  <ScaleCrop>false</ScaleCrop>
  <Company>SP Global</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Noord, Gerben (Associated)</dc:creator>
  <cp:keywords/>
  <dc:description/>
  <cp:lastModifiedBy>De Noord, Gerben (Associated)</cp:lastModifiedBy>
  <cp:revision>3</cp:revision>
  <dcterms:created xsi:type="dcterms:W3CDTF">2025-03-18T16:22:00Z</dcterms:created>
  <dcterms:modified xsi:type="dcterms:W3CDTF">2025-03-18T16:27:00Z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f0267-8575-4fc2-99cc-f6b7f9934be9_Enabled">
    <vt:lpwstr>true</vt:lpwstr>
  </property>
  <property fmtid="{D5CDD505-2E9C-101B-9397-08002B2CF9AE}" pid="3" name="MSIP_Label_831f0267-8575-4fc2-99cc-f6b7f9934be9_SetDate">
    <vt:lpwstr>2025-03-12T17:29:38Z</vt:lpwstr>
  </property>
  <property fmtid="{D5CDD505-2E9C-101B-9397-08002B2CF9AE}" pid="4" name="MSIP_Label_831f0267-8575-4fc2-99cc-f6b7f9934be9_Method">
    <vt:lpwstr>Standard</vt:lpwstr>
  </property>
  <property fmtid="{D5CDD505-2E9C-101B-9397-08002B2CF9AE}" pid="5" name="MSIP_Label_831f0267-8575-4fc2-99cc-f6b7f9934be9_Name">
    <vt:lpwstr>831f0267-8575-4fc2-99cc-f6b7f9934be9</vt:lpwstr>
  </property>
  <property fmtid="{D5CDD505-2E9C-101B-9397-08002B2CF9AE}" pid="6" name="MSIP_Label_831f0267-8575-4fc2-99cc-f6b7f9934be9_SiteId">
    <vt:lpwstr>8f3e36ea-8039-4b40-81a7-7dc0599e8645</vt:lpwstr>
  </property>
  <property fmtid="{D5CDD505-2E9C-101B-9397-08002B2CF9AE}" pid="7" name="MSIP_Label_831f0267-8575-4fc2-99cc-f6b7f9934be9_ActionId">
    <vt:lpwstr>097d4869-68bb-4fc7-8b9f-5cad0b118687</vt:lpwstr>
  </property>
  <property fmtid="{D5CDD505-2E9C-101B-9397-08002B2CF9AE}" pid="8" name="MSIP_Label_831f0267-8575-4fc2-99cc-f6b7f9934be9_ContentBits">
    <vt:lpwstr>0</vt:lpwstr>
  </property>
</Properties>
</file>