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6F32" w14:textId="4E5671BF" w:rsidR="006163EE" w:rsidRPr="006163EE" w:rsidRDefault="006163EE" w:rsidP="006163EE">
      <w:pPr>
        <w:pStyle w:val="Heading1"/>
        <w:jc w:val="center"/>
        <w:rPr>
          <w:color w:val="4C94D8" w:themeColor="text2" w:themeTint="80"/>
        </w:rPr>
      </w:pPr>
      <w:r w:rsidRPr="006163EE">
        <w:rPr>
          <w:color w:val="4C94D8" w:themeColor="text2" w:themeTint="80"/>
        </w:rPr>
        <w:t>Febelfin reply to the ESMA - consultation paper on EU code of conduct for issuer-sponsored research</w:t>
      </w:r>
    </w:p>
    <w:p w14:paraId="31A349D8" w14:textId="77777777" w:rsidR="006163EE" w:rsidRDefault="006163EE" w:rsidP="006163EE"/>
    <w:p w14:paraId="352E0702" w14:textId="6C05B2A5" w:rsidR="006163EE" w:rsidRPr="006163EE" w:rsidRDefault="006163EE" w:rsidP="006163EE">
      <w:pPr>
        <w:rPr>
          <w:b/>
          <w:bCs/>
        </w:rPr>
      </w:pPr>
      <w:r w:rsidRPr="006163EE">
        <w:rPr>
          <w:b/>
          <w:bCs/>
        </w:rPr>
        <w:t>Question 1: Are you aware of or adhering to another code of conduct for issuer-sponsored research that ESMA could take into account? If so, which specific parts of the code of conduct would be of added value to consider for the EU code of conduct? Please state the reasons for your answer.</w:t>
      </w:r>
    </w:p>
    <w:p w14:paraId="41CF9A57" w14:textId="1E7461F8" w:rsidR="006163EE" w:rsidRDefault="006163EE" w:rsidP="006163EE">
      <w:r>
        <w:t>SUGGESTED REPLY: We are not aware of another Code of Conduct aside from the French one. The French Code of Conduct (AMAFI) is widely adhered to though. Therefore, it makes sense to just take over the existing code to enable continuity.</w:t>
      </w:r>
    </w:p>
    <w:p w14:paraId="7F4696D5" w14:textId="4B739563" w:rsidR="00C4342C" w:rsidRDefault="00C4342C" w:rsidP="006163EE">
      <w:r w:rsidRPr="00C4342C">
        <w:t>However, we prefer to avoid "national registri</w:t>
      </w:r>
      <w:r>
        <w:t>es</w:t>
      </w:r>
      <w:r w:rsidRPr="00C4342C">
        <w:t>" of sponsored research and therefore inclusion in a single market ESMA list.</w:t>
      </w:r>
    </w:p>
    <w:p w14:paraId="0127ACD7" w14:textId="1418FCA1" w:rsidR="00C4342C" w:rsidRDefault="00C4342C" w:rsidP="006163EE">
      <w:r w:rsidRPr="00C4342C">
        <w:t>Regarding scope, we</w:t>
      </w:r>
      <w:r>
        <w:t xml:space="preserve"> </w:t>
      </w:r>
      <w:r w:rsidRPr="00C4342C">
        <w:t xml:space="preserve">may prefer application to all </w:t>
      </w:r>
      <w:proofErr w:type="spellStart"/>
      <w:r w:rsidRPr="00C4342C">
        <w:t>ToTV</w:t>
      </w:r>
      <w:proofErr w:type="spellEnd"/>
      <w:r w:rsidRPr="00C4342C">
        <w:t xml:space="preserve"> equity, i.e. not solely those listed on regulated market but also equity trading on any trading venue (notably MTF or SME Growth market)</w:t>
      </w:r>
      <w:r>
        <w:t>.</w:t>
      </w:r>
    </w:p>
    <w:p w14:paraId="5460C170" w14:textId="77777777" w:rsidR="006163EE" w:rsidRPr="006163EE" w:rsidRDefault="006163EE" w:rsidP="006163EE">
      <w:pPr>
        <w:rPr>
          <w:b/>
          <w:bCs/>
        </w:rPr>
      </w:pPr>
      <w:r w:rsidRPr="006163EE">
        <w:rPr>
          <w:b/>
          <w:bCs/>
        </w:rPr>
        <w:t>Question 2: Do you agree with the proposed approach? Please state the reasons for your answer.</w:t>
      </w:r>
    </w:p>
    <w:p w14:paraId="1EE9CA9E" w14:textId="4D4ECA70" w:rsidR="006163EE" w:rsidRDefault="006163EE" w:rsidP="006163EE">
      <w:r>
        <w:t xml:space="preserve">SUGGESTED REPLY: We prefer option 2 for reasons of continuity. We already </w:t>
      </w:r>
      <w:r w:rsidR="005B6F80">
        <w:t xml:space="preserve">on most points </w:t>
      </w:r>
      <w:r>
        <w:t>adhere to the AMAFI Code of Conduct.</w:t>
      </w:r>
    </w:p>
    <w:p w14:paraId="53931D81" w14:textId="77777777" w:rsidR="00004057" w:rsidRDefault="00004057" w:rsidP="006163EE"/>
    <w:p w14:paraId="0A0EDC94" w14:textId="77777777" w:rsidR="006163EE" w:rsidRPr="006163EE" w:rsidRDefault="006163EE" w:rsidP="006163EE">
      <w:pPr>
        <w:rPr>
          <w:b/>
          <w:bCs/>
        </w:rPr>
      </w:pPr>
      <w:r w:rsidRPr="006163EE">
        <w:rPr>
          <w:b/>
          <w:bCs/>
        </w:rPr>
        <w:t>Question 3: Do you agree to mainly focus the requirements on research providers? Or do you think that additional requirements are necessary for issuers? Please state the reasons for your answer.</w:t>
      </w:r>
    </w:p>
    <w:p w14:paraId="7730D0AF" w14:textId="5B053225" w:rsidR="006163EE" w:rsidRDefault="006163EE" w:rsidP="006163EE">
      <w:r>
        <w:t xml:space="preserve">SUGGESTED REPLY: We agree that requirements should </w:t>
      </w:r>
      <w:r w:rsidR="00C4342C">
        <w:t xml:space="preserve">mainly </w:t>
      </w:r>
      <w:r>
        <w:t xml:space="preserve">be intended for providers. </w:t>
      </w:r>
    </w:p>
    <w:p w14:paraId="6469BC58" w14:textId="7B3E6C67" w:rsidR="00C4342C" w:rsidRDefault="00C4342C" w:rsidP="006163EE">
      <w:r>
        <w:t xml:space="preserve">But </w:t>
      </w:r>
      <w:r w:rsidRPr="00C4342C">
        <w:t>the AMAFI</w:t>
      </w:r>
      <w:r>
        <w:t>-Code</w:t>
      </w:r>
      <w:r w:rsidRPr="00C4342C">
        <w:t xml:space="preserve"> </w:t>
      </w:r>
      <w:r>
        <w:t>contains</w:t>
      </w:r>
      <w:r w:rsidRPr="00C4342C">
        <w:t xml:space="preserve"> rules for the issuers as well. For us, in order to be aligned with the </w:t>
      </w:r>
      <w:r>
        <w:t xml:space="preserve">French </w:t>
      </w:r>
      <w:r w:rsidRPr="00C4342C">
        <w:t>code, we suggest to have a shared responsibility</w:t>
      </w:r>
      <w:r w:rsidR="005F49BE">
        <w:t xml:space="preserve"> between provider and issuer and therefore a good mix in roles responsibilities between both is needed (and not only</w:t>
      </w:r>
      <w:r w:rsidR="00FB0E47">
        <w:t xml:space="preserve"> </w:t>
      </w:r>
      <w:r w:rsidRPr="00C4342C">
        <w:t>focus/tasks only at</w:t>
      </w:r>
      <w:r w:rsidR="005F49BE">
        <w:t xml:space="preserve"> provider</w:t>
      </w:r>
      <w:r w:rsidRPr="00C4342C">
        <w:t xml:space="preserve"> side</w:t>
      </w:r>
      <w:r w:rsidR="005F49BE">
        <w:t>).</w:t>
      </w:r>
    </w:p>
    <w:p w14:paraId="26C2CF40" w14:textId="77777777" w:rsidR="006163EE" w:rsidRPr="006163EE" w:rsidRDefault="006163EE" w:rsidP="006163EE">
      <w:pPr>
        <w:rPr>
          <w:b/>
          <w:bCs/>
        </w:rPr>
      </w:pPr>
      <w:r w:rsidRPr="006163EE">
        <w:rPr>
          <w:b/>
          <w:bCs/>
        </w:rPr>
        <w:t>Question 4: Do you agree with a minimum initial term of the contract of two years? Or should the initial term be more, or less? Or should the code of conduct allow one-off reports, such as for initial public offerings? Please state the reasons for your answer.</w:t>
      </w:r>
    </w:p>
    <w:p w14:paraId="1A957F87" w14:textId="6EE86E99" w:rsidR="006163EE" w:rsidRDefault="006163EE" w:rsidP="006163EE">
      <w:r>
        <w:t>SUGGESTED REPLY: We agree with the initial two-year term. This allows continuity and reduces the possibility of significant turnover in research coverage. We need to avoid that each year, the covering providers change as this could send a negative signal to the investment community. We do not oppose to the possibility to offer one-off reports. We believe this practice is already in use in the United Kingdom.</w:t>
      </w:r>
    </w:p>
    <w:p w14:paraId="744A1723" w14:textId="77777777" w:rsidR="006163EE" w:rsidRPr="006163EE" w:rsidRDefault="006163EE" w:rsidP="006163EE">
      <w:pPr>
        <w:rPr>
          <w:b/>
          <w:bCs/>
        </w:rPr>
      </w:pPr>
      <w:r w:rsidRPr="006163EE">
        <w:rPr>
          <w:b/>
          <w:bCs/>
        </w:rPr>
        <w:lastRenderedPageBreak/>
        <w:t>Question 5: Do you agree with a minimum upfront payment of 50% of the annual remuneration? Or should that percentage be more, or less? Please state the reasons for your answer.</w:t>
      </w:r>
    </w:p>
    <w:p w14:paraId="4C4B1947" w14:textId="3B01D72F" w:rsidR="00C67774" w:rsidRDefault="006163EE" w:rsidP="006163EE">
      <w:r>
        <w:t xml:space="preserve">SUGGESTED REPLY: </w:t>
      </w:r>
      <w:r w:rsidR="00C67774">
        <w:t>Some of our members agree</w:t>
      </w:r>
      <w:r>
        <w:t xml:space="preserve"> with the minimum 50% upfront payment, as </w:t>
      </w:r>
      <w:r w:rsidR="00C67774">
        <w:t xml:space="preserve">they </w:t>
      </w:r>
      <w:r>
        <w:t xml:space="preserve">believe it is a way to ensure independence. </w:t>
      </w:r>
    </w:p>
    <w:p w14:paraId="5966834A" w14:textId="241B7458" w:rsidR="006163EE" w:rsidRDefault="00C4342C" w:rsidP="006163EE">
      <w:r w:rsidRPr="00C4342C">
        <w:t xml:space="preserve">But </w:t>
      </w:r>
      <w:r w:rsidR="00C67774">
        <w:t>other members</w:t>
      </w:r>
      <w:r w:rsidRPr="00C4342C">
        <w:t xml:space="preserve"> </w:t>
      </w:r>
      <w:r>
        <w:t>consider</w:t>
      </w:r>
      <w:r w:rsidRPr="00C4342C">
        <w:t xml:space="preserve"> that a 100% upfront payment would be preferable. This would also strengthen the claim of "independence" and prevent any abnormal </w:t>
      </w:r>
      <w:proofErr w:type="spellStart"/>
      <w:r w:rsidRPr="00C4342C">
        <w:t>behavior</w:t>
      </w:r>
      <w:proofErr w:type="spellEnd"/>
      <w:r w:rsidRPr="00C4342C">
        <w:t xml:space="preserve"> by the company aimed at exerting pressure on production during the term of the contract.</w:t>
      </w:r>
    </w:p>
    <w:p w14:paraId="4CC7852C" w14:textId="77777777" w:rsidR="006163EE" w:rsidRPr="006163EE" w:rsidRDefault="006163EE" w:rsidP="006163EE">
      <w:pPr>
        <w:rPr>
          <w:b/>
          <w:bCs/>
        </w:rPr>
      </w:pPr>
      <w:r w:rsidRPr="006163EE">
        <w:rPr>
          <w:b/>
          <w:bCs/>
        </w:rPr>
        <w:t>Question 6: Do you agree with the information listed in Clause 7 of the code of conduct that research providers should make available to investment firms? Is there anything missing? Please state the reasons for your answer.</w:t>
      </w:r>
    </w:p>
    <w:p w14:paraId="1D4CDA47" w14:textId="21A658B4" w:rsidR="006163EE" w:rsidRDefault="006163EE" w:rsidP="006163EE">
      <w:r>
        <w:t>SUGGESTED REPLY: We agree with making the contractual agreement between the issuer and the provider available to investment firms but nothing else. Providing more information would become complex</w:t>
      </w:r>
      <w:r w:rsidR="00004057">
        <w:t xml:space="preserve"> and we need to keep most data confidential.</w:t>
      </w:r>
    </w:p>
    <w:p w14:paraId="285EA1D9" w14:textId="77777777" w:rsidR="006163EE" w:rsidRPr="006163EE" w:rsidRDefault="006163EE" w:rsidP="006163EE">
      <w:pPr>
        <w:rPr>
          <w:b/>
          <w:bCs/>
        </w:rPr>
      </w:pPr>
      <w:r w:rsidRPr="006163EE">
        <w:rPr>
          <w:b/>
          <w:bCs/>
        </w:rPr>
        <w:t>Question 7: Do you agree that only when the issuer paid fully for the research, it should be made accessible to the public immediately? Or should research partially paid for by the issuer also be made accessible to the public immediately? Please state the reasons for your answer.</w:t>
      </w:r>
    </w:p>
    <w:p w14:paraId="5173C352" w14:textId="215031D3" w:rsidR="006163EE" w:rsidRDefault="006163EE" w:rsidP="006163EE">
      <w:r>
        <w:t>SUGGESTED REPLY: We believe that also research that is partially paid by the issuer should be made available to the public</w:t>
      </w:r>
      <w:r w:rsidR="00EF1966">
        <w:t xml:space="preserve"> in a non-discriminating manner and in accordance with the Code of Conduct and Label. </w:t>
      </w:r>
      <w:r>
        <w:t xml:space="preserve">Otherwise, the purpose of sponsored research would be lost. </w:t>
      </w:r>
    </w:p>
    <w:p w14:paraId="6118F12F" w14:textId="77777777" w:rsidR="006163EE" w:rsidRPr="006163EE" w:rsidRDefault="006163EE" w:rsidP="006163EE">
      <w:pPr>
        <w:rPr>
          <w:b/>
          <w:bCs/>
        </w:rPr>
      </w:pPr>
      <w:r w:rsidRPr="006163EE">
        <w:rPr>
          <w:b/>
          <w:bCs/>
        </w:rPr>
        <w:t>Question 8: Do you think that any further requirements should be introduced in the code of conduct? Please state the reasons for your answer.</w:t>
      </w:r>
    </w:p>
    <w:p w14:paraId="7CFE91A8" w14:textId="18B1E1B6" w:rsidR="00004057" w:rsidRDefault="006163EE" w:rsidP="00004057">
      <w:r>
        <w:t xml:space="preserve">SUGGESTED REPLY: </w:t>
      </w:r>
      <w:r w:rsidR="00004057">
        <w:t>We may want to reformulate :</w:t>
      </w:r>
    </w:p>
    <w:p w14:paraId="6427DD38" w14:textId="33261417" w:rsidR="00004057" w:rsidRDefault="00004057" w:rsidP="00004057">
      <w:pPr>
        <w:pStyle w:val="ListParagraph"/>
        <w:numPr>
          <w:ilvl w:val="0"/>
          <w:numId w:val="3"/>
        </w:numPr>
      </w:pPr>
      <w:r>
        <w:t xml:space="preserve">the 2nd paragraph of the 6th commitment: “ </w:t>
      </w:r>
      <w:r w:rsidRPr="0019254C">
        <w:rPr>
          <w:i/>
          <w:iCs/>
        </w:rPr>
        <w:t>Additionally, the issuer-sponsored research provider has to organize</w:t>
      </w:r>
      <w:r w:rsidR="005F49BE">
        <w:rPr>
          <w:i/>
          <w:iCs/>
        </w:rPr>
        <w:t xml:space="preserve"> its communication (in a broad sense including</w:t>
      </w:r>
      <w:r w:rsidRPr="0019254C">
        <w:rPr>
          <w:i/>
          <w:iCs/>
        </w:rPr>
        <w:t xml:space="preserve"> media relations and social media posts</w:t>
      </w:r>
      <w:r w:rsidR="005F49BE">
        <w:rPr>
          <w:i/>
          <w:iCs/>
        </w:rPr>
        <w:t>)</w:t>
      </w:r>
      <w:r w:rsidRPr="0019254C">
        <w:rPr>
          <w:i/>
          <w:iCs/>
        </w:rPr>
        <w:t xml:space="preserve"> in a way that ensures the proper identification of the issuer-sponsored research</w:t>
      </w:r>
      <w:r>
        <w:t>.”</w:t>
      </w:r>
    </w:p>
    <w:p w14:paraId="7A081895" w14:textId="77777777" w:rsidR="00004057" w:rsidRDefault="00004057" w:rsidP="0019254C">
      <w:pPr>
        <w:pStyle w:val="ListParagraph"/>
      </w:pPr>
    </w:p>
    <w:p w14:paraId="0E5DBD46" w14:textId="5578767F" w:rsidR="00004057" w:rsidRPr="0019254C" w:rsidRDefault="00004057" w:rsidP="0019254C">
      <w:pPr>
        <w:pStyle w:val="ListParagraph"/>
        <w:numPr>
          <w:ilvl w:val="0"/>
          <w:numId w:val="3"/>
        </w:numPr>
        <w:rPr>
          <w:i/>
          <w:iCs/>
        </w:rPr>
      </w:pPr>
      <w:r>
        <w:t>the 8th commitment: “</w:t>
      </w:r>
      <w:r w:rsidRPr="0019254C">
        <w:rPr>
          <w:i/>
          <w:iCs/>
        </w:rPr>
        <w:t xml:space="preserve">However, </w:t>
      </w:r>
      <w:r w:rsidRPr="0019254C">
        <w:rPr>
          <w:b/>
          <w:bCs/>
          <w:i/>
          <w:iCs/>
        </w:rPr>
        <w:t>each Party</w:t>
      </w:r>
      <w:r w:rsidRPr="0019254C">
        <w:rPr>
          <w:i/>
          <w:iCs/>
        </w:rPr>
        <w:t xml:space="preserve"> has the option to unilaterally terminate the contract in the following situations: </w:t>
      </w:r>
    </w:p>
    <w:p w14:paraId="3D32E4EC" w14:textId="47B5BF5A" w:rsidR="00004057" w:rsidRPr="0019254C" w:rsidRDefault="00004057" w:rsidP="0019254C">
      <w:pPr>
        <w:pStyle w:val="ListParagraph"/>
        <w:numPr>
          <w:ilvl w:val="1"/>
          <w:numId w:val="3"/>
        </w:numPr>
        <w:rPr>
          <w:i/>
          <w:iCs/>
        </w:rPr>
      </w:pPr>
      <w:r w:rsidRPr="0019254C">
        <w:rPr>
          <w:i/>
          <w:iCs/>
        </w:rPr>
        <w:t xml:space="preserve">Interruption of the service provided by the research producer for more than six months; </w:t>
      </w:r>
    </w:p>
    <w:p w14:paraId="6484F7F1" w14:textId="73BE0854" w:rsidR="00004057" w:rsidRPr="0019254C" w:rsidRDefault="00004057" w:rsidP="0019254C">
      <w:pPr>
        <w:pStyle w:val="ListParagraph"/>
        <w:numPr>
          <w:ilvl w:val="1"/>
          <w:numId w:val="3"/>
        </w:numPr>
        <w:rPr>
          <w:i/>
          <w:iCs/>
        </w:rPr>
      </w:pPr>
      <w:r w:rsidRPr="0019254C">
        <w:rPr>
          <w:i/>
          <w:iCs/>
        </w:rPr>
        <w:t xml:space="preserve">Delisting of the issuer's securities; </w:t>
      </w:r>
    </w:p>
    <w:p w14:paraId="14E99475" w14:textId="49768DD1" w:rsidR="006163EE" w:rsidRDefault="00004057" w:rsidP="0019254C">
      <w:pPr>
        <w:pStyle w:val="ListParagraph"/>
        <w:numPr>
          <w:ilvl w:val="1"/>
          <w:numId w:val="3"/>
        </w:numPr>
      </w:pPr>
      <w:r w:rsidRPr="0019254C">
        <w:rPr>
          <w:b/>
          <w:bCs/>
          <w:i/>
          <w:iCs/>
        </w:rPr>
        <w:t>when permitted by law,</w:t>
      </w:r>
      <w:r w:rsidRPr="0019254C">
        <w:rPr>
          <w:i/>
          <w:iCs/>
        </w:rPr>
        <w:t xml:space="preserve"> the issuer is subject to the procedure under Book VI of the Commercial Code (insolvency proceedings).</w:t>
      </w:r>
      <w:r>
        <w:t>”</w:t>
      </w:r>
    </w:p>
    <w:p w14:paraId="47C412DC" w14:textId="77777777" w:rsidR="0065725A" w:rsidRDefault="0065725A"/>
    <w:sectPr w:rsidR="0065725A">
      <w:headerReference w:type="default" r:id="rI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6E3E" w14:textId="77777777" w:rsidR="008D34EB" w:rsidRDefault="008D34EB" w:rsidP="006163EE">
      <w:pPr>
        <w:spacing w:after="0" w:line="240" w:lineRule="auto"/>
      </w:pPr>
      <w:r>
        <w:separator/>
      </w:r>
    </w:p>
  </w:endnote>
  <w:endnote w:type="continuationSeparator" w:id="0">
    <w:p w14:paraId="64FB399B" w14:textId="77777777" w:rsidR="008D34EB" w:rsidRDefault="008D34EB" w:rsidP="0061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CC6C" w14:textId="3656FD2B" w:rsidR="006163EE" w:rsidRDefault="00B07B7E">
    <w:pPr>
      <w:pStyle w:val="Footer"/>
    </w:pPr>
    <w:r>
      <w:rPr>
        <w:noProof/>
      </w:rPr>
      <mc:AlternateContent>
        <mc:Choice Requires="wps">
          <w:drawing>
            <wp:anchor distT="0" distB="0" distL="0" distR="0" simplePos="0" relativeHeight="251657216" behindDoc="0" locked="0" layoutInCell="1" allowOverlap="1" wp14:anchorId="423B25ED" wp14:editId="4B02CB1F">
              <wp:simplePos x="635" y="635"/>
              <wp:positionH relativeFrom="page">
                <wp:align>right</wp:align>
              </wp:positionH>
              <wp:positionV relativeFrom="page">
                <wp:align>bottom</wp:align>
              </wp:positionV>
              <wp:extent cx="1640205" cy="357505"/>
              <wp:effectExtent l="0" t="0" r="0" b="0"/>
              <wp:wrapNone/>
              <wp:docPr id="1933842317" name="Text Box 2"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205" cy="357505"/>
                      </a:xfrm>
                      <a:prstGeom prst="rect">
                        <a:avLst/>
                      </a:prstGeom>
                      <a:noFill/>
                      <a:ln>
                        <a:noFill/>
                      </a:ln>
                    </wps:spPr>
                    <wps:txbx>
                      <w:txbxContent>
                        <w:p w14:paraId="27BEAAA5" w14:textId="58A54765" w:rsidR="00B07B7E" w:rsidRPr="00B07B7E" w:rsidRDefault="00B07B7E" w:rsidP="00B07B7E">
                          <w:pPr>
                            <w:spacing w:after="0"/>
                            <w:rPr>
                              <w:rFonts w:ascii="Calibri" w:eastAsia="Calibri" w:hAnsi="Calibri" w:cs="Calibri"/>
                              <w:noProof/>
                              <w:color w:val="FF8C00"/>
                              <w:sz w:val="20"/>
                              <w:szCs w:val="20"/>
                            </w:rPr>
                          </w:pPr>
                          <w:r w:rsidRPr="00B07B7E">
                            <w:rPr>
                              <w:rFonts w:ascii="Calibri" w:eastAsia="Calibri" w:hAnsi="Calibri" w:cs="Calibri"/>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3B25ED" id="_x0000_t202" coordsize="21600,21600" o:spt="202" path="m,l,21600r21600,l21600,xe">
              <v:stroke joinstyle="miter"/>
              <v:path gradientshapeok="t" o:connecttype="rect"/>
            </v:shapetype>
            <v:shape id="Text Box 2" o:spid="_x0000_s1026" type="#_x0000_t202" alt="Classification : Confidential" style="position:absolute;margin-left:77.95pt;margin-top:0;width:129.15pt;height:28.1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" filled="f" stroked="f">
              <v:textbox style="mso-fit-shape-to-text:t" inset="0,0,20pt,15pt">
                <w:txbxContent>
                  <w:p w14:paraId="27BEAAA5" w14:textId="58A54765" w:rsidR="00B07B7E" w:rsidRPr="00B07B7E" w:rsidRDefault="00B07B7E" w:rsidP="00B07B7E">
                    <w:pPr>
                      <w:spacing w:after="0"/>
                      <w:rPr>
                        <w:rFonts w:ascii="Calibri" w:eastAsia="Calibri" w:hAnsi="Calibri" w:cs="Calibri"/>
                        <w:noProof/>
                        <w:color w:val="FF8C00"/>
                        <w:sz w:val="20"/>
                        <w:szCs w:val="20"/>
                      </w:rPr>
                    </w:pPr>
                    <w:r w:rsidRPr="00B07B7E">
                      <w:rPr>
                        <w:rFonts w:ascii="Calibri" w:eastAsia="Calibri" w:hAnsi="Calibri" w:cs="Calibri"/>
                        <w:noProof/>
                        <w:color w:val="FF8C00"/>
                        <w:sz w:val="20"/>
                        <w:szCs w:val="20"/>
                      </w:rPr>
                      <w:t>Classification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19B1" w14:textId="73421E05" w:rsidR="006163EE" w:rsidRDefault="00B07B7E">
    <w:pPr>
      <w:pStyle w:val="Footer"/>
    </w:pPr>
    <w:r>
      <w:rPr>
        <w:noProof/>
      </w:rPr>
      <mc:AlternateContent>
        <mc:Choice Requires="wps">
          <w:drawing>
            <wp:anchor distT="0" distB="0" distL="0" distR="0" simplePos="0" relativeHeight="251658240" behindDoc="0" locked="0" layoutInCell="1" allowOverlap="1" wp14:anchorId="4A869C0E" wp14:editId="488B3D2D">
              <wp:simplePos x="914400" y="10071100"/>
              <wp:positionH relativeFrom="page">
                <wp:align>right</wp:align>
              </wp:positionH>
              <wp:positionV relativeFrom="page">
                <wp:align>bottom</wp:align>
              </wp:positionV>
              <wp:extent cx="1640205" cy="357505"/>
              <wp:effectExtent l="0" t="0" r="0" b="0"/>
              <wp:wrapNone/>
              <wp:docPr id="790583856" name="Text Box 3"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205" cy="357505"/>
                      </a:xfrm>
                      <a:prstGeom prst="rect">
                        <a:avLst/>
                      </a:prstGeom>
                      <a:noFill/>
                      <a:ln>
                        <a:noFill/>
                      </a:ln>
                    </wps:spPr>
                    <wps:txbx>
                      <w:txbxContent>
                        <w:p w14:paraId="34888A83" w14:textId="7536982E" w:rsidR="00B07B7E" w:rsidRPr="00B07B7E" w:rsidRDefault="00B07B7E" w:rsidP="00B07B7E">
                          <w:pPr>
                            <w:spacing w:after="0"/>
                            <w:rPr>
                              <w:rFonts w:ascii="Calibri" w:eastAsia="Calibri" w:hAnsi="Calibri" w:cs="Calibri"/>
                              <w:noProof/>
                              <w:color w:val="FF8C00"/>
                              <w:sz w:val="20"/>
                              <w:szCs w:val="20"/>
                            </w:rPr>
                          </w:pPr>
                          <w:r w:rsidRPr="00B07B7E">
                            <w:rPr>
                              <w:rFonts w:ascii="Calibri" w:eastAsia="Calibri" w:hAnsi="Calibri" w:cs="Calibri"/>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869C0E" id="_x0000_t202" coordsize="21600,21600" o:spt="202" path="m,l,21600r21600,l21600,xe">
              <v:stroke joinstyle="miter"/>
              <v:path gradientshapeok="t" o:connecttype="rect"/>
            </v:shapetype>
            <v:shape id="Text Box 3" o:spid="_x0000_s1027" type="#_x0000_t202" alt="Classification : Confidential" style="position:absolute;margin-left:77.95pt;margin-top:0;width:129.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" filled="f" stroked="f">
              <v:textbox style="mso-fit-shape-to-text:t" inset="0,0,20pt,15pt">
                <w:txbxContent>
                  <w:p w14:paraId="34888A83" w14:textId="7536982E" w:rsidR="00B07B7E" w:rsidRPr="00B07B7E" w:rsidRDefault="00B07B7E" w:rsidP="00B07B7E">
                    <w:pPr>
                      <w:spacing w:after="0"/>
                      <w:rPr>
                        <w:rFonts w:ascii="Calibri" w:eastAsia="Calibri" w:hAnsi="Calibri" w:cs="Calibri"/>
                        <w:noProof/>
                        <w:color w:val="FF8C00"/>
                        <w:sz w:val="20"/>
                        <w:szCs w:val="20"/>
                      </w:rPr>
                    </w:pPr>
                    <w:r w:rsidRPr="00B07B7E">
                      <w:rPr>
                        <w:rFonts w:ascii="Calibri" w:eastAsia="Calibri" w:hAnsi="Calibri" w:cs="Calibri"/>
                        <w:noProof/>
                        <w:color w:val="FF8C00"/>
                        <w:sz w:val="20"/>
                        <w:szCs w:val="20"/>
                      </w:rPr>
                      <w:t>Classification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AD73" w14:textId="41697D51" w:rsidR="006163EE" w:rsidRDefault="00B07B7E">
    <w:pPr>
      <w:pStyle w:val="Footer"/>
    </w:pPr>
    <w:r>
      <w:rPr>
        <w:noProof/>
      </w:rPr>
      <mc:AlternateContent>
        <mc:Choice Requires="wps">
          <w:drawing>
            <wp:anchor distT="0" distB="0" distL="0" distR="0" simplePos="0" relativeHeight="251656192" behindDoc="0" locked="0" layoutInCell="1" allowOverlap="1" wp14:anchorId="06F955B6" wp14:editId="02D97830">
              <wp:simplePos x="635" y="635"/>
              <wp:positionH relativeFrom="page">
                <wp:align>right</wp:align>
              </wp:positionH>
              <wp:positionV relativeFrom="page">
                <wp:align>bottom</wp:align>
              </wp:positionV>
              <wp:extent cx="1640205" cy="357505"/>
              <wp:effectExtent l="0" t="0" r="0" b="0"/>
              <wp:wrapNone/>
              <wp:docPr id="933443255" name="Text Box 1"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205" cy="357505"/>
                      </a:xfrm>
                      <a:prstGeom prst="rect">
                        <a:avLst/>
                      </a:prstGeom>
                      <a:noFill/>
                      <a:ln>
                        <a:noFill/>
                      </a:ln>
                    </wps:spPr>
                    <wps:txbx>
                      <w:txbxContent>
                        <w:p w14:paraId="721C1E1D" w14:textId="3BBC3BAA" w:rsidR="00B07B7E" w:rsidRPr="00B07B7E" w:rsidRDefault="00B07B7E" w:rsidP="00B07B7E">
                          <w:pPr>
                            <w:spacing w:after="0"/>
                            <w:rPr>
                              <w:rFonts w:ascii="Calibri" w:eastAsia="Calibri" w:hAnsi="Calibri" w:cs="Calibri"/>
                              <w:noProof/>
                              <w:color w:val="FF8C00"/>
                              <w:sz w:val="20"/>
                              <w:szCs w:val="20"/>
                            </w:rPr>
                          </w:pPr>
                          <w:r w:rsidRPr="00B07B7E">
                            <w:rPr>
                              <w:rFonts w:ascii="Calibri" w:eastAsia="Calibri" w:hAnsi="Calibri" w:cs="Calibri"/>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F955B6" id="_x0000_t202" coordsize="21600,21600" o:spt="202" path="m,l,21600r21600,l21600,xe">
              <v:stroke joinstyle="miter"/>
              <v:path gradientshapeok="t" o:connecttype="rect"/>
            </v:shapetype>
            <v:shape id="Text Box 1" o:spid="_x0000_s1028" type="#_x0000_t202" alt="Classification : Confidential" style="position:absolute;margin-left:77.95pt;margin-top:0;width:129.15pt;height:28.1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" filled="f" stroked="f">
              <v:textbox style="mso-fit-shape-to-text:t" inset="0,0,20pt,15pt">
                <w:txbxContent>
                  <w:p w14:paraId="721C1E1D" w14:textId="3BBC3BAA" w:rsidR="00B07B7E" w:rsidRPr="00B07B7E" w:rsidRDefault="00B07B7E" w:rsidP="00B07B7E">
                    <w:pPr>
                      <w:spacing w:after="0"/>
                      <w:rPr>
                        <w:rFonts w:ascii="Calibri" w:eastAsia="Calibri" w:hAnsi="Calibri" w:cs="Calibri"/>
                        <w:noProof/>
                        <w:color w:val="FF8C00"/>
                        <w:sz w:val="20"/>
                        <w:szCs w:val="20"/>
                      </w:rPr>
                    </w:pPr>
                    <w:r w:rsidRPr="00B07B7E">
                      <w:rPr>
                        <w:rFonts w:ascii="Calibri" w:eastAsia="Calibri" w:hAnsi="Calibri" w:cs="Calibri"/>
                        <w:noProof/>
                        <w:color w:val="FF8C00"/>
                        <w:sz w:val="20"/>
                        <w:szCs w:val="20"/>
                      </w:rPr>
                      <w:t>Classification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4E29" w14:textId="77777777" w:rsidR="008D34EB" w:rsidRDefault="008D34EB" w:rsidP="006163EE">
      <w:pPr>
        <w:spacing w:after="0" w:line="240" w:lineRule="auto"/>
      </w:pPr>
      <w:r>
        <w:separator/>
      </w:r>
    </w:p>
  </w:footnote>
  <w:footnote w:type="continuationSeparator" w:id="0">
    <w:p w14:paraId="180BD0C5" w14:textId="77777777" w:rsidR="008D34EB" w:rsidRDefault="008D34EB" w:rsidP="00616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939348"/>
      <w:docPartObj>
        <w:docPartGallery w:val="Watermarks"/>
        <w:docPartUnique/>
      </w:docPartObj>
    </w:sdtPr>
    <w:sdtContent>
      <w:p w14:paraId="163B03D9" w14:textId="5902A422" w:rsidR="006163EE" w:rsidRDefault="00000000">
        <w:pPr>
          <w:pStyle w:val="Header"/>
        </w:pPr>
        <w:r>
          <w:rPr>
            <w:noProof/>
          </w:rPr>
          <w:pict w14:anchorId="6CE30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D20"/>
    <w:multiLevelType w:val="hybridMultilevel"/>
    <w:tmpl w:val="272E72FE"/>
    <w:lvl w:ilvl="0" w:tplc="E3D02748">
      <w:start w:val="1"/>
      <w:numFmt w:val="lowerRoman"/>
      <w:lvlText w:val="%1)"/>
      <w:lvlJc w:val="right"/>
      <w:pPr>
        <w:ind w:left="1320" w:hanging="360"/>
      </w:pPr>
    </w:lvl>
    <w:lvl w:ilvl="1" w:tplc="52DAE740">
      <w:start w:val="1"/>
      <w:numFmt w:val="lowerRoman"/>
      <w:lvlText w:val="%2)"/>
      <w:lvlJc w:val="right"/>
      <w:pPr>
        <w:ind w:left="1320" w:hanging="360"/>
      </w:pPr>
    </w:lvl>
    <w:lvl w:ilvl="2" w:tplc="121AB36A">
      <w:start w:val="1"/>
      <w:numFmt w:val="lowerRoman"/>
      <w:lvlText w:val="%3)"/>
      <w:lvlJc w:val="right"/>
      <w:pPr>
        <w:ind w:left="1320" w:hanging="360"/>
      </w:pPr>
    </w:lvl>
    <w:lvl w:ilvl="3" w:tplc="7176224A">
      <w:start w:val="1"/>
      <w:numFmt w:val="lowerRoman"/>
      <w:lvlText w:val="%4)"/>
      <w:lvlJc w:val="right"/>
      <w:pPr>
        <w:ind w:left="1320" w:hanging="360"/>
      </w:pPr>
    </w:lvl>
    <w:lvl w:ilvl="4" w:tplc="C58286FE">
      <w:start w:val="1"/>
      <w:numFmt w:val="lowerRoman"/>
      <w:lvlText w:val="%5)"/>
      <w:lvlJc w:val="right"/>
      <w:pPr>
        <w:ind w:left="1320" w:hanging="360"/>
      </w:pPr>
    </w:lvl>
    <w:lvl w:ilvl="5" w:tplc="65DE8E78">
      <w:start w:val="1"/>
      <w:numFmt w:val="lowerRoman"/>
      <w:lvlText w:val="%6)"/>
      <w:lvlJc w:val="right"/>
      <w:pPr>
        <w:ind w:left="1320" w:hanging="360"/>
      </w:pPr>
    </w:lvl>
    <w:lvl w:ilvl="6" w:tplc="39783D20">
      <w:start w:val="1"/>
      <w:numFmt w:val="lowerRoman"/>
      <w:lvlText w:val="%7)"/>
      <w:lvlJc w:val="right"/>
      <w:pPr>
        <w:ind w:left="1320" w:hanging="360"/>
      </w:pPr>
    </w:lvl>
    <w:lvl w:ilvl="7" w:tplc="4766861E">
      <w:start w:val="1"/>
      <w:numFmt w:val="lowerRoman"/>
      <w:lvlText w:val="%8)"/>
      <w:lvlJc w:val="right"/>
      <w:pPr>
        <w:ind w:left="1320" w:hanging="360"/>
      </w:pPr>
    </w:lvl>
    <w:lvl w:ilvl="8" w:tplc="AEA6A466">
      <w:start w:val="1"/>
      <w:numFmt w:val="lowerRoman"/>
      <w:lvlText w:val="%9)"/>
      <w:lvlJc w:val="right"/>
      <w:pPr>
        <w:ind w:left="1320" w:hanging="360"/>
      </w:pPr>
    </w:lvl>
  </w:abstractNum>
  <w:abstractNum w:abstractNumId="1" w15:restartNumberingAfterBreak="0">
    <w:nsid w:val="21324101"/>
    <w:multiLevelType w:val="hybridMultilevel"/>
    <w:tmpl w:val="E88E0EAE"/>
    <w:lvl w:ilvl="0" w:tplc="8B6C45E8">
      <w:start w:val="1"/>
      <w:numFmt w:val="lowerRoman"/>
      <w:lvlText w:val="%1)"/>
      <w:lvlJc w:val="right"/>
      <w:pPr>
        <w:ind w:left="1320" w:hanging="360"/>
      </w:pPr>
    </w:lvl>
    <w:lvl w:ilvl="1" w:tplc="54222A5A">
      <w:start w:val="1"/>
      <w:numFmt w:val="lowerRoman"/>
      <w:lvlText w:val="%2)"/>
      <w:lvlJc w:val="right"/>
      <w:pPr>
        <w:ind w:left="1320" w:hanging="360"/>
      </w:pPr>
    </w:lvl>
    <w:lvl w:ilvl="2" w:tplc="14CC39D4">
      <w:start w:val="1"/>
      <w:numFmt w:val="lowerRoman"/>
      <w:lvlText w:val="%3)"/>
      <w:lvlJc w:val="right"/>
      <w:pPr>
        <w:ind w:left="1320" w:hanging="360"/>
      </w:pPr>
    </w:lvl>
    <w:lvl w:ilvl="3" w:tplc="F5E874AE">
      <w:start w:val="1"/>
      <w:numFmt w:val="lowerRoman"/>
      <w:lvlText w:val="%4)"/>
      <w:lvlJc w:val="right"/>
      <w:pPr>
        <w:ind w:left="1320" w:hanging="360"/>
      </w:pPr>
    </w:lvl>
    <w:lvl w:ilvl="4" w:tplc="D26CF524">
      <w:start w:val="1"/>
      <w:numFmt w:val="lowerRoman"/>
      <w:lvlText w:val="%5)"/>
      <w:lvlJc w:val="right"/>
      <w:pPr>
        <w:ind w:left="1320" w:hanging="360"/>
      </w:pPr>
    </w:lvl>
    <w:lvl w:ilvl="5" w:tplc="1F72DC84">
      <w:start w:val="1"/>
      <w:numFmt w:val="lowerRoman"/>
      <w:lvlText w:val="%6)"/>
      <w:lvlJc w:val="right"/>
      <w:pPr>
        <w:ind w:left="1320" w:hanging="360"/>
      </w:pPr>
    </w:lvl>
    <w:lvl w:ilvl="6" w:tplc="31CCB4CA">
      <w:start w:val="1"/>
      <w:numFmt w:val="lowerRoman"/>
      <w:lvlText w:val="%7)"/>
      <w:lvlJc w:val="right"/>
      <w:pPr>
        <w:ind w:left="1320" w:hanging="360"/>
      </w:pPr>
    </w:lvl>
    <w:lvl w:ilvl="7" w:tplc="4FAC0534">
      <w:start w:val="1"/>
      <w:numFmt w:val="lowerRoman"/>
      <w:lvlText w:val="%8)"/>
      <w:lvlJc w:val="right"/>
      <w:pPr>
        <w:ind w:left="1320" w:hanging="360"/>
      </w:pPr>
    </w:lvl>
    <w:lvl w:ilvl="8" w:tplc="F9CE12D6">
      <w:start w:val="1"/>
      <w:numFmt w:val="lowerRoman"/>
      <w:lvlText w:val="%9)"/>
      <w:lvlJc w:val="right"/>
      <w:pPr>
        <w:ind w:left="1320" w:hanging="360"/>
      </w:pPr>
    </w:lvl>
  </w:abstractNum>
  <w:abstractNum w:abstractNumId="2" w15:restartNumberingAfterBreak="0">
    <w:nsid w:val="21921E14"/>
    <w:multiLevelType w:val="hybridMultilevel"/>
    <w:tmpl w:val="9F864CDC"/>
    <w:lvl w:ilvl="0" w:tplc="08090001">
      <w:start w:val="1"/>
      <w:numFmt w:val="bullet"/>
      <w:lvlText w:val=""/>
      <w:lvlJc w:val="left"/>
      <w:pPr>
        <w:ind w:left="720" w:hanging="360"/>
      </w:pPr>
      <w:rPr>
        <w:rFonts w:ascii="Symbol" w:hAnsi="Symbol" w:hint="default"/>
      </w:rPr>
    </w:lvl>
    <w:lvl w:ilvl="1" w:tplc="F8F677DA">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10054">
    <w:abstractNumId w:val="1"/>
  </w:num>
  <w:num w:numId="2" w16cid:durableId="608465910">
    <w:abstractNumId w:val="0"/>
  </w:num>
  <w:num w:numId="3" w16cid:durableId="1390957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EE"/>
    <w:rsid w:val="00004057"/>
    <w:rsid w:val="0019254C"/>
    <w:rsid w:val="00197354"/>
    <w:rsid w:val="001E1F7B"/>
    <w:rsid w:val="001E233F"/>
    <w:rsid w:val="00232DDF"/>
    <w:rsid w:val="00245578"/>
    <w:rsid w:val="002E77F4"/>
    <w:rsid w:val="00342B72"/>
    <w:rsid w:val="0040685E"/>
    <w:rsid w:val="00416B52"/>
    <w:rsid w:val="004533FC"/>
    <w:rsid w:val="005B6F80"/>
    <w:rsid w:val="005F49BE"/>
    <w:rsid w:val="00606E61"/>
    <w:rsid w:val="00614FF8"/>
    <w:rsid w:val="00615349"/>
    <w:rsid w:val="006163EE"/>
    <w:rsid w:val="0065725A"/>
    <w:rsid w:val="00662F23"/>
    <w:rsid w:val="0066420C"/>
    <w:rsid w:val="00723936"/>
    <w:rsid w:val="00732D6C"/>
    <w:rsid w:val="00740FF9"/>
    <w:rsid w:val="007B5BE4"/>
    <w:rsid w:val="008D34EB"/>
    <w:rsid w:val="00926B80"/>
    <w:rsid w:val="009652F2"/>
    <w:rsid w:val="009856C0"/>
    <w:rsid w:val="009C69A1"/>
    <w:rsid w:val="00AD4D55"/>
    <w:rsid w:val="00AE439D"/>
    <w:rsid w:val="00B07B7E"/>
    <w:rsid w:val="00B26F60"/>
    <w:rsid w:val="00B67267"/>
    <w:rsid w:val="00B967B2"/>
    <w:rsid w:val="00C4342C"/>
    <w:rsid w:val="00C52328"/>
    <w:rsid w:val="00C67774"/>
    <w:rsid w:val="00C75800"/>
    <w:rsid w:val="00C93DE8"/>
    <w:rsid w:val="00CB5B20"/>
    <w:rsid w:val="00D36FC4"/>
    <w:rsid w:val="00E5231B"/>
    <w:rsid w:val="00EE4F03"/>
    <w:rsid w:val="00EF1966"/>
    <w:rsid w:val="00F96764"/>
    <w:rsid w:val="00FB0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E82DA"/>
  <w15:chartTrackingRefBased/>
  <w15:docId w15:val="{4F91C5D6-2A13-4910-A71E-A664354B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3EE"/>
    <w:rPr>
      <w:rFonts w:eastAsiaTheme="majorEastAsia" w:cstheme="majorBidi"/>
      <w:color w:val="272727" w:themeColor="text1" w:themeTint="D8"/>
    </w:rPr>
  </w:style>
  <w:style w:type="paragraph" w:styleId="Title">
    <w:name w:val="Title"/>
    <w:basedOn w:val="Normal"/>
    <w:next w:val="Normal"/>
    <w:link w:val="TitleChar"/>
    <w:uiPriority w:val="10"/>
    <w:qFormat/>
    <w:rsid w:val="00616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3EE"/>
    <w:pPr>
      <w:spacing w:before="160"/>
      <w:jc w:val="center"/>
    </w:pPr>
    <w:rPr>
      <w:i/>
      <w:iCs/>
      <w:color w:val="404040" w:themeColor="text1" w:themeTint="BF"/>
    </w:rPr>
  </w:style>
  <w:style w:type="character" w:customStyle="1" w:styleId="QuoteChar">
    <w:name w:val="Quote Char"/>
    <w:basedOn w:val="DefaultParagraphFont"/>
    <w:link w:val="Quote"/>
    <w:uiPriority w:val="29"/>
    <w:rsid w:val="006163EE"/>
    <w:rPr>
      <w:i/>
      <w:iCs/>
      <w:color w:val="404040" w:themeColor="text1" w:themeTint="BF"/>
    </w:rPr>
  </w:style>
  <w:style w:type="paragraph" w:styleId="ListParagraph">
    <w:name w:val="List Paragraph"/>
    <w:basedOn w:val="Normal"/>
    <w:uiPriority w:val="34"/>
    <w:qFormat/>
    <w:rsid w:val="006163EE"/>
    <w:pPr>
      <w:ind w:left="720"/>
      <w:contextualSpacing/>
    </w:pPr>
  </w:style>
  <w:style w:type="character" w:styleId="IntenseEmphasis">
    <w:name w:val="Intense Emphasis"/>
    <w:basedOn w:val="DefaultParagraphFont"/>
    <w:uiPriority w:val="21"/>
    <w:qFormat/>
    <w:rsid w:val="006163EE"/>
    <w:rPr>
      <w:i/>
      <w:iCs/>
      <w:color w:val="0F4761" w:themeColor="accent1" w:themeShade="BF"/>
    </w:rPr>
  </w:style>
  <w:style w:type="paragraph" w:styleId="IntenseQuote">
    <w:name w:val="Intense Quote"/>
    <w:basedOn w:val="Normal"/>
    <w:next w:val="Normal"/>
    <w:link w:val="IntenseQuoteChar"/>
    <w:uiPriority w:val="30"/>
    <w:qFormat/>
    <w:rsid w:val="00616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3EE"/>
    <w:rPr>
      <w:i/>
      <w:iCs/>
      <w:color w:val="0F4761" w:themeColor="accent1" w:themeShade="BF"/>
    </w:rPr>
  </w:style>
  <w:style w:type="character" w:styleId="IntenseReference">
    <w:name w:val="Intense Reference"/>
    <w:basedOn w:val="DefaultParagraphFont"/>
    <w:uiPriority w:val="32"/>
    <w:qFormat/>
    <w:rsid w:val="006163EE"/>
    <w:rPr>
      <w:b/>
      <w:bCs/>
      <w:smallCaps/>
      <w:color w:val="0F4761" w:themeColor="accent1" w:themeShade="BF"/>
      <w:spacing w:val="5"/>
    </w:rPr>
  </w:style>
  <w:style w:type="paragraph" w:styleId="Header">
    <w:name w:val="header"/>
    <w:basedOn w:val="Normal"/>
    <w:link w:val="HeaderChar"/>
    <w:uiPriority w:val="99"/>
    <w:unhideWhenUsed/>
    <w:rsid w:val="00616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3EE"/>
  </w:style>
  <w:style w:type="paragraph" w:styleId="Footer">
    <w:name w:val="footer"/>
    <w:basedOn w:val="Normal"/>
    <w:link w:val="FooterChar"/>
    <w:uiPriority w:val="99"/>
    <w:unhideWhenUsed/>
    <w:rsid w:val="00616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3EE"/>
  </w:style>
  <w:style w:type="paragraph" w:styleId="Revision">
    <w:name w:val="Revision"/>
    <w:hidden/>
    <w:uiPriority w:val="99"/>
    <w:semiHidden/>
    <w:rsid w:val="00B07B7E"/>
    <w:pPr>
      <w:spacing w:after="0" w:line="240" w:lineRule="auto"/>
    </w:pPr>
  </w:style>
  <w:style w:type="character" w:styleId="CommentReference">
    <w:name w:val="annotation reference"/>
    <w:basedOn w:val="DefaultParagraphFont"/>
    <w:uiPriority w:val="99"/>
    <w:semiHidden/>
    <w:unhideWhenUsed/>
    <w:rsid w:val="00B07B7E"/>
    <w:rPr>
      <w:sz w:val="16"/>
      <w:szCs w:val="16"/>
    </w:rPr>
  </w:style>
  <w:style w:type="paragraph" w:styleId="CommentText">
    <w:name w:val="annotation text"/>
    <w:basedOn w:val="Normal"/>
    <w:link w:val="CommentTextChar"/>
    <w:uiPriority w:val="99"/>
    <w:unhideWhenUsed/>
    <w:rsid w:val="00B07B7E"/>
    <w:pPr>
      <w:spacing w:line="240" w:lineRule="auto"/>
    </w:pPr>
    <w:rPr>
      <w:sz w:val="20"/>
      <w:szCs w:val="20"/>
    </w:rPr>
  </w:style>
  <w:style w:type="character" w:customStyle="1" w:styleId="CommentTextChar">
    <w:name w:val="Comment Text Char"/>
    <w:basedOn w:val="DefaultParagraphFont"/>
    <w:link w:val="CommentText"/>
    <w:uiPriority w:val="99"/>
    <w:rsid w:val="00B07B7E"/>
    <w:rPr>
      <w:sz w:val="20"/>
      <w:szCs w:val="20"/>
    </w:rPr>
  </w:style>
  <w:style w:type="paragraph" w:styleId="CommentSubject">
    <w:name w:val="annotation subject"/>
    <w:basedOn w:val="CommentText"/>
    <w:next w:val="CommentText"/>
    <w:link w:val="CommentSubjectChar"/>
    <w:uiPriority w:val="99"/>
    <w:semiHidden/>
    <w:unhideWhenUsed/>
    <w:rsid w:val="00B07B7E"/>
    <w:rPr>
      <w:b/>
      <w:bCs/>
    </w:rPr>
  </w:style>
  <w:style w:type="character" w:customStyle="1" w:styleId="CommentSubjectChar">
    <w:name w:val="Comment Subject Char"/>
    <w:basedOn w:val="CommentTextChar"/>
    <w:link w:val="CommentSubject"/>
    <w:uiPriority w:val="99"/>
    <w:semiHidden/>
    <w:rsid w:val="00B07B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 L E G A L D B ! 5 2 6 1 0 2 1 . 2 < / d o c u m e n t i d >  
     < s e n d e r i d > 6 0 0 9 0 0 < / s e n d e r i d >  
     < s e n d e r e m a i l > E R I C . C A L U W A E R T S @ B N P P A R I B A S F O R T I S . C O M < / s e n d e r e m a i l >  
     < l a s t m o d i f i e d > 2 0 2 5 - 0 3 - 0 6 T 1 8 : 5 3 : 0 0 . 0 0 0 0 0 0 0 + 0 1 : 0 0 < / l a s t m o d i f i e d >  
     < d a t a b a s e > L E G A L D B < / 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4A0AA-EC1B-4AA2-A51B-259CE3AED4EA}">
  <ds:schemaRefs>
    <ds:schemaRef ds:uri="http://www.imanage.com/work/xmlschema"/>
  </ds:schemaRefs>
</ds:datastoreItem>
</file>

<file path=customXml/itemProps2.xml><?xml version="1.0" encoding="utf-8"?>
<ds:datastoreItem xmlns:ds="http://schemas.openxmlformats.org/officeDocument/2006/customXml" ds:itemID="{F6267C80-4246-498F-AA8D-4CE4E53A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Lambert</dc:creator>
  <cp:keywords/>
  <dc:description/>
  <cp:lastModifiedBy>Alix Lambert</cp:lastModifiedBy>
  <cp:revision>4</cp:revision>
  <dcterms:created xsi:type="dcterms:W3CDTF">2025-03-17T13:34:00Z</dcterms:created>
  <dcterms:modified xsi:type="dcterms:W3CDTF">2025-03-17T13:35:00Z</dcterms:modified>
</cp:coreProperties>
</file>