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8E9C9E" w14:textId="65C4A5BC" w:rsidR="00C2682A" w:rsidRPr="008A50BE" w:rsidRDefault="00F87897" w:rsidP="00F716D4">
      <w:pPr>
        <w:pStyle w:val="Heading1"/>
        <w:rPr>
          <w:sz w:val="24"/>
          <w:szCs w:val="24"/>
        </w:rPr>
      </w:pPr>
      <w:bookmarkStart w:id="0" w:name="_Hlk124776172"/>
      <w:r w:rsidRPr="00AF763D">
        <w:rPr>
          <w:sz w:val="24"/>
          <w:szCs w:val="24"/>
        </w:rPr>
        <w:t>General information about respondent</w:t>
      </w:r>
    </w:p>
    <w:tbl>
      <w:tblPr>
        <w:tblStyle w:val="TableGrid"/>
        <w:tblW w:w="0" w:type="auto"/>
        <w:tblLook w:val="04A0" w:firstRow="1" w:lastRow="0" w:firstColumn="1" w:lastColumn="0" w:noHBand="0" w:noVBand="1"/>
      </w:tblPr>
      <w:tblGrid>
        <w:gridCol w:w="2405"/>
        <w:gridCol w:w="425"/>
        <w:gridCol w:w="1864"/>
        <w:gridCol w:w="416"/>
        <w:gridCol w:w="4292"/>
      </w:tblGrid>
      <w:tr w:rsidR="0030108F" w14:paraId="65C9D457" w14:textId="77777777" w:rsidTr="000B1586">
        <w:tc>
          <w:tcPr>
            <w:tcW w:w="2405" w:type="dxa"/>
          </w:tcPr>
          <w:p w14:paraId="31679387" w14:textId="5D712DD7" w:rsidR="0030108F" w:rsidRDefault="0030108F" w:rsidP="008A50BE">
            <w:pPr>
              <w:spacing w:after="120"/>
              <w:rPr>
                <w:sz w:val="20"/>
                <w:szCs w:val="18"/>
              </w:rPr>
            </w:pPr>
            <w:r w:rsidRPr="00AF763D">
              <w:rPr>
                <w:color w:val="00379F"/>
                <w:sz w:val="20"/>
                <w:szCs w:val="18"/>
              </w:rPr>
              <w:t>Name of the company / organisation</w:t>
            </w:r>
          </w:p>
        </w:tc>
        <w:sdt>
          <w:sdtPr>
            <w:rPr>
              <w:rStyle w:val="PlaceholderText"/>
              <w:sz w:val="20"/>
              <w:szCs w:val="18"/>
            </w:rPr>
            <w:id w:val="-179280767"/>
            <w:text/>
          </w:sdtPr>
          <w:sdtEndPr>
            <w:rPr>
              <w:rStyle w:val="PlaceholderText"/>
            </w:rPr>
          </w:sdtEndPr>
          <w:sdtContent>
            <w:tc>
              <w:tcPr>
                <w:tcW w:w="6997" w:type="dxa"/>
                <w:gridSpan w:val="4"/>
              </w:tcPr>
              <w:p w14:paraId="0D7893C6" w14:textId="29AF3368" w:rsidR="0030108F" w:rsidRDefault="009F1E3A" w:rsidP="009F1E3A">
                <w:pPr>
                  <w:spacing w:after="120"/>
                  <w:rPr>
                    <w:sz w:val="20"/>
                    <w:szCs w:val="18"/>
                  </w:rPr>
                </w:pPr>
                <w:proofErr w:type="spellStart"/>
                <w:r>
                  <w:rPr>
                    <w:rStyle w:val="PlaceholderText"/>
                    <w:sz w:val="20"/>
                    <w:szCs w:val="18"/>
                  </w:rPr>
                  <w:t>Workiva</w:t>
                </w:r>
                <w:proofErr w:type="spellEnd"/>
                <w:r>
                  <w:rPr>
                    <w:rStyle w:val="PlaceholderText"/>
                    <w:sz w:val="20"/>
                    <w:szCs w:val="18"/>
                  </w:rPr>
                  <w:t xml:space="preserve"> Inc.</w:t>
                </w:r>
              </w:p>
            </w:tc>
          </w:sdtContent>
        </w:sdt>
      </w:tr>
      <w:tr w:rsidR="00DE432B" w14:paraId="5FBDF07E" w14:textId="77777777" w:rsidTr="000B1586">
        <w:tc>
          <w:tcPr>
            <w:tcW w:w="2405" w:type="dxa"/>
            <w:vAlign w:val="center"/>
          </w:tcPr>
          <w:p w14:paraId="3E93F4FA" w14:textId="0AFB6535" w:rsidR="00DE432B" w:rsidRPr="00AF763D" w:rsidRDefault="00DE432B" w:rsidP="008A50BE">
            <w:pPr>
              <w:spacing w:after="120"/>
              <w:rPr>
                <w:color w:val="00379F"/>
                <w:sz w:val="20"/>
                <w:szCs w:val="18"/>
              </w:rPr>
            </w:pPr>
            <w:r w:rsidRPr="00AF763D">
              <w:rPr>
                <w:color w:val="00379F"/>
                <w:sz w:val="20"/>
                <w:szCs w:val="18"/>
              </w:rPr>
              <w:t>Are you representing an association?</w:t>
            </w:r>
          </w:p>
        </w:tc>
        <w:sdt>
          <w:sdtPr>
            <w:rPr>
              <w:sz w:val="20"/>
              <w:szCs w:val="18"/>
            </w:rPr>
            <w:id w:val="1877743658"/>
            <w14:checkbox>
              <w14:checked w14:val="0"/>
              <w14:checkedState w14:val="2612" w14:font="MS Gothic"/>
              <w14:uncheckedState w14:val="2610" w14:font="MS Gothic"/>
            </w14:checkbox>
          </w:sdtPr>
          <w:sdtEndPr/>
          <w:sdtContent>
            <w:tc>
              <w:tcPr>
                <w:tcW w:w="6997" w:type="dxa"/>
                <w:gridSpan w:val="4"/>
                <w:vAlign w:val="center"/>
              </w:tcPr>
              <w:p w14:paraId="4D2A02E5" w14:textId="69666191" w:rsidR="00DE432B" w:rsidRDefault="00DE432B" w:rsidP="008A50BE">
                <w:pPr>
                  <w:spacing w:after="120"/>
                  <w:rPr>
                    <w:sz w:val="20"/>
                    <w:szCs w:val="18"/>
                  </w:rPr>
                </w:pPr>
                <w:r>
                  <w:rPr>
                    <w:rFonts w:ascii="MS Gothic" w:eastAsia="MS Gothic" w:hAnsi="MS Gothic" w:hint="eastAsia"/>
                    <w:sz w:val="20"/>
                    <w:szCs w:val="18"/>
                  </w:rPr>
                  <w:t>☐</w:t>
                </w:r>
              </w:p>
            </w:tc>
          </w:sdtContent>
        </w:sdt>
      </w:tr>
      <w:tr w:rsidR="00DE432B" w14:paraId="6E41A3F8" w14:textId="77777777" w:rsidTr="000B1586">
        <w:tc>
          <w:tcPr>
            <w:tcW w:w="2405" w:type="dxa"/>
            <w:vAlign w:val="center"/>
          </w:tcPr>
          <w:p w14:paraId="3FE4EFF9" w14:textId="7C42E561" w:rsidR="00DE432B" w:rsidRPr="00AF763D" w:rsidRDefault="00DE432B" w:rsidP="008A50BE">
            <w:pPr>
              <w:spacing w:after="120"/>
              <w:rPr>
                <w:color w:val="00379F"/>
                <w:sz w:val="20"/>
                <w:szCs w:val="18"/>
              </w:rPr>
            </w:pPr>
            <w:r w:rsidRPr="00AF763D">
              <w:rPr>
                <w:color w:val="00379F"/>
                <w:sz w:val="20"/>
                <w:szCs w:val="18"/>
              </w:rPr>
              <w:t>Country/Region</w:t>
            </w:r>
          </w:p>
        </w:tc>
        <w:sdt>
          <w:sdtPr>
            <w:rPr>
              <w:sz w:val="20"/>
              <w:szCs w:val="18"/>
            </w:rPr>
            <w:alias w:val="Country"/>
            <w:tag w:val="Country"/>
            <w:id w:val="-36662976"/>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6997" w:type="dxa"/>
                <w:gridSpan w:val="4"/>
                <w:vAlign w:val="center"/>
              </w:tcPr>
              <w:p w14:paraId="4CD6FA00" w14:textId="23473B57" w:rsidR="00DE432B" w:rsidRDefault="009F1E3A" w:rsidP="008A50BE">
                <w:pPr>
                  <w:spacing w:after="120"/>
                  <w:rPr>
                    <w:sz w:val="20"/>
                    <w:szCs w:val="18"/>
                  </w:rPr>
                </w:pPr>
                <w:r>
                  <w:rPr>
                    <w:sz w:val="20"/>
                    <w:szCs w:val="18"/>
                  </w:rPr>
                  <w:t>International</w:t>
                </w:r>
              </w:p>
            </w:tc>
          </w:sdtContent>
        </w:sdt>
      </w:tr>
      <w:tr w:rsidR="008203B2" w14:paraId="5D1B2FA2" w14:textId="77777777" w:rsidTr="000B1586">
        <w:trPr>
          <w:trHeight w:val="348"/>
        </w:trPr>
        <w:tc>
          <w:tcPr>
            <w:tcW w:w="2405" w:type="dxa"/>
            <w:vMerge w:val="restart"/>
          </w:tcPr>
          <w:p w14:paraId="0AE3FD67" w14:textId="358A7FE0" w:rsidR="008203B2" w:rsidRDefault="008203B2" w:rsidP="008A50BE">
            <w:pPr>
              <w:spacing w:after="120"/>
              <w:rPr>
                <w:sz w:val="20"/>
                <w:szCs w:val="18"/>
              </w:rPr>
            </w:pPr>
            <w:r w:rsidRPr="00DE432B">
              <w:rPr>
                <w:color w:val="00379F"/>
                <w:sz w:val="20"/>
                <w:szCs w:val="18"/>
              </w:rPr>
              <w:t>Activity</w:t>
            </w:r>
          </w:p>
        </w:tc>
        <w:sdt>
          <w:sdtPr>
            <w:rPr>
              <w:sz w:val="20"/>
              <w:szCs w:val="18"/>
            </w:rPr>
            <w:id w:val="-1190444310"/>
            <w14:checkbox>
              <w14:checked w14:val="0"/>
              <w14:checkedState w14:val="2612" w14:font="MS Gothic"/>
              <w14:uncheckedState w14:val="2610" w14:font="MS Gothic"/>
            </w14:checkbox>
          </w:sdtPr>
          <w:sdtEndPr/>
          <w:sdtContent>
            <w:tc>
              <w:tcPr>
                <w:tcW w:w="425" w:type="dxa"/>
                <w:vMerge w:val="restart"/>
                <w:shd w:val="clear" w:color="auto" w:fill="F0F0F0" w:themeFill="background1"/>
              </w:tcPr>
              <w:p w14:paraId="677D0C31" w14:textId="1BFA6F2C" w:rsidR="008203B2" w:rsidRDefault="00F723BD" w:rsidP="008A50BE">
                <w:pPr>
                  <w:spacing w:after="120"/>
                  <w:rPr>
                    <w:sz w:val="20"/>
                    <w:szCs w:val="18"/>
                  </w:rPr>
                </w:pPr>
                <w:r>
                  <w:rPr>
                    <w:rFonts w:ascii="MS Gothic" w:eastAsia="MS Gothic" w:hAnsi="MS Gothic" w:hint="eastAsia"/>
                    <w:sz w:val="20"/>
                    <w:szCs w:val="18"/>
                  </w:rPr>
                  <w:t>☐</w:t>
                </w:r>
              </w:p>
            </w:tc>
          </w:sdtContent>
        </w:sdt>
        <w:tc>
          <w:tcPr>
            <w:tcW w:w="1864" w:type="dxa"/>
            <w:vMerge w:val="restart"/>
            <w:shd w:val="clear" w:color="auto" w:fill="F0F0F0" w:themeFill="background1"/>
          </w:tcPr>
          <w:p w14:paraId="47D4F774" w14:textId="77777777" w:rsidR="008203B2" w:rsidRPr="004A0ED5" w:rsidRDefault="008203B2" w:rsidP="008A50BE">
            <w:pPr>
              <w:spacing w:after="120"/>
              <w:rPr>
                <w:sz w:val="20"/>
                <w:szCs w:val="18"/>
              </w:rPr>
            </w:pPr>
            <w:r w:rsidRPr="004A0ED5">
              <w:rPr>
                <w:sz w:val="20"/>
                <w:szCs w:val="18"/>
              </w:rPr>
              <w:t>Information provider (issuer, undertaking or preparer) of corporate reports subject to digitalisation requirements in the EU</w:t>
            </w:r>
          </w:p>
          <w:p w14:paraId="4349A159" w14:textId="77777777" w:rsidR="008203B2" w:rsidRDefault="008203B2" w:rsidP="008A50BE">
            <w:pPr>
              <w:spacing w:after="120"/>
              <w:rPr>
                <w:sz w:val="20"/>
                <w:szCs w:val="18"/>
              </w:rPr>
            </w:pPr>
          </w:p>
        </w:tc>
        <w:sdt>
          <w:sdtPr>
            <w:rPr>
              <w:sz w:val="20"/>
              <w:szCs w:val="18"/>
            </w:rPr>
            <w:id w:val="927619499"/>
            <w14:checkbox>
              <w14:checked w14:val="0"/>
              <w14:checkedState w14:val="2612" w14:font="MS Gothic"/>
              <w14:uncheckedState w14:val="2610" w14:font="MS Gothic"/>
            </w14:checkbox>
          </w:sdtPr>
          <w:sdtEndPr/>
          <w:sdtContent>
            <w:tc>
              <w:tcPr>
                <w:tcW w:w="416" w:type="dxa"/>
                <w:shd w:val="clear" w:color="auto" w:fill="F0F0F0" w:themeFill="background1"/>
              </w:tcPr>
              <w:p w14:paraId="7D651F90" w14:textId="2BF4113D"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6ED78521" w14:textId="48B2DB8C" w:rsidR="008203B2" w:rsidRDefault="008203B2" w:rsidP="008A50BE">
            <w:pPr>
              <w:spacing w:after="120"/>
              <w:rPr>
                <w:sz w:val="20"/>
                <w:szCs w:val="18"/>
              </w:rPr>
            </w:pPr>
            <w:r w:rsidRPr="00D218C4">
              <w:rPr>
                <w:sz w:val="20"/>
                <w:szCs w:val="18"/>
              </w:rPr>
              <w:t>Public interest entity (entities governed by the law of an European Union Member State whose transferable securities are admitted to trading on a regulated market of any Member State; (ii) credit institutions; (iii) insurance undertakings, or (iv) entities designated by Member States as public-interest entities)</w:t>
            </w:r>
          </w:p>
        </w:tc>
      </w:tr>
      <w:tr w:rsidR="008203B2" w14:paraId="65FC4D00" w14:textId="77777777" w:rsidTr="000B1586">
        <w:trPr>
          <w:trHeight w:val="348"/>
        </w:trPr>
        <w:tc>
          <w:tcPr>
            <w:tcW w:w="2405" w:type="dxa"/>
            <w:vMerge/>
          </w:tcPr>
          <w:p w14:paraId="1AF19A7F" w14:textId="77777777" w:rsidR="008203B2" w:rsidRDefault="008203B2" w:rsidP="008A50BE">
            <w:pPr>
              <w:spacing w:after="120"/>
              <w:rPr>
                <w:sz w:val="20"/>
                <w:szCs w:val="18"/>
              </w:rPr>
            </w:pPr>
          </w:p>
        </w:tc>
        <w:tc>
          <w:tcPr>
            <w:tcW w:w="425" w:type="dxa"/>
            <w:vMerge/>
            <w:shd w:val="clear" w:color="auto" w:fill="F0F0F0" w:themeFill="background1"/>
          </w:tcPr>
          <w:p w14:paraId="41C0AAFE" w14:textId="77777777" w:rsidR="008203B2" w:rsidRDefault="008203B2" w:rsidP="008A50BE">
            <w:pPr>
              <w:spacing w:after="120"/>
              <w:rPr>
                <w:sz w:val="20"/>
                <w:szCs w:val="18"/>
              </w:rPr>
            </w:pPr>
          </w:p>
        </w:tc>
        <w:tc>
          <w:tcPr>
            <w:tcW w:w="1864" w:type="dxa"/>
            <w:vMerge/>
            <w:shd w:val="clear" w:color="auto" w:fill="F0F0F0" w:themeFill="background1"/>
          </w:tcPr>
          <w:p w14:paraId="176CAD3D" w14:textId="77777777" w:rsidR="008203B2" w:rsidRPr="004A0ED5" w:rsidRDefault="008203B2" w:rsidP="008A50BE">
            <w:pPr>
              <w:spacing w:after="120"/>
              <w:rPr>
                <w:sz w:val="20"/>
                <w:szCs w:val="18"/>
              </w:rPr>
            </w:pPr>
          </w:p>
        </w:tc>
        <w:sdt>
          <w:sdtPr>
            <w:rPr>
              <w:sz w:val="20"/>
              <w:szCs w:val="18"/>
            </w:rPr>
            <w:id w:val="-1281875535"/>
            <w14:checkbox>
              <w14:checked w14:val="0"/>
              <w14:checkedState w14:val="2612" w14:font="MS Gothic"/>
              <w14:uncheckedState w14:val="2610" w14:font="MS Gothic"/>
            </w14:checkbox>
          </w:sdtPr>
          <w:sdtEndPr/>
          <w:sdtContent>
            <w:tc>
              <w:tcPr>
                <w:tcW w:w="416" w:type="dxa"/>
                <w:shd w:val="clear" w:color="auto" w:fill="F0F0F0" w:themeFill="background1"/>
              </w:tcPr>
              <w:p w14:paraId="15325ED9" w14:textId="710551BE"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3F3EC444" w14:textId="31F87A90" w:rsidR="008203B2" w:rsidRDefault="008203B2" w:rsidP="008A50BE">
            <w:pPr>
              <w:spacing w:after="120"/>
              <w:rPr>
                <w:sz w:val="20"/>
                <w:szCs w:val="18"/>
              </w:rPr>
            </w:pPr>
            <w:r w:rsidRPr="00D218C4">
              <w:rPr>
                <w:sz w:val="20"/>
                <w:szCs w:val="18"/>
              </w:rPr>
              <w:t>Non-public interest entity (large non-listed EU company, including large EU company with securities only listed outside EU regulated markets)</w:t>
            </w:r>
            <w:r w:rsidRPr="00D218C4">
              <w:rPr>
                <w:sz w:val="20"/>
                <w:szCs w:val="18"/>
              </w:rPr>
              <w:tab/>
            </w:r>
          </w:p>
        </w:tc>
      </w:tr>
      <w:tr w:rsidR="008203B2" w14:paraId="686260A1" w14:textId="77777777" w:rsidTr="000B1586">
        <w:trPr>
          <w:trHeight w:val="348"/>
        </w:trPr>
        <w:tc>
          <w:tcPr>
            <w:tcW w:w="2405" w:type="dxa"/>
            <w:vMerge/>
          </w:tcPr>
          <w:p w14:paraId="1B22F336" w14:textId="77777777" w:rsidR="008203B2" w:rsidRDefault="008203B2" w:rsidP="008A50BE">
            <w:pPr>
              <w:spacing w:after="120"/>
              <w:rPr>
                <w:sz w:val="20"/>
                <w:szCs w:val="18"/>
              </w:rPr>
            </w:pPr>
          </w:p>
        </w:tc>
        <w:tc>
          <w:tcPr>
            <w:tcW w:w="425" w:type="dxa"/>
            <w:vMerge/>
            <w:shd w:val="clear" w:color="auto" w:fill="F0F0F0" w:themeFill="background1"/>
          </w:tcPr>
          <w:p w14:paraId="26D91BE9" w14:textId="77777777" w:rsidR="008203B2" w:rsidRDefault="008203B2" w:rsidP="008A50BE">
            <w:pPr>
              <w:spacing w:after="120"/>
              <w:rPr>
                <w:sz w:val="20"/>
                <w:szCs w:val="18"/>
              </w:rPr>
            </w:pPr>
          </w:p>
        </w:tc>
        <w:tc>
          <w:tcPr>
            <w:tcW w:w="1864" w:type="dxa"/>
            <w:vMerge/>
            <w:shd w:val="clear" w:color="auto" w:fill="F0F0F0" w:themeFill="background1"/>
          </w:tcPr>
          <w:p w14:paraId="72108372" w14:textId="77777777" w:rsidR="008203B2" w:rsidRPr="004A0ED5" w:rsidRDefault="008203B2" w:rsidP="008A50BE">
            <w:pPr>
              <w:spacing w:after="120"/>
              <w:rPr>
                <w:sz w:val="20"/>
                <w:szCs w:val="18"/>
              </w:rPr>
            </w:pPr>
          </w:p>
        </w:tc>
        <w:sdt>
          <w:sdtPr>
            <w:rPr>
              <w:sz w:val="20"/>
              <w:szCs w:val="18"/>
            </w:rPr>
            <w:id w:val="1188105005"/>
            <w14:checkbox>
              <w14:checked w14:val="0"/>
              <w14:checkedState w14:val="2612" w14:font="MS Gothic"/>
              <w14:uncheckedState w14:val="2610" w14:font="MS Gothic"/>
            </w14:checkbox>
          </w:sdtPr>
          <w:sdtEndPr/>
          <w:sdtContent>
            <w:tc>
              <w:tcPr>
                <w:tcW w:w="416" w:type="dxa"/>
                <w:shd w:val="clear" w:color="auto" w:fill="F0F0F0" w:themeFill="background1"/>
              </w:tcPr>
              <w:p w14:paraId="7C09E3B3" w14:textId="0D41B700"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7E8FA964" w14:textId="6D909279" w:rsidR="008203B2" w:rsidRDefault="008203B2" w:rsidP="008A50BE">
            <w:pPr>
              <w:spacing w:after="120"/>
              <w:rPr>
                <w:sz w:val="20"/>
                <w:szCs w:val="18"/>
              </w:rPr>
            </w:pPr>
            <w:r w:rsidRPr="00D218C4">
              <w:rPr>
                <w:sz w:val="20"/>
                <w:szCs w:val="18"/>
              </w:rPr>
              <w:t>Non-public interest entity (large non-EU company with securities listed in EU regulated markets)</w:t>
            </w:r>
            <w:r w:rsidRPr="00D218C4">
              <w:rPr>
                <w:sz w:val="20"/>
                <w:szCs w:val="18"/>
              </w:rPr>
              <w:tab/>
            </w:r>
          </w:p>
        </w:tc>
      </w:tr>
      <w:tr w:rsidR="008203B2" w14:paraId="3455D467" w14:textId="77777777" w:rsidTr="000B1586">
        <w:trPr>
          <w:trHeight w:val="348"/>
        </w:trPr>
        <w:tc>
          <w:tcPr>
            <w:tcW w:w="2405" w:type="dxa"/>
            <w:vMerge/>
          </w:tcPr>
          <w:p w14:paraId="2121F1B5" w14:textId="77777777" w:rsidR="008203B2" w:rsidRDefault="008203B2" w:rsidP="008A50BE">
            <w:pPr>
              <w:spacing w:after="120"/>
              <w:rPr>
                <w:sz w:val="20"/>
                <w:szCs w:val="18"/>
              </w:rPr>
            </w:pPr>
          </w:p>
        </w:tc>
        <w:tc>
          <w:tcPr>
            <w:tcW w:w="425" w:type="dxa"/>
            <w:vMerge/>
            <w:shd w:val="clear" w:color="auto" w:fill="F0F0F0" w:themeFill="background1"/>
          </w:tcPr>
          <w:p w14:paraId="2E4271D7" w14:textId="77777777" w:rsidR="008203B2" w:rsidRDefault="008203B2" w:rsidP="008A50BE">
            <w:pPr>
              <w:spacing w:after="120"/>
              <w:rPr>
                <w:sz w:val="20"/>
                <w:szCs w:val="18"/>
              </w:rPr>
            </w:pPr>
          </w:p>
        </w:tc>
        <w:tc>
          <w:tcPr>
            <w:tcW w:w="1864" w:type="dxa"/>
            <w:vMerge/>
            <w:shd w:val="clear" w:color="auto" w:fill="F0F0F0" w:themeFill="background1"/>
          </w:tcPr>
          <w:p w14:paraId="46160AB7" w14:textId="77777777" w:rsidR="008203B2" w:rsidRPr="004A0ED5" w:rsidRDefault="008203B2" w:rsidP="008A50BE">
            <w:pPr>
              <w:spacing w:after="120"/>
              <w:rPr>
                <w:sz w:val="20"/>
                <w:szCs w:val="18"/>
              </w:rPr>
            </w:pPr>
          </w:p>
        </w:tc>
        <w:sdt>
          <w:sdtPr>
            <w:rPr>
              <w:sz w:val="20"/>
              <w:szCs w:val="18"/>
            </w:rPr>
            <w:id w:val="-1367824874"/>
            <w14:checkbox>
              <w14:checked w14:val="0"/>
              <w14:checkedState w14:val="2612" w14:font="MS Gothic"/>
              <w14:uncheckedState w14:val="2610" w14:font="MS Gothic"/>
            </w14:checkbox>
          </w:sdtPr>
          <w:sdtEndPr/>
          <w:sdtContent>
            <w:tc>
              <w:tcPr>
                <w:tcW w:w="416" w:type="dxa"/>
                <w:shd w:val="clear" w:color="auto" w:fill="F0F0F0" w:themeFill="background1"/>
              </w:tcPr>
              <w:p w14:paraId="46E0E440" w14:textId="79E46E64"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56A5DE81" w14:textId="05680318" w:rsidR="008203B2" w:rsidRDefault="008203B2" w:rsidP="008A50BE">
            <w:pPr>
              <w:spacing w:after="120"/>
              <w:rPr>
                <w:sz w:val="20"/>
                <w:szCs w:val="18"/>
              </w:rPr>
            </w:pPr>
            <w:r w:rsidRPr="00D218C4">
              <w:rPr>
                <w:sz w:val="20"/>
                <w:szCs w:val="18"/>
              </w:rPr>
              <w:t>Non-public interest entity (SME listed in EU regulated markets)</w:t>
            </w:r>
            <w:r w:rsidRPr="00D218C4">
              <w:rPr>
                <w:sz w:val="20"/>
                <w:szCs w:val="18"/>
              </w:rPr>
              <w:tab/>
            </w:r>
          </w:p>
        </w:tc>
      </w:tr>
      <w:tr w:rsidR="008203B2" w14:paraId="7DC50404" w14:textId="77777777" w:rsidTr="000B1586">
        <w:trPr>
          <w:trHeight w:val="104"/>
        </w:trPr>
        <w:tc>
          <w:tcPr>
            <w:tcW w:w="2405" w:type="dxa"/>
            <w:vMerge/>
          </w:tcPr>
          <w:p w14:paraId="5BC24F94" w14:textId="77777777" w:rsidR="008203B2" w:rsidRDefault="008203B2" w:rsidP="008A50BE">
            <w:pPr>
              <w:spacing w:after="120"/>
              <w:rPr>
                <w:sz w:val="20"/>
                <w:szCs w:val="18"/>
              </w:rPr>
            </w:pPr>
          </w:p>
        </w:tc>
        <w:tc>
          <w:tcPr>
            <w:tcW w:w="425" w:type="dxa"/>
            <w:vMerge/>
            <w:shd w:val="clear" w:color="auto" w:fill="F0F0F0" w:themeFill="background1"/>
          </w:tcPr>
          <w:p w14:paraId="4873CAA4" w14:textId="77777777" w:rsidR="008203B2" w:rsidRDefault="008203B2" w:rsidP="008A50BE">
            <w:pPr>
              <w:spacing w:after="120"/>
              <w:rPr>
                <w:sz w:val="20"/>
                <w:szCs w:val="18"/>
              </w:rPr>
            </w:pPr>
          </w:p>
        </w:tc>
        <w:tc>
          <w:tcPr>
            <w:tcW w:w="1864" w:type="dxa"/>
            <w:vMerge/>
            <w:shd w:val="clear" w:color="auto" w:fill="F0F0F0" w:themeFill="background1"/>
          </w:tcPr>
          <w:p w14:paraId="1D31C24F" w14:textId="77777777" w:rsidR="008203B2" w:rsidRPr="004A0ED5" w:rsidRDefault="008203B2" w:rsidP="008A50BE">
            <w:pPr>
              <w:spacing w:after="120"/>
              <w:rPr>
                <w:sz w:val="20"/>
                <w:szCs w:val="18"/>
              </w:rPr>
            </w:pPr>
          </w:p>
        </w:tc>
        <w:sdt>
          <w:sdtPr>
            <w:rPr>
              <w:sz w:val="20"/>
              <w:szCs w:val="18"/>
            </w:rPr>
            <w:id w:val="1146166196"/>
            <w14:checkbox>
              <w14:checked w14:val="0"/>
              <w14:checkedState w14:val="2612" w14:font="MS Gothic"/>
              <w14:uncheckedState w14:val="2610" w14:font="MS Gothic"/>
            </w14:checkbox>
          </w:sdtPr>
          <w:sdtEndPr/>
          <w:sdtContent>
            <w:tc>
              <w:tcPr>
                <w:tcW w:w="416" w:type="dxa"/>
                <w:shd w:val="clear" w:color="auto" w:fill="F0F0F0" w:themeFill="background1"/>
              </w:tcPr>
              <w:p w14:paraId="026F5442" w14:textId="0298904B"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1FE35B10" w14:textId="77777777" w:rsidR="008203B2" w:rsidRDefault="008203B2" w:rsidP="008A50BE">
            <w:pPr>
              <w:spacing w:after="120"/>
              <w:rPr>
                <w:sz w:val="20"/>
                <w:szCs w:val="18"/>
              </w:rPr>
            </w:pPr>
            <w:r w:rsidRPr="00D218C4">
              <w:rPr>
                <w:sz w:val="20"/>
                <w:szCs w:val="18"/>
              </w:rPr>
              <w:t>Other (</w:t>
            </w:r>
            <w:r w:rsidR="00A10F6D">
              <w:rPr>
                <w:sz w:val="20"/>
                <w:szCs w:val="18"/>
              </w:rPr>
              <w:t xml:space="preserve">provide comment): </w:t>
            </w:r>
          </w:p>
          <w:sdt>
            <w:sdtPr>
              <w:rPr>
                <w:rStyle w:val="PlaceholderText"/>
                <w:sz w:val="20"/>
                <w:szCs w:val="18"/>
              </w:rPr>
              <w:id w:val="733121204"/>
              <w:showingPlcHdr/>
              <w:text/>
            </w:sdtPr>
            <w:sdtEndPr>
              <w:rPr>
                <w:rStyle w:val="PlaceholderText"/>
              </w:rPr>
            </w:sdtEndPr>
            <w:sdtContent>
              <w:p w14:paraId="18F8042D" w14:textId="438BFE55" w:rsidR="00A10F6D" w:rsidRDefault="008A50BE" w:rsidP="008A50BE">
                <w:pPr>
                  <w:spacing w:after="120"/>
                  <w:rPr>
                    <w:sz w:val="20"/>
                    <w:szCs w:val="18"/>
                  </w:rPr>
                </w:pPr>
                <w:r w:rsidRPr="00AF763D">
                  <w:rPr>
                    <w:rStyle w:val="PlaceholderText"/>
                    <w:sz w:val="20"/>
                    <w:szCs w:val="18"/>
                  </w:rPr>
                  <w:t>Click here to enter text.</w:t>
                </w:r>
              </w:p>
            </w:sdtContent>
          </w:sdt>
        </w:tc>
      </w:tr>
      <w:tr w:rsidR="008203B2" w14:paraId="54DB9169" w14:textId="77777777" w:rsidTr="000B1586">
        <w:trPr>
          <w:trHeight w:val="212"/>
        </w:trPr>
        <w:tc>
          <w:tcPr>
            <w:tcW w:w="2405" w:type="dxa"/>
            <w:vMerge/>
          </w:tcPr>
          <w:p w14:paraId="76FF4260" w14:textId="77777777" w:rsidR="008203B2" w:rsidRDefault="008203B2" w:rsidP="008A50BE">
            <w:pPr>
              <w:spacing w:after="120"/>
              <w:rPr>
                <w:sz w:val="20"/>
                <w:szCs w:val="18"/>
              </w:rPr>
            </w:pPr>
          </w:p>
        </w:tc>
        <w:sdt>
          <w:sdtPr>
            <w:rPr>
              <w:sz w:val="20"/>
              <w:szCs w:val="18"/>
            </w:rPr>
            <w:id w:val="1353834489"/>
            <w14:checkbox>
              <w14:checked w14:val="0"/>
              <w14:checkedState w14:val="2612" w14:font="MS Gothic"/>
              <w14:uncheckedState w14:val="2610" w14:font="MS Gothic"/>
            </w14:checkbox>
          </w:sdtPr>
          <w:sdtEndPr/>
          <w:sdtContent>
            <w:tc>
              <w:tcPr>
                <w:tcW w:w="425" w:type="dxa"/>
                <w:vMerge w:val="restart"/>
              </w:tcPr>
              <w:p w14:paraId="39A245A0" w14:textId="66651B74" w:rsidR="008203B2" w:rsidRDefault="00A10F6D" w:rsidP="008A50BE">
                <w:pPr>
                  <w:spacing w:after="120"/>
                  <w:rPr>
                    <w:sz w:val="20"/>
                    <w:szCs w:val="18"/>
                  </w:rPr>
                </w:pPr>
                <w:r>
                  <w:rPr>
                    <w:rFonts w:ascii="MS Gothic" w:eastAsia="MS Gothic" w:hAnsi="MS Gothic" w:hint="eastAsia"/>
                    <w:sz w:val="20"/>
                    <w:szCs w:val="18"/>
                  </w:rPr>
                  <w:t>☐</w:t>
                </w:r>
              </w:p>
            </w:tc>
          </w:sdtContent>
        </w:sdt>
        <w:tc>
          <w:tcPr>
            <w:tcW w:w="1864" w:type="dxa"/>
            <w:vMerge w:val="restart"/>
          </w:tcPr>
          <w:p w14:paraId="2155E292" w14:textId="5025FEB2" w:rsidR="008203B2" w:rsidRDefault="008203B2" w:rsidP="008A50BE">
            <w:pPr>
              <w:spacing w:after="120"/>
              <w:rPr>
                <w:sz w:val="20"/>
                <w:szCs w:val="18"/>
              </w:rPr>
            </w:pPr>
            <w:r w:rsidRPr="004A0ED5">
              <w:rPr>
                <w:sz w:val="20"/>
                <w:szCs w:val="18"/>
              </w:rPr>
              <w:t>User of digitalised corporate reporting from EU companies</w:t>
            </w:r>
          </w:p>
        </w:tc>
        <w:sdt>
          <w:sdtPr>
            <w:rPr>
              <w:sz w:val="20"/>
              <w:szCs w:val="18"/>
            </w:rPr>
            <w:id w:val="-1645339131"/>
            <w14:checkbox>
              <w14:checked w14:val="0"/>
              <w14:checkedState w14:val="2612" w14:font="MS Gothic"/>
              <w14:uncheckedState w14:val="2610" w14:font="MS Gothic"/>
            </w14:checkbox>
          </w:sdtPr>
          <w:sdtEndPr/>
          <w:sdtContent>
            <w:tc>
              <w:tcPr>
                <w:tcW w:w="416" w:type="dxa"/>
              </w:tcPr>
              <w:p w14:paraId="29459430" w14:textId="796866FA"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tcPr>
          <w:p w14:paraId="79C6A602" w14:textId="4C9AC0A6" w:rsidR="008203B2" w:rsidRDefault="0092723C" w:rsidP="0092723C">
            <w:pPr>
              <w:spacing w:after="120"/>
              <w:rPr>
                <w:sz w:val="20"/>
                <w:szCs w:val="18"/>
              </w:rPr>
            </w:pPr>
            <w:r w:rsidRPr="0092723C">
              <w:rPr>
                <w:sz w:val="20"/>
                <w:szCs w:val="18"/>
              </w:rPr>
              <w:t>Investor</w:t>
            </w:r>
          </w:p>
        </w:tc>
      </w:tr>
      <w:tr w:rsidR="00A10F6D" w14:paraId="57B4FA6D" w14:textId="77777777" w:rsidTr="000B1586">
        <w:trPr>
          <w:trHeight w:val="208"/>
        </w:trPr>
        <w:tc>
          <w:tcPr>
            <w:tcW w:w="2405" w:type="dxa"/>
            <w:vMerge/>
          </w:tcPr>
          <w:p w14:paraId="4DE79FA5" w14:textId="77777777" w:rsidR="00A10F6D" w:rsidRDefault="00A10F6D" w:rsidP="008A50BE">
            <w:pPr>
              <w:spacing w:after="120"/>
              <w:rPr>
                <w:sz w:val="20"/>
                <w:szCs w:val="18"/>
              </w:rPr>
            </w:pPr>
          </w:p>
        </w:tc>
        <w:tc>
          <w:tcPr>
            <w:tcW w:w="425" w:type="dxa"/>
            <w:vMerge/>
          </w:tcPr>
          <w:p w14:paraId="49E449D1" w14:textId="77777777" w:rsidR="00A10F6D" w:rsidRDefault="00A10F6D" w:rsidP="008A50BE">
            <w:pPr>
              <w:spacing w:after="120"/>
              <w:rPr>
                <w:sz w:val="20"/>
                <w:szCs w:val="18"/>
              </w:rPr>
            </w:pPr>
          </w:p>
        </w:tc>
        <w:tc>
          <w:tcPr>
            <w:tcW w:w="1864" w:type="dxa"/>
            <w:vMerge/>
          </w:tcPr>
          <w:p w14:paraId="55F0BEB3" w14:textId="77777777" w:rsidR="00A10F6D" w:rsidRPr="004A0ED5" w:rsidRDefault="00A10F6D" w:rsidP="008A50BE">
            <w:pPr>
              <w:spacing w:after="120"/>
              <w:rPr>
                <w:sz w:val="20"/>
                <w:szCs w:val="18"/>
              </w:rPr>
            </w:pPr>
          </w:p>
        </w:tc>
        <w:sdt>
          <w:sdtPr>
            <w:rPr>
              <w:sz w:val="20"/>
              <w:szCs w:val="18"/>
            </w:rPr>
            <w:id w:val="-454791533"/>
            <w14:checkbox>
              <w14:checked w14:val="0"/>
              <w14:checkedState w14:val="2612" w14:font="MS Gothic"/>
              <w14:uncheckedState w14:val="2610" w14:font="MS Gothic"/>
            </w14:checkbox>
          </w:sdtPr>
          <w:sdtEndPr/>
          <w:sdtContent>
            <w:tc>
              <w:tcPr>
                <w:tcW w:w="416" w:type="dxa"/>
              </w:tcPr>
              <w:p w14:paraId="7A69DF71" w14:textId="7EDCC22A" w:rsidR="00A10F6D" w:rsidRDefault="00A10F6D" w:rsidP="008A50BE">
                <w:pPr>
                  <w:spacing w:after="120"/>
                  <w:rPr>
                    <w:sz w:val="20"/>
                    <w:szCs w:val="18"/>
                  </w:rPr>
                </w:pPr>
                <w:r w:rsidRPr="000D6F8F">
                  <w:rPr>
                    <w:rFonts w:ascii="MS Gothic" w:eastAsia="MS Gothic" w:hAnsi="MS Gothic" w:hint="eastAsia"/>
                    <w:sz w:val="20"/>
                    <w:szCs w:val="18"/>
                  </w:rPr>
                  <w:t>☐</w:t>
                </w:r>
              </w:p>
            </w:tc>
          </w:sdtContent>
        </w:sdt>
        <w:tc>
          <w:tcPr>
            <w:tcW w:w="4292" w:type="dxa"/>
          </w:tcPr>
          <w:p w14:paraId="0FD0C8D3" w14:textId="4BCF9100" w:rsidR="00A10F6D" w:rsidRDefault="0092723C" w:rsidP="008A50BE">
            <w:pPr>
              <w:spacing w:after="120"/>
              <w:rPr>
                <w:sz w:val="20"/>
                <w:szCs w:val="18"/>
              </w:rPr>
            </w:pPr>
            <w:r>
              <w:rPr>
                <w:sz w:val="20"/>
                <w:szCs w:val="18"/>
              </w:rPr>
              <w:t>Data analyst</w:t>
            </w:r>
          </w:p>
        </w:tc>
      </w:tr>
      <w:tr w:rsidR="00A10F6D" w14:paraId="7C9ECD2E" w14:textId="77777777" w:rsidTr="000B1586">
        <w:trPr>
          <w:trHeight w:val="208"/>
        </w:trPr>
        <w:tc>
          <w:tcPr>
            <w:tcW w:w="2405" w:type="dxa"/>
            <w:vMerge/>
          </w:tcPr>
          <w:p w14:paraId="54F81524" w14:textId="77777777" w:rsidR="00A10F6D" w:rsidRDefault="00A10F6D" w:rsidP="008A50BE">
            <w:pPr>
              <w:spacing w:after="120"/>
              <w:rPr>
                <w:sz w:val="20"/>
                <w:szCs w:val="18"/>
              </w:rPr>
            </w:pPr>
          </w:p>
        </w:tc>
        <w:tc>
          <w:tcPr>
            <w:tcW w:w="425" w:type="dxa"/>
            <w:vMerge/>
          </w:tcPr>
          <w:p w14:paraId="4C4FF559" w14:textId="77777777" w:rsidR="00A10F6D" w:rsidRDefault="00A10F6D" w:rsidP="008A50BE">
            <w:pPr>
              <w:spacing w:after="120"/>
              <w:rPr>
                <w:sz w:val="20"/>
                <w:szCs w:val="18"/>
              </w:rPr>
            </w:pPr>
          </w:p>
        </w:tc>
        <w:tc>
          <w:tcPr>
            <w:tcW w:w="1864" w:type="dxa"/>
            <w:vMerge/>
          </w:tcPr>
          <w:p w14:paraId="3284270F" w14:textId="77777777" w:rsidR="00A10F6D" w:rsidRPr="004A0ED5" w:rsidRDefault="00A10F6D" w:rsidP="008A50BE">
            <w:pPr>
              <w:spacing w:after="120"/>
              <w:rPr>
                <w:sz w:val="20"/>
                <w:szCs w:val="18"/>
              </w:rPr>
            </w:pPr>
          </w:p>
        </w:tc>
        <w:sdt>
          <w:sdtPr>
            <w:rPr>
              <w:sz w:val="20"/>
              <w:szCs w:val="18"/>
            </w:rPr>
            <w:id w:val="-333299708"/>
            <w14:checkbox>
              <w14:checked w14:val="0"/>
              <w14:checkedState w14:val="2612" w14:font="MS Gothic"/>
              <w14:uncheckedState w14:val="2610" w14:font="MS Gothic"/>
            </w14:checkbox>
          </w:sdtPr>
          <w:sdtEndPr/>
          <w:sdtContent>
            <w:tc>
              <w:tcPr>
                <w:tcW w:w="416" w:type="dxa"/>
              </w:tcPr>
              <w:p w14:paraId="4DEA2738" w14:textId="18DA2BCE" w:rsidR="00A10F6D" w:rsidRDefault="00A10F6D" w:rsidP="008A50BE">
                <w:pPr>
                  <w:spacing w:after="120"/>
                  <w:rPr>
                    <w:sz w:val="20"/>
                    <w:szCs w:val="18"/>
                  </w:rPr>
                </w:pPr>
                <w:r w:rsidRPr="000D6F8F">
                  <w:rPr>
                    <w:rFonts w:ascii="MS Gothic" w:eastAsia="MS Gothic" w:hAnsi="MS Gothic" w:hint="eastAsia"/>
                    <w:sz w:val="20"/>
                    <w:szCs w:val="18"/>
                  </w:rPr>
                  <w:t>☐</w:t>
                </w:r>
              </w:p>
            </w:tc>
          </w:sdtContent>
        </w:sdt>
        <w:tc>
          <w:tcPr>
            <w:tcW w:w="4292" w:type="dxa"/>
          </w:tcPr>
          <w:p w14:paraId="12DB281E" w14:textId="5A6CE51A" w:rsidR="00A10F6D" w:rsidRDefault="0092723C" w:rsidP="008A50BE">
            <w:pPr>
              <w:spacing w:after="120"/>
              <w:rPr>
                <w:sz w:val="20"/>
                <w:szCs w:val="18"/>
              </w:rPr>
            </w:pPr>
            <w:r>
              <w:rPr>
                <w:sz w:val="20"/>
                <w:szCs w:val="18"/>
              </w:rPr>
              <w:t>Data aggregator</w:t>
            </w:r>
          </w:p>
        </w:tc>
      </w:tr>
      <w:tr w:rsidR="00A10F6D" w14:paraId="4843537D" w14:textId="77777777" w:rsidTr="000B1586">
        <w:trPr>
          <w:trHeight w:val="208"/>
        </w:trPr>
        <w:tc>
          <w:tcPr>
            <w:tcW w:w="2405" w:type="dxa"/>
            <w:vMerge/>
          </w:tcPr>
          <w:p w14:paraId="73324615" w14:textId="77777777" w:rsidR="00A10F6D" w:rsidRDefault="00A10F6D" w:rsidP="008A50BE">
            <w:pPr>
              <w:spacing w:after="120"/>
              <w:rPr>
                <w:sz w:val="20"/>
                <w:szCs w:val="18"/>
              </w:rPr>
            </w:pPr>
          </w:p>
        </w:tc>
        <w:tc>
          <w:tcPr>
            <w:tcW w:w="425" w:type="dxa"/>
            <w:vMerge/>
          </w:tcPr>
          <w:p w14:paraId="6AB794E1" w14:textId="77777777" w:rsidR="00A10F6D" w:rsidRDefault="00A10F6D" w:rsidP="008A50BE">
            <w:pPr>
              <w:spacing w:after="120"/>
              <w:rPr>
                <w:sz w:val="20"/>
                <w:szCs w:val="18"/>
              </w:rPr>
            </w:pPr>
          </w:p>
        </w:tc>
        <w:tc>
          <w:tcPr>
            <w:tcW w:w="1864" w:type="dxa"/>
            <w:vMerge/>
          </w:tcPr>
          <w:p w14:paraId="1FD76251" w14:textId="77777777" w:rsidR="00A10F6D" w:rsidRPr="004A0ED5" w:rsidRDefault="00A10F6D" w:rsidP="008A50BE">
            <w:pPr>
              <w:spacing w:after="120"/>
              <w:rPr>
                <w:sz w:val="20"/>
                <w:szCs w:val="18"/>
              </w:rPr>
            </w:pPr>
          </w:p>
        </w:tc>
        <w:sdt>
          <w:sdtPr>
            <w:rPr>
              <w:sz w:val="20"/>
              <w:szCs w:val="18"/>
            </w:rPr>
            <w:id w:val="161364754"/>
            <w14:checkbox>
              <w14:checked w14:val="0"/>
              <w14:checkedState w14:val="2612" w14:font="MS Gothic"/>
              <w14:uncheckedState w14:val="2610" w14:font="MS Gothic"/>
            </w14:checkbox>
          </w:sdtPr>
          <w:sdtEndPr/>
          <w:sdtContent>
            <w:tc>
              <w:tcPr>
                <w:tcW w:w="416" w:type="dxa"/>
              </w:tcPr>
              <w:p w14:paraId="230F53D2" w14:textId="3B163C36" w:rsidR="00A10F6D" w:rsidRDefault="00A10F6D" w:rsidP="008A50BE">
                <w:pPr>
                  <w:spacing w:after="120"/>
                  <w:rPr>
                    <w:sz w:val="20"/>
                    <w:szCs w:val="18"/>
                  </w:rPr>
                </w:pPr>
                <w:r w:rsidRPr="000D6F8F">
                  <w:rPr>
                    <w:rFonts w:ascii="MS Gothic" w:eastAsia="MS Gothic" w:hAnsi="MS Gothic" w:hint="eastAsia"/>
                    <w:sz w:val="20"/>
                    <w:szCs w:val="18"/>
                  </w:rPr>
                  <w:t>☐</w:t>
                </w:r>
              </w:p>
            </w:tc>
          </w:sdtContent>
        </w:sdt>
        <w:tc>
          <w:tcPr>
            <w:tcW w:w="4292" w:type="dxa"/>
          </w:tcPr>
          <w:p w14:paraId="24E38A74" w14:textId="489B6960" w:rsidR="00A10F6D" w:rsidRDefault="0092723C" w:rsidP="008A50BE">
            <w:pPr>
              <w:spacing w:after="120"/>
              <w:rPr>
                <w:sz w:val="20"/>
                <w:szCs w:val="18"/>
              </w:rPr>
            </w:pPr>
            <w:r>
              <w:rPr>
                <w:sz w:val="20"/>
                <w:szCs w:val="18"/>
              </w:rPr>
              <w:t>Asset manager</w:t>
            </w:r>
          </w:p>
        </w:tc>
      </w:tr>
      <w:tr w:rsidR="00A10F6D" w14:paraId="406BB379" w14:textId="77777777" w:rsidTr="000B1586">
        <w:trPr>
          <w:trHeight w:val="208"/>
        </w:trPr>
        <w:tc>
          <w:tcPr>
            <w:tcW w:w="2405" w:type="dxa"/>
            <w:vMerge/>
          </w:tcPr>
          <w:p w14:paraId="59E6C9F6" w14:textId="77777777" w:rsidR="00A10F6D" w:rsidRDefault="00A10F6D" w:rsidP="008A50BE">
            <w:pPr>
              <w:spacing w:after="120"/>
              <w:rPr>
                <w:sz w:val="20"/>
                <w:szCs w:val="18"/>
              </w:rPr>
            </w:pPr>
          </w:p>
        </w:tc>
        <w:tc>
          <w:tcPr>
            <w:tcW w:w="425" w:type="dxa"/>
            <w:vMerge/>
          </w:tcPr>
          <w:p w14:paraId="05DEBD42" w14:textId="77777777" w:rsidR="00A10F6D" w:rsidRDefault="00A10F6D" w:rsidP="008A50BE">
            <w:pPr>
              <w:spacing w:after="120"/>
              <w:rPr>
                <w:sz w:val="20"/>
                <w:szCs w:val="18"/>
              </w:rPr>
            </w:pPr>
          </w:p>
        </w:tc>
        <w:tc>
          <w:tcPr>
            <w:tcW w:w="1864" w:type="dxa"/>
            <w:vMerge/>
          </w:tcPr>
          <w:p w14:paraId="4D0F4D1D" w14:textId="77777777" w:rsidR="00A10F6D" w:rsidRPr="004A0ED5" w:rsidRDefault="00A10F6D" w:rsidP="008A50BE">
            <w:pPr>
              <w:spacing w:after="120"/>
              <w:rPr>
                <w:sz w:val="20"/>
                <w:szCs w:val="18"/>
              </w:rPr>
            </w:pPr>
          </w:p>
        </w:tc>
        <w:sdt>
          <w:sdtPr>
            <w:rPr>
              <w:sz w:val="20"/>
              <w:szCs w:val="18"/>
            </w:rPr>
            <w:id w:val="-1105184511"/>
            <w14:checkbox>
              <w14:checked w14:val="0"/>
              <w14:checkedState w14:val="2612" w14:font="MS Gothic"/>
              <w14:uncheckedState w14:val="2610" w14:font="MS Gothic"/>
            </w14:checkbox>
          </w:sdtPr>
          <w:sdtEndPr/>
          <w:sdtContent>
            <w:tc>
              <w:tcPr>
                <w:tcW w:w="416" w:type="dxa"/>
              </w:tcPr>
              <w:p w14:paraId="070DFE9B" w14:textId="19458742" w:rsidR="00A10F6D" w:rsidRDefault="00A10F6D" w:rsidP="008A50BE">
                <w:pPr>
                  <w:spacing w:after="120"/>
                  <w:rPr>
                    <w:sz w:val="20"/>
                    <w:szCs w:val="18"/>
                  </w:rPr>
                </w:pPr>
                <w:r w:rsidRPr="000D6F8F">
                  <w:rPr>
                    <w:rFonts w:ascii="MS Gothic" w:eastAsia="MS Gothic" w:hAnsi="MS Gothic" w:hint="eastAsia"/>
                    <w:sz w:val="20"/>
                    <w:szCs w:val="18"/>
                  </w:rPr>
                  <w:t>☐</w:t>
                </w:r>
              </w:p>
            </w:tc>
          </w:sdtContent>
        </w:sdt>
        <w:tc>
          <w:tcPr>
            <w:tcW w:w="4292" w:type="dxa"/>
          </w:tcPr>
          <w:p w14:paraId="6444E676" w14:textId="77777777" w:rsidR="0092723C" w:rsidRDefault="0092723C" w:rsidP="0092723C">
            <w:pPr>
              <w:spacing w:after="120"/>
              <w:rPr>
                <w:sz w:val="20"/>
                <w:szCs w:val="18"/>
              </w:rPr>
            </w:pPr>
            <w:r w:rsidRPr="00D218C4">
              <w:rPr>
                <w:sz w:val="20"/>
                <w:szCs w:val="18"/>
              </w:rPr>
              <w:t>Other (</w:t>
            </w:r>
            <w:r>
              <w:rPr>
                <w:sz w:val="20"/>
                <w:szCs w:val="18"/>
              </w:rPr>
              <w:t xml:space="preserve">provide comment): </w:t>
            </w:r>
          </w:p>
          <w:sdt>
            <w:sdtPr>
              <w:rPr>
                <w:rStyle w:val="PlaceholderText"/>
                <w:sz w:val="20"/>
                <w:szCs w:val="18"/>
              </w:rPr>
              <w:id w:val="321700705"/>
              <w:showingPlcHdr/>
              <w:text/>
            </w:sdtPr>
            <w:sdtEndPr>
              <w:rPr>
                <w:rStyle w:val="PlaceholderText"/>
              </w:rPr>
            </w:sdtEndPr>
            <w:sdtContent>
              <w:p w14:paraId="5F0E3DF4" w14:textId="424A26F7" w:rsidR="00A10F6D" w:rsidRDefault="0092723C" w:rsidP="0092723C">
                <w:pPr>
                  <w:spacing w:after="120"/>
                  <w:rPr>
                    <w:sz w:val="20"/>
                    <w:szCs w:val="18"/>
                  </w:rPr>
                </w:pPr>
                <w:r w:rsidRPr="00AF763D">
                  <w:rPr>
                    <w:rStyle w:val="PlaceholderText"/>
                    <w:sz w:val="20"/>
                    <w:szCs w:val="18"/>
                  </w:rPr>
                  <w:t>Click here to enter text.</w:t>
                </w:r>
              </w:p>
            </w:sdtContent>
          </w:sdt>
        </w:tc>
      </w:tr>
      <w:tr w:rsidR="00A10F6D" w14:paraId="6CFC8BB1" w14:textId="77777777" w:rsidTr="000B1586">
        <w:tc>
          <w:tcPr>
            <w:tcW w:w="2405" w:type="dxa"/>
            <w:vMerge/>
          </w:tcPr>
          <w:p w14:paraId="06665E90" w14:textId="77777777" w:rsidR="00A10F6D" w:rsidRDefault="00A10F6D" w:rsidP="008A50BE">
            <w:pPr>
              <w:spacing w:after="120"/>
              <w:rPr>
                <w:sz w:val="20"/>
                <w:szCs w:val="18"/>
              </w:rPr>
            </w:pPr>
          </w:p>
        </w:tc>
        <w:sdt>
          <w:sdtPr>
            <w:rPr>
              <w:sz w:val="20"/>
              <w:szCs w:val="18"/>
            </w:rPr>
            <w:id w:val="1782300712"/>
            <w14:checkbox>
              <w14:checked w14:val="1"/>
              <w14:checkedState w14:val="2612" w14:font="MS Gothic"/>
              <w14:uncheckedState w14:val="2610" w14:font="MS Gothic"/>
            </w14:checkbox>
          </w:sdtPr>
          <w:sdtEndPr/>
          <w:sdtContent>
            <w:tc>
              <w:tcPr>
                <w:tcW w:w="425" w:type="dxa"/>
                <w:shd w:val="clear" w:color="auto" w:fill="F0F0F0" w:themeFill="background1"/>
              </w:tcPr>
              <w:p w14:paraId="20465FA1" w14:textId="693E87CD" w:rsidR="00A10F6D" w:rsidRDefault="009F1E3A" w:rsidP="008A50BE">
                <w:pPr>
                  <w:spacing w:after="120"/>
                  <w:rPr>
                    <w:sz w:val="20"/>
                    <w:szCs w:val="18"/>
                  </w:rPr>
                </w:pPr>
                <w:r>
                  <w:rPr>
                    <w:rFonts w:ascii="MS Gothic" w:eastAsia="MS Gothic" w:hAnsi="MS Gothic" w:hint="eastAsia"/>
                    <w:sz w:val="20"/>
                    <w:szCs w:val="18"/>
                  </w:rPr>
                  <w:t>☒</w:t>
                </w:r>
              </w:p>
            </w:tc>
          </w:sdtContent>
        </w:sdt>
        <w:tc>
          <w:tcPr>
            <w:tcW w:w="6572" w:type="dxa"/>
            <w:gridSpan w:val="3"/>
            <w:shd w:val="clear" w:color="auto" w:fill="F0F0F0" w:themeFill="background1"/>
          </w:tcPr>
          <w:p w14:paraId="798135DE" w14:textId="19254AA9" w:rsidR="00A10F6D" w:rsidRDefault="00A10F6D" w:rsidP="008A50BE">
            <w:pPr>
              <w:spacing w:after="120"/>
              <w:rPr>
                <w:sz w:val="20"/>
                <w:szCs w:val="18"/>
              </w:rPr>
            </w:pPr>
            <w:r w:rsidRPr="004A0ED5">
              <w:rPr>
                <w:sz w:val="20"/>
                <w:szCs w:val="18"/>
              </w:rPr>
              <w:t>Software provider</w:t>
            </w:r>
          </w:p>
        </w:tc>
      </w:tr>
      <w:tr w:rsidR="00A10F6D" w14:paraId="3137215A" w14:textId="77777777" w:rsidTr="000B1586">
        <w:tc>
          <w:tcPr>
            <w:tcW w:w="2405" w:type="dxa"/>
            <w:vMerge/>
          </w:tcPr>
          <w:p w14:paraId="2F8803DB" w14:textId="77777777" w:rsidR="00A10F6D" w:rsidRDefault="00A10F6D" w:rsidP="008A50BE">
            <w:pPr>
              <w:spacing w:after="120"/>
              <w:rPr>
                <w:sz w:val="20"/>
                <w:szCs w:val="18"/>
              </w:rPr>
            </w:pPr>
          </w:p>
        </w:tc>
        <w:sdt>
          <w:sdtPr>
            <w:rPr>
              <w:sz w:val="20"/>
              <w:szCs w:val="18"/>
            </w:rPr>
            <w:id w:val="965391444"/>
            <w14:checkbox>
              <w14:checked w14:val="0"/>
              <w14:checkedState w14:val="2612" w14:font="MS Gothic"/>
              <w14:uncheckedState w14:val="2610" w14:font="MS Gothic"/>
            </w14:checkbox>
          </w:sdtPr>
          <w:sdtEndPr/>
          <w:sdtContent>
            <w:tc>
              <w:tcPr>
                <w:tcW w:w="425" w:type="dxa"/>
              </w:tcPr>
              <w:p w14:paraId="1008BA75" w14:textId="2DF40329" w:rsidR="00A10F6D" w:rsidRDefault="00A10F6D" w:rsidP="008A50BE">
                <w:pPr>
                  <w:spacing w:after="120"/>
                  <w:rPr>
                    <w:sz w:val="20"/>
                    <w:szCs w:val="18"/>
                  </w:rPr>
                </w:pPr>
                <w:r>
                  <w:rPr>
                    <w:rFonts w:ascii="MS Gothic" w:eastAsia="MS Gothic" w:hAnsi="MS Gothic" w:hint="eastAsia"/>
                    <w:sz w:val="20"/>
                    <w:szCs w:val="18"/>
                  </w:rPr>
                  <w:t>☐</w:t>
                </w:r>
              </w:p>
            </w:tc>
          </w:sdtContent>
        </w:sdt>
        <w:tc>
          <w:tcPr>
            <w:tcW w:w="6572" w:type="dxa"/>
            <w:gridSpan w:val="3"/>
          </w:tcPr>
          <w:p w14:paraId="0ED8E0DC" w14:textId="683D0E4A" w:rsidR="00A10F6D" w:rsidRDefault="00A10F6D" w:rsidP="008A50BE">
            <w:pPr>
              <w:spacing w:after="120"/>
              <w:rPr>
                <w:sz w:val="20"/>
                <w:szCs w:val="18"/>
              </w:rPr>
            </w:pPr>
            <w:r w:rsidRPr="004A0ED5">
              <w:rPr>
                <w:sz w:val="20"/>
                <w:szCs w:val="18"/>
              </w:rPr>
              <w:t>Auditor of corporate reporting subject to digitalisation requirements in the EU</w:t>
            </w:r>
          </w:p>
        </w:tc>
      </w:tr>
      <w:tr w:rsidR="00A10F6D" w14:paraId="51E9813E" w14:textId="77777777" w:rsidTr="000B1586">
        <w:tc>
          <w:tcPr>
            <w:tcW w:w="2405" w:type="dxa"/>
            <w:vMerge/>
          </w:tcPr>
          <w:p w14:paraId="2B0753D6" w14:textId="77777777" w:rsidR="00A10F6D" w:rsidRDefault="00A10F6D" w:rsidP="008A50BE">
            <w:pPr>
              <w:spacing w:after="120"/>
              <w:rPr>
                <w:sz w:val="20"/>
                <w:szCs w:val="18"/>
              </w:rPr>
            </w:pPr>
          </w:p>
        </w:tc>
        <w:sdt>
          <w:sdtPr>
            <w:rPr>
              <w:sz w:val="20"/>
              <w:szCs w:val="18"/>
            </w:rPr>
            <w:id w:val="-496970322"/>
            <w14:checkbox>
              <w14:checked w14:val="0"/>
              <w14:checkedState w14:val="2612" w14:font="MS Gothic"/>
              <w14:uncheckedState w14:val="2610" w14:font="MS Gothic"/>
            </w14:checkbox>
          </w:sdtPr>
          <w:sdtEndPr/>
          <w:sdtContent>
            <w:tc>
              <w:tcPr>
                <w:tcW w:w="425" w:type="dxa"/>
                <w:shd w:val="clear" w:color="auto" w:fill="F0F0F0" w:themeFill="background1"/>
              </w:tcPr>
              <w:p w14:paraId="5327FFEC" w14:textId="77BA4FD8" w:rsidR="00A10F6D" w:rsidRDefault="00A10F6D" w:rsidP="008A50BE">
                <w:pPr>
                  <w:spacing w:after="120"/>
                  <w:rPr>
                    <w:sz w:val="20"/>
                    <w:szCs w:val="18"/>
                  </w:rPr>
                </w:pPr>
                <w:r>
                  <w:rPr>
                    <w:rFonts w:ascii="MS Gothic" w:eastAsia="MS Gothic" w:hAnsi="MS Gothic" w:hint="eastAsia"/>
                    <w:sz w:val="20"/>
                    <w:szCs w:val="18"/>
                  </w:rPr>
                  <w:t>☐</w:t>
                </w:r>
              </w:p>
            </w:tc>
          </w:sdtContent>
        </w:sdt>
        <w:tc>
          <w:tcPr>
            <w:tcW w:w="1864" w:type="dxa"/>
            <w:shd w:val="clear" w:color="auto" w:fill="F0F0F0" w:themeFill="background1"/>
          </w:tcPr>
          <w:p w14:paraId="4091F001" w14:textId="1353314E" w:rsidR="00A10F6D" w:rsidRDefault="00A10F6D" w:rsidP="008A50BE">
            <w:pPr>
              <w:spacing w:after="120"/>
              <w:rPr>
                <w:sz w:val="20"/>
                <w:szCs w:val="18"/>
              </w:rPr>
            </w:pPr>
            <w:r w:rsidRPr="004A0ED5">
              <w:rPr>
                <w:sz w:val="20"/>
                <w:szCs w:val="18"/>
              </w:rPr>
              <w:t>Other (provide comments)</w:t>
            </w:r>
          </w:p>
        </w:tc>
        <w:sdt>
          <w:sdtPr>
            <w:rPr>
              <w:rStyle w:val="PlaceholderText"/>
              <w:sz w:val="20"/>
              <w:szCs w:val="18"/>
            </w:rPr>
            <w:id w:val="1865097083"/>
            <w:showingPlcHdr/>
            <w:text/>
          </w:sdtPr>
          <w:sdtEndPr>
            <w:rPr>
              <w:rStyle w:val="PlaceholderText"/>
            </w:rPr>
          </w:sdtEndPr>
          <w:sdtContent>
            <w:tc>
              <w:tcPr>
                <w:tcW w:w="4708" w:type="dxa"/>
                <w:gridSpan w:val="2"/>
                <w:shd w:val="clear" w:color="auto" w:fill="F0F0F0" w:themeFill="background1"/>
              </w:tcPr>
              <w:p w14:paraId="4633F276" w14:textId="08A1BF34" w:rsidR="00A10F6D" w:rsidRDefault="008A50BE" w:rsidP="008A50BE">
                <w:pPr>
                  <w:spacing w:after="120"/>
                  <w:rPr>
                    <w:sz w:val="20"/>
                    <w:szCs w:val="18"/>
                  </w:rPr>
                </w:pPr>
                <w:r w:rsidRPr="00AF763D">
                  <w:rPr>
                    <w:rStyle w:val="PlaceholderText"/>
                    <w:sz w:val="20"/>
                    <w:szCs w:val="18"/>
                  </w:rPr>
                  <w:t>Click here to enter text.</w:t>
                </w:r>
              </w:p>
            </w:tc>
          </w:sdtContent>
        </w:sdt>
      </w:tr>
    </w:tbl>
    <w:p w14:paraId="23084EE6" w14:textId="77777777" w:rsidR="00703C53" w:rsidRDefault="00703C53" w:rsidP="00703C53">
      <w:pPr>
        <w:pStyle w:val="Annex"/>
      </w:pPr>
    </w:p>
    <w:p w14:paraId="7F986E69" w14:textId="77777777" w:rsidR="00FA4100" w:rsidRPr="00A81A50" w:rsidRDefault="00BB1973" w:rsidP="00FA4100">
      <w:pPr>
        <w:pStyle w:val="Heading1"/>
        <w:rPr>
          <w:color w:val="00379F" w:themeColor="text1"/>
          <w:sz w:val="24"/>
          <w:szCs w:val="24"/>
        </w:rPr>
      </w:pPr>
      <w:r w:rsidRPr="00A81A50">
        <w:rPr>
          <w:color w:val="00379F" w:themeColor="text1"/>
          <w:sz w:val="24"/>
          <w:szCs w:val="24"/>
        </w:rPr>
        <w:lastRenderedPageBreak/>
        <w:t>Questions</w:t>
      </w:r>
      <w:bookmarkStart w:id="1" w:name="_Hlk124780170"/>
    </w:p>
    <w:bookmarkEnd w:id="0"/>
    <w:bookmarkEnd w:id="1"/>
    <w:p w14:paraId="54B15EF2" w14:textId="3440B2C0" w:rsidR="00E54596" w:rsidRPr="00A81A50" w:rsidRDefault="00E54596" w:rsidP="00C957E6">
      <w:pPr>
        <w:pStyle w:val="aNEW-Level1"/>
        <w:rPr>
          <w:rFonts w:eastAsia="Times New Roman"/>
          <w:color w:val="00379F" w:themeColor="text1"/>
          <w:lang w:eastAsia="en-GB"/>
        </w:rPr>
      </w:pPr>
      <w:r w:rsidRPr="00A81A50">
        <w:rPr>
          <w:rFonts w:eastAsia="Times New Roman"/>
          <w:color w:val="00379F" w:themeColor="text1"/>
          <w:lang w:eastAsia="en-GB"/>
        </w:rPr>
        <w:t>Marking up sustainability reporting</w:t>
      </w:r>
    </w:p>
    <w:p w14:paraId="0CF534D6" w14:textId="6DA4572E" w:rsidR="00E54596" w:rsidRPr="00C43CA9" w:rsidRDefault="00E54596" w:rsidP="00E54596">
      <w:pPr>
        <w:spacing w:after="0" w:line="240" w:lineRule="auto"/>
        <w:jc w:val="left"/>
        <w:rPr>
          <w:rFonts w:eastAsia="Times New Roman"/>
          <w:color w:val="auto"/>
          <w:szCs w:val="22"/>
          <w:lang w:eastAsia="en-GB"/>
        </w:rPr>
      </w:pPr>
      <w:r w:rsidRPr="00C43CA9">
        <w:rPr>
          <w:rFonts w:eastAsia="Times New Roman"/>
          <w:b/>
          <w:bCs/>
          <w:color w:val="auto"/>
          <w:szCs w:val="22"/>
          <w:lang w:eastAsia="en-GB"/>
        </w:rPr>
        <w:t>Question 1:</w:t>
      </w:r>
      <w:r w:rsidRPr="00C43CA9">
        <w:rPr>
          <w:rFonts w:eastAsia="Times New Roman"/>
          <w:color w:val="auto"/>
          <w:szCs w:val="22"/>
          <w:lang w:eastAsia="en-GB"/>
        </w:rPr>
        <w:t xml:space="preserve"> Do you agree with the assessment framework and the manner in which the various elements and factors are to be considered in developing the marking up rules and the phased approach? If not, please explain your reasons and suggest any elements or factors that should be added or removed, or propose sound alternative assessment frameworks.</w:t>
      </w:r>
    </w:p>
    <w:p w14:paraId="0B753D4A" w14:textId="77777777" w:rsidR="00E216D6" w:rsidRPr="00C43CA9" w:rsidRDefault="00E216D6" w:rsidP="006B5DF1">
      <w:pPr>
        <w:spacing w:after="0"/>
        <w:rPr>
          <w:sz w:val="20"/>
          <w:szCs w:val="18"/>
        </w:rPr>
      </w:pPr>
    </w:p>
    <w:p w14:paraId="3C453C7F" w14:textId="6331E042" w:rsidR="006B5DF1" w:rsidRPr="00C43CA9" w:rsidRDefault="006B5DF1" w:rsidP="006B5DF1">
      <w:pPr>
        <w:spacing w:after="0"/>
        <w:rPr>
          <w:sz w:val="20"/>
          <w:szCs w:val="18"/>
        </w:rPr>
      </w:pPr>
      <w:r w:rsidRPr="00C43CA9">
        <w:rPr>
          <w:sz w:val="20"/>
          <w:szCs w:val="18"/>
        </w:rPr>
        <w:t>&lt;ESMA_QUESTION_</w:t>
      </w:r>
      <w:r w:rsidR="00E54596" w:rsidRPr="00C43CA9">
        <w:rPr>
          <w:sz w:val="20"/>
          <w:szCs w:val="18"/>
        </w:rPr>
        <w:t>ESEFEEAP_</w:t>
      </w:r>
      <w:r w:rsidRPr="00C43CA9">
        <w:rPr>
          <w:sz w:val="20"/>
          <w:szCs w:val="18"/>
        </w:rPr>
        <w:t>01&gt;</w:t>
      </w:r>
    </w:p>
    <w:p w14:paraId="472EA06A" w14:textId="77777777" w:rsidR="006B5DF1" w:rsidRPr="00C43CA9" w:rsidRDefault="006B5DF1" w:rsidP="006B5DF1">
      <w:pPr>
        <w:spacing w:after="0"/>
        <w:rPr>
          <w:sz w:val="20"/>
          <w:szCs w:val="18"/>
        </w:rPr>
      </w:pPr>
      <w:permStart w:id="1107116594" w:edGrp="everyone"/>
      <w:r w:rsidRPr="00C43CA9">
        <w:rPr>
          <w:sz w:val="20"/>
          <w:szCs w:val="18"/>
        </w:rPr>
        <w:t>TYPE YOUR TEXT HERE</w:t>
      </w:r>
    </w:p>
    <w:permEnd w:id="1107116594"/>
    <w:p w14:paraId="62CCD8E6" w14:textId="4588FC49" w:rsidR="006B5DF1" w:rsidRPr="00C43CA9" w:rsidRDefault="006B5DF1" w:rsidP="006B5DF1">
      <w:pPr>
        <w:spacing w:after="0"/>
        <w:rPr>
          <w:sz w:val="20"/>
          <w:szCs w:val="18"/>
        </w:rPr>
      </w:pPr>
      <w:r w:rsidRPr="00C43CA9">
        <w:rPr>
          <w:sz w:val="20"/>
          <w:szCs w:val="18"/>
        </w:rPr>
        <w:t>&lt;ESMA_QUESTION_</w:t>
      </w:r>
      <w:r w:rsidR="00E54596" w:rsidRPr="00C43CA9">
        <w:rPr>
          <w:sz w:val="20"/>
          <w:szCs w:val="18"/>
        </w:rPr>
        <w:t>ESEFEEAP_</w:t>
      </w:r>
      <w:r w:rsidRPr="00C43CA9">
        <w:rPr>
          <w:sz w:val="20"/>
          <w:szCs w:val="18"/>
        </w:rPr>
        <w:t>01&gt;</w:t>
      </w:r>
    </w:p>
    <w:p w14:paraId="29C4250D" w14:textId="77777777" w:rsidR="00E54596" w:rsidRPr="00C43CA9" w:rsidRDefault="00E54596" w:rsidP="00E54596">
      <w:pPr>
        <w:spacing w:after="0" w:line="240" w:lineRule="auto"/>
        <w:jc w:val="left"/>
        <w:rPr>
          <w:rFonts w:eastAsia="Times New Roman"/>
          <w:color w:val="auto"/>
          <w:szCs w:val="22"/>
          <w:lang w:eastAsia="en-GB"/>
        </w:rPr>
      </w:pPr>
    </w:p>
    <w:p w14:paraId="7FADE892" w14:textId="30D795E9" w:rsidR="006B5DF1" w:rsidRPr="00C43CA9" w:rsidRDefault="00E54596" w:rsidP="00AF763D">
      <w:pPr>
        <w:spacing w:after="0" w:line="240" w:lineRule="auto"/>
        <w:jc w:val="left"/>
        <w:rPr>
          <w:rFonts w:eastAsia="Times New Roman"/>
          <w:color w:val="auto"/>
          <w:szCs w:val="22"/>
          <w:lang w:eastAsia="en-GB"/>
        </w:rPr>
      </w:pPr>
      <w:r w:rsidRPr="00C43CA9">
        <w:rPr>
          <w:rFonts w:eastAsia="Times New Roman"/>
          <w:b/>
          <w:bCs/>
          <w:color w:val="auto"/>
          <w:szCs w:val="22"/>
          <w:lang w:eastAsia="en-GB"/>
        </w:rPr>
        <w:t>Question 2:</w:t>
      </w:r>
      <w:r w:rsidRPr="00C43CA9">
        <w:rPr>
          <w:rFonts w:eastAsia="Times New Roman"/>
          <w:color w:val="auto"/>
          <w:szCs w:val="22"/>
          <w:lang w:eastAsia="en-GB"/>
        </w:rPr>
        <w:t xml:space="preserve"> Do you agree with the phased approach and the proposed timeline? Do you concur that the first phase should be implemented for the same financial year or the following financial year depending on the publication date of amendments to the RTS on ESEF in the OJ (before or after 30 June of the given year)? If not, please provide your reasons and suggest any well-founded alternative timelines for implementation. </w:t>
      </w:r>
      <w:r w:rsidRPr="00C43CA9">
        <w:rPr>
          <w:rFonts w:eastAsia="Times New Roman"/>
          <w:color w:val="auto"/>
          <w:szCs w:val="22"/>
          <w:lang w:eastAsia="en-GB"/>
        </w:rPr>
        <w:br/>
      </w:r>
    </w:p>
    <w:p w14:paraId="7CB7DC30" w14:textId="387A62EC" w:rsidR="006B5DF1" w:rsidRPr="00C43CA9" w:rsidRDefault="006B5DF1" w:rsidP="006B5DF1">
      <w:pPr>
        <w:spacing w:after="0"/>
        <w:rPr>
          <w:sz w:val="20"/>
          <w:szCs w:val="18"/>
        </w:rPr>
      </w:pPr>
      <w:r w:rsidRPr="00C43CA9">
        <w:rPr>
          <w:sz w:val="20"/>
          <w:szCs w:val="18"/>
        </w:rPr>
        <w:t>&lt;ESMA_QUESTION_</w:t>
      </w:r>
      <w:r w:rsidR="00E54596" w:rsidRPr="00C43CA9">
        <w:rPr>
          <w:sz w:val="20"/>
          <w:szCs w:val="18"/>
        </w:rPr>
        <w:t>ESEFEEAP_</w:t>
      </w:r>
      <w:r w:rsidR="003E7313" w:rsidRPr="00C43CA9">
        <w:rPr>
          <w:sz w:val="20"/>
          <w:szCs w:val="18"/>
        </w:rPr>
        <w:t>02</w:t>
      </w:r>
      <w:r w:rsidRPr="00C43CA9">
        <w:rPr>
          <w:sz w:val="20"/>
          <w:szCs w:val="18"/>
        </w:rPr>
        <w:t>&gt;</w:t>
      </w:r>
    </w:p>
    <w:p w14:paraId="6D81CD0F" w14:textId="5D9FC90D" w:rsidR="009A2F9C" w:rsidRPr="00C43CA9" w:rsidRDefault="00443ACF" w:rsidP="006B5DF1">
      <w:pPr>
        <w:spacing w:after="0"/>
        <w:rPr>
          <w:sz w:val="20"/>
        </w:rPr>
      </w:pPr>
      <w:permStart w:id="731332295" w:edGrp="everyone"/>
      <w:r w:rsidRPr="00C43CA9">
        <w:rPr>
          <w:sz w:val="20"/>
        </w:rPr>
        <w:t>W</w:t>
      </w:r>
      <w:r w:rsidR="009A2F9C" w:rsidRPr="00C43CA9">
        <w:rPr>
          <w:sz w:val="20"/>
        </w:rPr>
        <w:t xml:space="preserve">e agree with the phased approach, but we believe there are opportunities to </w:t>
      </w:r>
      <w:r w:rsidR="00A805CB" w:rsidRPr="00C43CA9">
        <w:rPr>
          <w:sz w:val="20"/>
        </w:rPr>
        <w:t>improve</w:t>
      </w:r>
      <w:r w:rsidR="009A2F9C" w:rsidRPr="00C43CA9">
        <w:rPr>
          <w:sz w:val="20"/>
        </w:rPr>
        <w:t xml:space="preserve"> the phasing.</w:t>
      </w:r>
    </w:p>
    <w:p w14:paraId="77F86D9D" w14:textId="1A4E36DC" w:rsidR="00443ACF" w:rsidRPr="00C43CA9" w:rsidRDefault="00443ACF" w:rsidP="00206B4F">
      <w:pPr>
        <w:numPr>
          <w:ilvl w:val="0"/>
          <w:numId w:val="36"/>
        </w:numPr>
        <w:spacing w:after="0" w:line="240" w:lineRule="auto"/>
        <w:textAlignment w:val="baseline"/>
        <w:rPr>
          <w:rFonts w:eastAsia="Times New Roman"/>
          <w:color w:val="181818"/>
          <w:sz w:val="20"/>
          <w:lang w:val="en-US"/>
        </w:rPr>
      </w:pPr>
      <w:r w:rsidRPr="00443ACF">
        <w:rPr>
          <w:rFonts w:eastAsia="Times New Roman"/>
          <w:b/>
          <w:bCs/>
          <w:color w:val="000000"/>
          <w:sz w:val="20"/>
          <w:lang w:val="en-US"/>
        </w:rPr>
        <w:t xml:space="preserve">Avoid uncertainty in the timeline: </w:t>
      </w:r>
      <w:r w:rsidRPr="00443ACF">
        <w:rPr>
          <w:rFonts w:eastAsia="Times New Roman"/>
          <w:color w:val="000000"/>
          <w:sz w:val="20"/>
          <w:lang w:val="en-US"/>
        </w:rPr>
        <w:t>The consultation paper discussed that the ph</w:t>
      </w:r>
      <w:r w:rsidR="00986486" w:rsidRPr="00C43CA9">
        <w:rPr>
          <w:rFonts w:eastAsia="Times New Roman"/>
          <w:color w:val="000000"/>
          <w:sz w:val="20"/>
          <w:lang w:val="en-US"/>
        </w:rPr>
        <w:t xml:space="preserve">ase-in of sustainability </w:t>
      </w:r>
      <w:proofErr w:type="spellStart"/>
      <w:r w:rsidR="00986486" w:rsidRPr="00C43CA9">
        <w:rPr>
          <w:rFonts w:eastAsia="Times New Roman"/>
          <w:color w:val="000000"/>
          <w:sz w:val="20"/>
          <w:lang w:val="en-US"/>
        </w:rPr>
        <w:t>digitis</w:t>
      </w:r>
      <w:r w:rsidRPr="00443ACF">
        <w:rPr>
          <w:rFonts w:eastAsia="Times New Roman"/>
          <w:color w:val="000000"/>
          <w:sz w:val="20"/>
          <w:lang w:val="en-US"/>
        </w:rPr>
        <w:t>ation</w:t>
      </w:r>
      <w:proofErr w:type="spellEnd"/>
      <w:r w:rsidRPr="00443ACF">
        <w:rPr>
          <w:rFonts w:eastAsia="Times New Roman"/>
          <w:color w:val="000000"/>
          <w:sz w:val="20"/>
          <w:lang w:val="en-US"/>
        </w:rPr>
        <w:t xml:space="preserve"> is dependent on when the updated RTS is published to the Official Journal (OJ), and the impact could be a difference between starting XBRL reporting for the publication year (e.g. for 2026 reporting in 2027) or the next year (e.g. for 2027 reporting in 2028). This uncertainty could post challenges to the filing communities in planning, procurement, capacity building, and ultimately implementation readiness. Filers may have higher difficulty in optimizing solution procurement timing, and providers may risk establishing capacity that could be underutilized for a year. We encourage the ESMA to consider an approach that helps confirm the compliance dates as early as possible. For example, the Securities Exchange Commission (SEC) refers to their website for supported taxonomies and other guidance to be published after final rulemakin</w:t>
      </w:r>
      <w:r w:rsidR="00986486" w:rsidRPr="00C43CA9">
        <w:rPr>
          <w:rFonts w:eastAsia="Times New Roman"/>
          <w:color w:val="000000"/>
          <w:sz w:val="20"/>
          <w:lang w:val="en-US"/>
        </w:rPr>
        <w:t xml:space="preserve">g, enabling earlier rule </w:t>
      </w:r>
      <w:proofErr w:type="spellStart"/>
      <w:r w:rsidR="00986486" w:rsidRPr="00C43CA9">
        <w:rPr>
          <w:rFonts w:eastAsia="Times New Roman"/>
          <w:color w:val="000000"/>
          <w:sz w:val="20"/>
          <w:lang w:val="en-US"/>
        </w:rPr>
        <w:t>finalis</w:t>
      </w:r>
      <w:r w:rsidRPr="00443ACF">
        <w:rPr>
          <w:rFonts w:eastAsia="Times New Roman"/>
          <w:color w:val="000000"/>
          <w:sz w:val="20"/>
          <w:lang w:val="en-US"/>
        </w:rPr>
        <w:t>ation</w:t>
      </w:r>
      <w:proofErr w:type="spellEnd"/>
      <w:r w:rsidRPr="00443ACF">
        <w:rPr>
          <w:rFonts w:eastAsia="Times New Roman"/>
          <w:color w:val="000000"/>
          <w:sz w:val="20"/>
          <w:lang w:val="en-US"/>
        </w:rPr>
        <w:t>.</w:t>
      </w:r>
    </w:p>
    <w:p w14:paraId="61FD4585" w14:textId="1872677A" w:rsidR="00443ACF" w:rsidRPr="00443ACF" w:rsidRDefault="00443ACF" w:rsidP="00206B4F">
      <w:pPr>
        <w:numPr>
          <w:ilvl w:val="0"/>
          <w:numId w:val="36"/>
        </w:numPr>
        <w:spacing w:after="0" w:line="240" w:lineRule="auto"/>
        <w:textAlignment w:val="baseline"/>
        <w:rPr>
          <w:rFonts w:eastAsia="Times New Roman"/>
          <w:color w:val="181818"/>
          <w:sz w:val="20"/>
          <w:lang w:val="en-US"/>
        </w:rPr>
      </w:pPr>
      <w:r w:rsidRPr="00443ACF">
        <w:rPr>
          <w:rFonts w:eastAsia="Times New Roman"/>
          <w:b/>
          <w:bCs/>
          <w:color w:val="000000"/>
          <w:sz w:val="20"/>
          <w:lang w:val="en-US"/>
        </w:rPr>
        <w:t>Keep overall market readiness in mind:</w:t>
      </w:r>
      <w:r w:rsidRPr="00443ACF">
        <w:rPr>
          <w:rFonts w:eastAsia="Times New Roman"/>
          <w:color w:val="181818"/>
          <w:sz w:val="20"/>
          <w:lang w:val="en-US"/>
        </w:rPr>
        <w:t> </w:t>
      </w:r>
    </w:p>
    <w:p w14:paraId="4C60FAF3" w14:textId="64870A3D" w:rsidR="00443ACF" w:rsidRPr="00C43CA9" w:rsidRDefault="00443ACF" w:rsidP="00206B4F">
      <w:pPr>
        <w:numPr>
          <w:ilvl w:val="1"/>
          <w:numId w:val="39"/>
        </w:numPr>
        <w:spacing w:after="0" w:line="240" w:lineRule="auto"/>
        <w:ind w:left="1440" w:hanging="360"/>
        <w:textAlignment w:val="baseline"/>
        <w:rPr>
          <w:rFonts w:eastAsia="Times New Roman"/>
          <w:color w:val="181818"/>
          <w:sz w:val="20"/>
          <w:lang w:val="en-US"/>
        </w:rPr>
      </w:pPr>
      <w:r w:rsidRPr="00443ACF">
        <w:rPr>
          <w:rFonts w:eastAsia="Times New Roman"/>
          <w:b/>
          <w:bCs/>
          <w:color w:val="181818"/>
          <w:sz w:val="20"/>
          <w:lang w:val="en-US"/>
        </w:rPr>
        <w:t>Need early access to materials</w:t>
      </w:r>
      <w:r w:rsidRPr="00443ACF">
        <w:rPr>
          <w:rFonts w:eastAsia="Times New Roman"/>
          <w:color w:val="181818"/>
          <w:sz w:val="20"/>
          <w:lang w:val="en-US"/>
        </w:rPr>
        <w:t>: As software and service providers require lead time to get their solutions in place, a true implementation window for the filers must take this into consideration. Full implementation depends on guidance details which may follow a different schedule so publication to the OJ may not be indicative of the software support timing. We believe it would be very important to make the taxonomy and guidance materials such as the ESEF reporting manual available as early as possible in order to maximize the preparation time available within the phase-in window.</w:t>
      </w:r>
    </w:p>
    <w:p w14:paraId="2BA0B116" w14:textId="77777777" w:rsidR="00986486" w:rsidRPr="00443ACF" w:rsidRDefault="00986486" w:rsidP="00986486">
      <w:pPr>
        <w:spacing w:after="0" w:line="240" w:lineRule="auto"/>
        <w:ind w:left="1440"/>
        <w:textAlignment w:val="baseline"/>
        <w:rPr>
          <w:rFonts w:eastAsia="Times New Roman"/>
          <w:color w:val="181818"/>
          <w:sz w:val="20"/>
          <w:lang w:val="en-US"/>
        </w:rPr>
      </w:pPr>
    </w:p>
    <w:p w14:paraId="163845BF" w14:textId="71A3ABBF" w:rsidR="00443ACF" w:rsidRPr="00C43CA9" w:rsidRDefault="00443ACF" w:rsidP="00443ACF">
      <w:pPr>
        <w:spacing w:after="0" w:line="240" w:lineRule="auto"/>
        <w:ind w:left="1440"/>
        <w:rPr>
          <w:rFonts w:eastAsia="Times New Roman"/>
          <w:color w:val="181818"/>
          <w:sz w:val="20"/>
          <w:lang w:val="en-US"/>
        </w:rPr>
      </w:pPr>
      <w:r w:rsidRPr="00443ACF">
        <w:rPr>
          <w:rFonts w:eastAsia="Times New Roman"/>
          <w:color w:val="000000"/>
          <w:sz w:val="20"/>
          <w:lang w:val="en-US"/>
        </w:rPr>
        <w:t>For example</w:t>
      </w:r>
      <w:r w:rsidRPr="00443ACF">
        <w:rPr>
          <w:rFonts w:eastAsia="Times New Roman"/>
          <w:color w:val="181818"/>
          <w:sz w:val="20"/>
          <w:lang w:val="en-US"/>
        </w:rPr>
        <w:t>, when new XBRL features are involved, the market requires additional lead time to update products and training. Confirming early on whether the rule would incorporate newly required features, such as fact-to-fact relationships, etc., could help the m</w:t>
      </w:r>
      <w:r w:rsidR="00986486" w:rsidRPr="00C43CA9">
        <w:rPr>
          <w:rFonts w:eastAsia="Times New Roman"/>
          <w:color w:val="181818"/>
          <w:sz w:val="20"/>
          <w:lang w:val="en-US"/>
        </w:rPr>
        <w:t xml:space="preserve">arket determine proper </w:t>
      </w:r>
      <w:proofErr w:type="spellStart"/>
      <w:r w:rsidR="00986486" w:rsidRPr="00C43CA9">
        <w:rPr>
          <w:rFonts w:eastAsia="Times New Roman"/>
          <w:color w:val="181818"/>
          <w:sz w:val="20"/>
          <w:lang w:val="en-US"/>
        </w:rPr>
        <w:t>prioritis</w:t>
      </w:r>
      <w:r w:rsidRPr="00443ACF">
        <w:rPr>
          <w:rFonts w:eastAsia="Times New Roman"/>
          <w:color w:val="181818"/>
          <w:sz w:val="20"/>
          <w:lang w:val="en-US"/>
        </w:rPr>
        <w:t>ation</w:t>
      </w:r>
      <w:proofErr w:type="spellEnd"/>
      <w:r w:rsidRPr="00443ACF">
        <w:rPr>
          <w:rFonts w:eastAsia="Times New Roman"/>
          <w:color w:val="181818"/>
          <w:sz w:val="20"/>
          <w:lang w:val="en-US"/>
        </w:rPr>
        <w:t xml:space="preserve"> for compliance readiness.</w:t>
      </w:r>
    </w:p>
    <w:p w14:paraId="2FD1D04E" w14:textId="662AE23B" w:rsidR="00350FEC" w:rsidRPr="00C43CA9" w:rsidRDefault="00443ACF" w:rsidP="00206B4F">
      <w:pPr>
        <w:pStyle w:val="ListParagraph"/>
        <w:numPr>
          <w:ilvl w:val="1"/>
          <w:numId w:val="39"/>
        </w:numPr>
        <w:spacing w:after="0" w:line="240" w:lineRule="auto"/>
        <w:rPr>
          <w:rFonts w:eastAsia="Times New Roman"/>
          <w:color w:val="181818"/>
          <w:sz w:val="20"/>
          <w:lang w:val="en-US"/>
        </w:rPr>
      </w:pPr>
      <w:r w:rsidRPr="00C43CA9">
        <w:rPr>
          <w:rFonts w:eastAsia="Times New Roman"/>
          <w:b/>
          <w:bCs/>
          <w:color w:val="000000"/>
          <w:sz w:val="20"/>
          <w:lang w:val="en-US"/>
        </w:rPr>
        <w:t>Special accommodation in the first year</w:t>
      </w:r>
      <w:r w:rsidRPr="00C43CA9">
        <w:rPr>
          <w:rFonts w:eastAsia="Times New Roman"/>
          <w:color w:val="000000"/>
          <w:sz w:val="20"/>
          <w:lang w:val="en-US"/>
        </w:rPr>
        <w:t>: We recommend potentially considering relaxing the filing deadline in the first year of each phase to support a more orderly transition.</w:t>
      </w:r>
      <w:r w:rsidR="00350FEC" w:rsidRPr="00C43CA9">
        <w:rPr>
          <w:color w:val="000000"/>
          <w:sz w:val="20"/>
        </w:rPr>
        <w:t xml:space="preserve"> </w:t>
      </w:r>
    </w:p>
    <w:p w14:paraId="602FBF0B" w14:textId="324922BA" w:rsidR="0085278F" w:rsidRPr="00C43CA9" w:rsidRDefault="00443ACF" w:rsidP="00206B4F">
      <w:pPr>
        <w:numPr>
          <w:ilvl w:val="0"/>
          <w:numId w:val="36"/>
        </w:numPr>
        <w:spacing w:after="0" w:line="240" w:lineRule="auto"/>
        <w:textAlignment w:val="baseline"/>
        <w:rPr>
          <w:rFonts w:eastAsia="Times New Roman"/>
          <w:color w:val="181818"/>
          <w:sz w:val="20"/>
          <w:lang w:val="en-US"/>
        </w:rPr>
      </w:pPr>
      <w:r w:rsidRPr="00443ACF">
        <w:rPr>
          <w:rFonts w:eastAsia="Times New Roman"/>
          <w:b/>
          <w:bCs/>
          <w:color w:val="000000"/>
          <w:sz w:val="20"/>
          <w:lang w:val="en-US"/>
        </w:rPr>
        <w:t>Balance burden and lengthened implementation cycle:</w:t>
      </w:r>
      <w:r w:rsidRPr="00443ACF">
        <w:rPr>
          <w:rFonts w:eastAsia="Times New Roman"/>
          <w:color w:val="181818"/>
          <w:sz w:val="20"/>
          <w:lang w:val="en-US"/>
        </w:rPr>
        <w:t xml:space="preserve"> The proposed 3 phases at 2 years each would lead to a 5-year timeline in total for a company to fully phase in digital reporting. The lengthened implementation cycle could lead to compliance fatigue. </w:t>
      </w:r>
      <w:r w:rsidR="00C43CA9" w:rsidRPr="00C43CA9">
        <w:rPr>
          <w:rFonts w:eastAsia="Times New Roman"/>
          <w:color w:val="181818"/>
          <w:sz w:val="20"/>
          <w:lang w:val="en-US"/>
        </w:rPr>
        <w:t>Each compliance start may bring</w:t>
      </w:r>
      <w:r w:rsidR="00183493" w:rsidRPr="00C43CA9">
        <w:rPr>
          <w:rFonts w:eastAsia="Times New Roman"/>
          <w:color w:val="181818"/>
          <w:sz w:val="20"/>
          <w:lang w:val="en-US"/>
        </w:rPr>
        <w:t xml:space="preserve"> a spike</w:t>
      </w:r>
      <w:r w:rsidR="00C43CA9" w:rsidRPr="00C43CA9">
        <w:rPr>
          <w:rFonts w:eastAsia="Times New Roman"/>
          <w:color w:val="181818"/>
          <w:sz w:val="20"/>
          <w:lang w:val="en-US"/>
        </w:rPr>
        <w:t xml:space="preserve"> in workload, followed by a lull</w:t>
      </w:r>
      <w:r w:rsidR="00183493" w:rsidRPr="00C43CA9">
        <w:rPr>
          <w:rFonts w:eastAsia="Times New Roman"/>
          <w:color w:val="181818"/>
          <w:sz w:val="20"/>
          <w:lang w:val="en-US"/>
        </w:rPr>
        <w:t xml:space="preserve"> before th</w:t>
      </w:r>
      <w:r w:rsidR="00C43CA9" w:rsidRPr="00C43CA9">
        <w:rPr>
          <w:rFonts w:eastAsia="Times New Roman"/>
          <w:color w:val="181818"/>
          <w:sz w:val="20"/>
          <w:lang w:val="en-US"/>
        </w:rPr>
        <w:t xml:space="preserve">e next phase, creating recurring </w:t>
      </w:r>
      <w:r w:rsidR="00183493" w:rsidRPr="00C43CA9">
        <w:rPr>
          <w:rFonts w:eastAsia="Times New Roman"/>
          <w:color w:val="181818"/>
          <w:sz w:val="20"/>
          <w:lang w:val="en-US"/>
        </w:rPr>
        <w:t xml:space="preserve">waves of peaks and valleys. </w:t>
      </w:r>
      <w:r w:rsidR="005647FC" w:rsidRPr="00C43CA9">
        <w:rPr>
          <w:rFonts w:eastAsia="Times New Roman"/>
          <w:color w:val="181818"/>
          <w:sz w:val="20"/>
          <w:lang w:val="en-US"/>
        </w:rPr>
        <w:t>We believe that keeping each phase to 1 year</w:t>
      </w:r>
      <w:r w:rsidRPr="00443ACF">
        <w:rPr>
          <w:rFonts w:eastAsia="Times New Roman"/>
          <w:color w:val="181818"/>
          <w:sz w:val="20"/>
          <w:lang w:val="en-US"/>
        </w:rPr>
        <w:t xml:space="preserve"> may support stronger momentum for implementation while balancing workload and the initial learning curve</w:t>
      </w:r>
      <w:r w:rsidR="00315B14" w:rsidRPr="00C43CA9">
        <w:rPr>
          <w:sz w:val="20"/>
        </w:rPr>
        <w:t>.</w:t>
      </w:r>
      <w:r w:rsidR="005647FC" w:rsidRPr="00C43CA9">
        <w:rPr>
          <w:sz w:val="20"/>
        </w:rPr>
        <w:t xml:space="preserve"> </w:t>
      </w:r>
      <w:r w:rsidR="005647FC" w:rsidRPr="00C43CA9">
        <w:rPr>
          <w:color w:val="000000"/>
          <w:sz w:val="20"/>
        </w:rPr>
        <w:t>For example, while preparers will need some time to learn and adjust, the usability of XBRL has improved significantly over the years and improvements are constantly being made. The majority of vendors either had existing experience with block-tagging or introduced major improvements for text block in the last year or so.</w:t>
      </w:r>
      <w:r w:rsidR="00183493" w:rsidRPr="00C43CA9">
        <w:rPr>
          <w:color w:val="000000"/>
          <w:sz w:val="20"/>
        </w:rPr>
        <w:t xml:space="preserve"> Additional accommodation on the filing deadline</w:t>
      </w:r>
      <w:bookmarkStart w:id="2" w:name="_GoBack"/>
      <w:bookmarkEnd w:id="2"/>
      <w:r w:rsidR="00183493" w:rsidRPr="00C43CA9">
        <w:rPr>
          <w:color w:val="000000"/>
          <w:sz w:val="20"/>
        </w:rPr>
        <w:t xml:space="preserve"> may help avoid prolonged phases.</w:t>
      </w:r>
    </w:p>
    <w:permEnd w:id="731332295"/>
    <w:p w14:paraId="5C99C845" w14:textId="7B1ED64B" w:rsidR="006B5DF1" w:rsidRPr="00C43CA9" w:rsidRDefault="006B5DF1" w:rsidP="00E216D6">
      <w:pPr>
        <w:spacing w:after="0"/>
        <w:rPr>
          <w:sz w:val="20"/>
          <w:szCs w:val="18"/>
        </w:rPr>
      </w:pPr>
      <w:r w:rsidRPr="00C43CA9">
        <w:rPr>
          <w:sz w:val="20"/>
          <w:szCs w:val="18"/>
        </w:rPr>
        <w:t>&lt;ESMA_QUESTION_</w:t>
      </w:r>
      <w:r w:rsidR="00E54596" w:rsidRPr="00C43CA9">
        <w:rPr>
          <w:sz w:val="20"/>
          <w:szCs w:val="18"/>
        </w:rPr>
        <w:t>ESEFEEAP_</w:t>
      </w:r>
      <w:r w:rsidR="003E7313" w:rsidRPr="00C43CA9">
        <w:rPr>
          <w:sz w:val="20"/>
          <w:szCs w:val="18"/>
        </w:rPr>
        <w:t>02</w:t>
      </w:r>
      <w:r w:rsidRPr="00C43CA9">
        <w:rPr>
          <w:sz w:val="20"/>
          <w:szCs w:val="18"/>
        </w:rPr>
        <w:t>&gt;</w:t>
      </w:r>
    </w:p>
    <w:p w14:paraId="0DA287A8" w14:textId="77777777" w:rsidR="00E216D6" w:rsidRPr="00C43CA9" w:rsidRDefault="00E216D6" w:rsidP="00E216D6">
      <w:pPr>
        <w:spacing w:after="0"/>
        <w:rPr>
          <w:sz w:val="20"/>
          <w:szCs w:val="18"/>
        </w:rPr>
      </w:pPr>
    </w:p>
    <w:p w14:paraId="45E15655" w14:textId="77777777" w:rsidR="007D4F05" w:rsidRPr="00C43CA9" w:rsidRDefault="007D4F05" w:rsidP="007D4F05">
      <w:pPr>
        <w:spacing w:after="0" w:line="240" w:lineRule="auto"/>
        <w:jc w:val="left"/>
        <w:rPr>
          <w:rFonts w:eastAsia="Times New Roman"/>
          <w:color w:val="auto"/>
          <w:szCs w:val="22"/>
          <w:lang w:eastAsia="en-GB"/>
        </w:rPr>
      </w:pPr>
      <w:r w:rsidRPr="00C43CA9">
        <w:rPr>
          <w:rFonts w:eastAsia="Times New Roman"/>
          <w:b/>
          <w:bCs/>
          <w:color w:val="auto"/>
          <w:szCs w:val="22"/>
          <w:lang w:eastAsia="en-GB"/>
        </w:rPr>
        <w:lastRenderedPageBreak/>
        <w:t>Question 3:</w:t>
      </w:r>
      <w:r w:rsidRPr="00C43CA9">
        <w:rPr>
          <w:rFonts w:eastAsia="Times New Roman"/>
          <w:color w:val="auto"/>
          <w:szCs w:val="22"/>
          <w:lang w:eastAsia="en-GB"/>
        </w:rPr>
        <w:t xml:space="preserve"> Do you agree with only considering an additional staggered approach based on the type of large undertakings? If not, please explain your reasons and suggest alternatives or other factors that should be considered and why. </w:t>
      </w:r>
    </w:p>
    <w:p w14:paraId="23AC8DD2" w14:textId="77777777" w:rsidR="007D4F05" w:rsidRPr="00C43CA9" w:rsidRDefault="007D4F05" w:rsidP="007D4F05">
      <w:pPr>
        <w:spacing w:after="0" w:line="240" w:lineRule="auto"/>
        <w:jc w:val="left"/>
        <w:rPr>
          <w:rFonts w:eastAsia="Times New Roman"/>
          <w:color w:val="auto"/>
          <w:szCs w:val="22"/>
          <w:lang w:eastAsia="en-GB"/>
        </w:rPr>
      </w:pPr>
    </w:p>
    <w:p w14:paraId="4355DBF1" w14:textId="77777777" w:rsidR="007D4F05" w:rsidRPr="00C43CA9" w:rsidRDefault="007D4F05" w:rsidP="007D4F05">
      <w:pPr>
        <w:spacing w:after="0"/>
        <w:rPr>
          <w:sz w:val="20"/>
          <w:szCs w:val="18"/>
        </w:rPr>
      </w:pPr>
      <w:r w:rsidRPr="00C43CA9">
        <w:rPr>
          <w:sz w:val="20"/>
          <w:szCs w:val="18"/>
        </w:rPr>
        <w:t>&lt;ESMA_QUESTION_ESEFEEAP_03&gt;</w:t>
      </w:r>
    </w:p>
    <w:p w14:paraId="4FE397B3" w14:textId="4D75F0B3" w:rsidR="007D4F05" w:rsidRPr="00C43CA9" w:rsidRDefault="00443ACF" w:rsidP="007D4F05">
      <w:pPr>
        <w:spacing w:after="0"/>
        <w:rPr>
          <w:sz w:val="20"/>
          <w:szCs w:val="18"/>
        </w:rPr>
      </w:pPr>
      <w:permStart w:id="2077629217" w:edGrp="everyone"/>
      <w:r w:rsidRPr="00C43CA9">
        <w:rPr>
          <w:color w:val="181818"/>
          <w:sz w:val="20"/>
        </w:rPr>
        <w:t>We understand that allowing companies likely to be less used to XBRL filing additional time is reasonable. We would, however, suggest that additional phasing would be more likely to add to the complication and learning period rather than improve data quality. The simpler the rules, across the board, the more likely we are to see consistency and comparability</w:t>
      </w:r>
      <w:r w:rsidRPr="00C43CA9">
        <w:rPr>
          <w:color w:val="181818"/>
          <w:sz w:val="20"/>
        </w:rPr>
        <w:t>.</w:t>
      </w:r>
    </w:p>
    <w:permEnd w:id="2077629217"/>
    <w:p w14:paraId="693F7E20" w14:textId="77777777" w:rsidR="007D4F05" w:rsidRPr="00C43CA9" w:rsidRDefault="007D4F05" w:rsidP="007D4F05">
      <w:pPr>
        <w:spacing w:after="0"/>
        <w:rPr>
          <w:sz w:val="20"/>
          <w:szCs w:val="18"/>
        </w:rPr>
      </w:pPr>
      <w:r w:rsidRPr="00C43CA9">
        <w:rPr>
          <w:sz w:val="20"/>
          <w:szCs w:val="18"/>
        </w:rPr>
        <w:t>&lt;ESMA_QUESTION_ESEFEEAP_03&gt;</w:t>
      </w:r>
    </w:p>
    <w:p w14:paraId="641BFA2A" w14:textId="1E07DB1D" w:rsidR="007D4F05" w:rsidRPr="00C43CA9" w:rsidRDefault="007D4F05" w:rsidP="007D4F05">
      <w:pPr>
        <w:spacing w:after="0" w:line="240" w:lineRule="auto"/>
        <w:jc w:val="left"/>
        <w:rPr>
          <w:rFonts w:eastAsia="Times New Roman"/>
          <w:color w:val="auto"/>
          <w:szCs w:val="22"/>
          <w:lang w:eastAsia="en-GB"/>
        </w:rPr>
      </w:pPr>
    </w:p>
    <w:p w14:paraId="04F0C63B" w14:textId="77777777" w:rsidR="007D4F05" w:rsidRPr="00C43CA9" w:rsidRDefault="007D4F05" w:rsidP="007D4F05">
      <w:pPr>
        <w:spacing w:after="0" w:line="240" w:lineRule="auto"/>
        <w:jc w:val="left"/>
        <w:rPr>
          <w:rFonts w:eastAsia="Times New Roman"/>
          <w:color w:val="auto"/>
          <w:szCs w:val="22"/>
          <w:lang w:eastAsia="en-GB"/>
        </w:rPr>
      </w:pPr>
      <w:r w:rsidRPr="00C43CA9">
        <w:rPr>
          <w:rFonts w:eastAsia="Times New Roman"/>
          <w:b/>
          <w:bCs/>
          <w:color w:val="auto"/>
          <w:szCs w:val="22"/>
          <w:lang w:eastAsia="en-GB"/>
        </w:rPr>
        <w:t>Question 4:</w:t>
      </w:r>
      <w:r w:rsidRPr="00C43CA9">
        <w:rPr>
          <w:rFonts w:eastAsia="Times New Roman"/>
          <w:color w:val="auto"/>
          <w:szCs w:val="22"/>
          <w:lang w:eastAsia="en-GB"/>
        </w:rPr>
        <w:t xml:space="preserve"> Do you agree with the phases and the content to be marked up as outlined for each phase? If not, please provide your reasons and suggest any well-founded alternative regarding the content for each phase, together with the rationale behind your suggestions. </w:t>
      </w:r>
    </w:p>
    <w:p w14:paraId="50037279" w14:textId="77777777" w:rsidR="007D4F05" w:rsidRPr="00C43CA9" w:rsidRDefault="007D4F05" w:rsidP="007D4F05">
      <w:pPr>
        <w:spacing w:after="0"/>
        <w:rPr>
          <w:sz w:val="20"/>
          <w:szCs w:val="18"/>
        </w:rPr>
      </w:pPr>
      <w:r w:rsidRPr="00C43CA9">
        <w:rPr>
          <w:rFonts w:eastAsia="Times New Roman"/>
          <w:color w:val="auto"/>
          <w:szCs w:val="22"/>
          <w:lang w:eastAsia="en-GB"/>
        </w:rPr>
        <w:br/>
      </w:r>
      <w:r w:rsidRPr="00C43CA9">
        <w:rPr>
          <w:sz w:val="20"/>
          <w:szCs w:val="18"/>
        </w:rPr>
        <w:t>&lt;ESMA_QUESTION_ESEFEEAP_04&gt;</w:t>
      </w:r>
    </w:p>
    <w:p w14:paraId="2C2FA614" w14:textId="77777777" w:rsidR="00A90A11" w:rsidRPr="00C43CA9" w:rsidRDefault="00A90A11" w:rsidP="00E55C90">
      <w:pPr>
        <w:spacing w:after="0" w:line="240" w:lineRule="auto"/>
        <w:jc w:val="left"/>
        <w:rPr>
          <w:color w:val="181818"/>
          <w:sz w:val="20"/>
        </w:rPr>
      </w:pPr>
      <w:permStart w:id="91707497" w:edGrp="everyone"/>
      <w:r w:rsidRPr="00C43CA9">
        <w:rPr>
          <w:b/>
          <w:bCs/>
          <w:color w:val="181818"/>
          <w:sz w:val="20"/>
        </w:rPr>
        <w:t>Simpler rules benefit everyone</w:t>
      </w:r>
      <w:r w:rsidRPr="00C43CA9">
        <w:rPr>
          <w:color w:val="181818"/>
          <w:sz w:val="20"/>
        </w:rPr>
        <w:t>. If there is an opportunity to simplify the identification of content to be marked-up during each phase then we would encourage this. The current phasing takes place across multiple aspects of content and mark-up during each phase and in particular asks companies to identify cases where some content is to be tagged and other content left for a later phase. This potentially slows the tagging, and audit process, as it requires both judgement and review. Automation tools, including AI, can be used to provide many process efficiencies but both significantly benefit from completeness in requirements.</w:t>
      </w:r>
    </w:p>
    <w:p w14:paraId="7E17E0FE" w14:textId="77777777" w:rsidR="00A90A11" w:rsidRPr="00C43CA9" w:rsidRDefault="00A90A11" w:rsidP="00E55C90">
      <w:pPr>
        <w:spacing w:after="0" w:line="240" w:lineRule="auto"/>
        <w:jc w:val="left"/>
        <w:rPr>
          <w:color w:val="181818"/>
          <w:sz w:val="20"/>
        </w:rPr>
      </w:pPr>
    </w:p>
    <w:p w14:paraId="227D670D" w14:textId="1B5D002A" w:rsidR="00457858" w:rsidRPr="00C43CA9" w:rsidRDefault="00457858" w:rsidP="00E55C90">
      <w:pPr>
        <w:spacing w:after="0" w:line="240" w:lineRule="auto"/>
        <w:jc w:val="left"/>
        <w:rPr>
          <w:rFonts w:eastAsia="Times New Roman"/>
          <w:color w:val="000000"/>
          <w:sz w:val="20"/>
          <w:lang w:val="en-US"/>
        </w:rPr>
      </w:pPr>
      <w:r w:rsidRPr="00C43CA9">
        <w:rPr>
          <w:rFonts w:eastAsia="Times New Roman"/>
          <w:color w:val="000000"/>
          <w:sz w:val="20"/>
          <w:lang w:val="en-US"/>
        </w:rPr>
        <w:t>On the</w:t>
      </w:r>
      <w:r w:rsidR="00E55C90" w:rsidRPr="00C43CA9">
        <w:rPr>
          <w:rFonts w:eastAsia="Times New Roman"/>
          <w:color w:val="000000"/>
          <w:sz w:val="20"/>
          <w:lang w:val="en-US"/>
        </w:rPr>
        <w:t xml:space="preserve"> three phases for marking up the sustainability requireme</w:t>
      </w:r>
      <w:r w:rsidRPr="00C43CA9">
        <w:rPr>
          <w:rFonts w:eastAsia="Times New Roman"/>
          <w:color w:val="000000"/>
          <w:sz w:val="20"/>
          <w:lang w:val="en-US"/>
        </w:rPr>
        <w:t xml:space="preserve">nts under the ESRS standards, </w:t>
      </w:r>
      <w:r w:rsidR="0025388A" w:rsidRPr="00C43CA9">
        <w:rPr>
          <w:rFonts w:eastAsia="Times New Roman"/>
          <w:color w:val="000000"/>
          <w:sz w:val="20"/>
          <w:lang w:val="en-US"/>
        </w:rPr>
        <w:t xml:space="preserve">for example, </w:t>
      </w:r>
      <w:r w:rsidRPr="00C43CA9">
        <w:rPr>
          <w:rFonts w:eastAsia="Times New Roman"/>
          <w:color w:val="000000"/>
          <w:sz w:val="20"/>
          <w:lang w:val="en-US"/>
        </w:rPr>
        <w:t>s</w:t>
      </w:r>
      <w:r w:rsidR="00E55C90" w:rsidRPr="00C43CA9">
        <w:rPr>
          <w:rFonts w:eastAsia="Times New Roman"/>
          <w:color w:val="000000"/>
          <w:sz w:val="20"/>
          <w:lang w:val="en-US"/>
        </w:rPr>
        <w:t xml:space="preserve">pecifically for E2-E5, S1-S4, and G1, the </w:t>
      </w:r>
      <w:r w:rsidRPr="00C43CA9">
        <w:rPr>
          <w:rFonts w:eastAsia="Times New Roman"/>
          <w:color w:val="000000"/>
          <w:sz w:val="20"/>
          <w:lang w:val="en-US"/>
        </w:rPr>
        <w:t>phases are based largely on the level of narrative tagging</w:t>
      </w:r>
      <w:r w:rsidR="00E55C90" w:rsidRPr="00C43CA9">
        <w:rPr>
          <w:rFonts w:eastAsia="Times New Roman"/>
          <w:color w:val="000000"/>
          <w:sz w:val="20"/>
          <w:lang w:val="en-US"/>
        </w:rPr>
        <w:t xml:space="preserve">: </w:t>
      </w:r>
    </w:p>
    <w:p w14:paraId="3D61BB7E" w14:textId="2A20A408" w:rsidR="00457858" w:rsidRPr="00C43CA9" w:rsidRDefault="00457858" w:rsidP="00206B4F">
      <w:pPr>
        <w:pStyle w:val="ListParagraph"/>
        <w:numPr>
          <w:ilvl w:val="0"/>
          <w:numId w:val="37"/>
        </w:numPr>
        <w:spacing w:after="0" w:line="240" w:lineRule="auto"/>
        <w:jc w:val="left"/>
        <w:rPr>
          <w:rFonts w:eastAsia="Times New Roman"/>
          <w:color w:val="000000"/>
          <w:sz w:val="20"/>
          <w:lang w:val="en-US"/>
        </w:rPr>
      </w:pPr>
      <w:r w:rsidRPr="00C43CA9">
        <w:rPr>
          <w:rFonts w:eastAsia="Times New Roman"/>
          <w:color w:val="000000"/>
          <w:sz w:val="20"/>
          <w:lang w:val="en-US"/>
        </w:rPr>
        <w:t>Phase 1: Level 1 Text Blocks;</w:t>
      </w:r>
    </w:p>
    <w:p w14:paraId="33A10995" w14:textId="2697DEBE" w:rsidR="00457858" w:rsidRPr="00C43CA9" w:rsidRDefault="00E55C90" w:rsidP="00206B4F">
      <w:pPr>
        <w:pStyle w:val="ListParagraph"/>
        <w:numPr>
          <w:ilvl w:val="0"/>
          <w:numId w:val="37"/>
        </w:numPr>
        <w:spacing w:after="0" w:line="240" w:lineRule="auto"/>
        <w:jc w:val="left"/>
        <w:rPr>
          <w:rFonts w:eastAsia="Times New Roman"/>
          <w:color w:val="000000"/>
          <w:sz w:val="20"/>
          <w:lang w:val="en-US"/>
        </w:rPr>
      </w:pPr>
      <w:r w:rsidRPr="00C43CA9">
        <w:rPr>
          <w:rFonts w:eastAsia="Times New Roman"/>
          <w:color w:val="000000"/>
          <w:sz w:val="20"/>
          <w:lang w:val="en-US"/>
        </w:rPr>
        <w:t>Pha</w:t>
      </w:r>
      <w:r w:rsidR="00457858" w:rsidRPr="00C43CA9">
        <w:rPr>
          <w:rFonts w:eastAsia="Times New Roman"/>
          <w:color w:val="000000"/>
          <w:sz w:val="20"/>
          <w:lang w:val="en-US"/>
        </w:rPr>
        <w:t>se 2: Level 2 Text Blocks;</w:t>
      </w:r>
      <w:r w:rsidRPr="00C43CA9">
        <w:rPr>
          <w:rFonts w:eastAsia="Times New Roman"/>
          <w:color w:val="000000"/>
          <w:sz w:val="20"/>
          <w:lang w:val="en-US"/>
        </w:rPr>
        <w:t xml:space="preserve"> </w:t>
      </w:r>
    </w:p>
    <w:p w14:paraId="1B1C87A5" w14:textId="5B8CA633" w:rsidR="00457858" w:rsidRPr="00C43CA9" w:rsidRDefault="00457858" w:rsidP="00206B4F">
      <w:pPr>
        <w:pStyle w:val="ListParagraph"/>
        <w:numPr>
          <w:ilvl w:val="0"/>
          <w:numId w:val="37"/>
        </w:numPr>
        <w:spacing w:after="0" w:line="240" w:lineRule="auto"/>
        <w:jc w:val="left"/>
        <w:rPr>
          <w:rFonts w:eastAsia="Times New Roman"/>
          <w:color w:val="000000"/>
          <w:sz w:val="20"/>
          <w:lang w:val="en-US"/>
        </w:rPr>
      </w:pPr>
      <w:r w:rsidRPr="00C43CA9">
        <w:rPr>
          <w:rFonts w:eastAsia="Times New Roman"/>
          <w:color w:val="000000"/>
          <w:sz w:val="20"/>
          <w:lang w:val="en-US"/>
        </w:rPr>
        <w:t>Phase 3: Level 3 Text Blocks</w:t>
      </w:r>
      <w:r w:rsidR="00E55C90" w:rsidRPr="00C43CA9">
        <w:rPr>
          <w:rFonts w:eastAsia="Times New Roman"/>
          <w:color w:val="000000"/>
          <w:sz w:val="20"/>
          <w:lang w:val="en-US"/>
        </w:rPr>
        <w:t xml:space="preserve">  </w:t>
      </w:r>
    </w:p>
    <w:p w14:paraId="17F4E430" w14:textId="77777777" w:rsidR="00457858" w:rsidRPr="00C43CA9" w:rsidRDefault="00457858" w:rsidP="00E55C90">
      <w:pPr>
        <w:spacing w:after="0" w:line="240" w:lineRule="auto"/>
        <w:jc w:val="left"/>
        <w:rPr>
          <w:rFonts w:eastAsia="Times New Roman"/>
          <w:color w:val="000000"/>
          <w:sz w:val="20"/>
          <w:lang w:val="en-US"/>
        </w:rPr>
      </w:pPr>
    </w:p>
    <w:p w14:paraId="6AB8FBE2" w14:textId="77777777" w:rsidR="00A90A11" w:rsidRPr="00A90A11" w:rsidRDefault="00A90A11" w:rsidP="00A90A11">
      <w:pPr>
        <w:spacing w:after="0" w:line="240" w:lineRule="auto"/>
        <w:jc w:val="left"/>
        <w:rPr>
          <w:rFonts w:ascii="Times New Roman" w:eastAsia="Times New Roman" w:hAnsi="Times New Roman" w:cs="Times New Roman"/>
          <w:color w:val="auto"/>
          <w:sz w:val="24"/>
          <w:szCs w:val="24"/>
          <w:lang w:val="en-US"/>
        </w:rPr>
      </w:pPr>
      <w:r w:rsidRPr="00A90A11">
        <w:rPr>
          <w:rFonts w:eastAsia="Times New Roman"/>
          <w:color w:val="000000"/>
          <w:sz w:val="20"/>
          <w:lang w:val="en-US"/>
        </w:rPr>
        <w:t>While we understand the text block leveling aligns to the hierarchy of the standards, however, as the disclosures are often not organized in the exact same fashion as the standards, not numbered, and may be dispersed, it would likely require careful review of the disclosures to distinguish what falls within the scope of Level 2 vs Level 3. During Phase 2, filers looking to implement the Level 2 Text Blocks will need to do a thorough analysis to determine what applies in Phase 2 vs. Phase 3. The incremental effort to apply both text blocks together is relatively minimal once that decision is made, especially when using integrated XBRL solutions. It may be more efficient to apply the tagging at the same time instead of deferring, especially to a much later phase, increasing the chances of having to re-evaluate the disclosures for proper tagging. Therefore, we recommend allowing an option to implement both levels during the same phase. </w:t>
      </w:r>
    </w:p>
    <w:p w14:paraId="55A402AA" w14:textId="77777777" w:rsidR="00A90A11" w:rsidRPr="00A90A11" w:rsidRDefault="00A90A11" w:rsidP="00A90A11">
      <w:pPr>
        <w:spacing w:after="0" w:line="240" w:lineRule="auto"/>
        <w:jc w:val="left"/>
        <w:rPr>
          <w:rFonts w:ascii="Times New Roman" w:eastAsia="Times New Roman" w:hAnsi="Times New Roman" w:cs="Times New Roman"/>
          <w:color w:val="auto"/>
          <w:sz w:val="24"/>
          <w:szCs w:val="24"/>
          <w:lang w:val="en-US"/>
        </w:rPr>
      </w:pPr>
    </w:p>
    <w:p w14:paraId="10070D60" w14:textId="77777777" w:rsidR="00A90A11" w:rsidRPr="00A90A11" w:rsidRDefault="00A90A11" w:rsidP="00A90A11">
      <w:pPr>
        <w:spacing w:after="0" w:line="240" w:lineRule="auto"/>
        <w:jc w:val="left"/>
        <w:rPr>
          <w:rFonts w:ascii="Times New Roman" w:eastAsia="Times New Roman" w:hAnsi="Times New Roman" w:cs="Times New Roman"/>
          <w:color w:val="auto"/>
          <w:sz w:val="24"/>
          <w:szCs w:val="24"/>
          <w:lang w:val="en-US"/>
        </w:rPr>
      </w:pPr>
      <w:r w:rsidRPr="00A90A11">
        <w:rPr>
          <w:rFonts w:eastAsia="Times New Roman"/>
          <w:color w:val="000000"/>
          <w:sz w:val="20"/>
          <w:lang w:val="en-US"/>
        </w:rPr>
        <w:t>Further, as semi-narrative disclosures are currently proposed to be marked up during Phase 2, allowing early adopting Phase 3 could further increase efficiency, potentially enabling software to automate semi-narrative based on level 3 Text Block application. </w:t>
      </w:r>
    </w:p>
    <w:p w14:paraId="7998D8A3" w14:textId="77777777" w:rsidR="00A90A11" w:rsidRPr="00A90A11" w:rsidRDefault="00A90A11" w:rsidP="00A90A11">
      <w:pPr>
        <w:spacing w:after="0" w:line="240" w:lineRule="auto"/>
        <w:jc w:val="left"/>
        <w:rPr>
          <w:rFonts w:ascii="Times New Roman" w:eastAsia="Times New Roman" w:hAnsi="Times New Roman" w:cs="Times New Roman"/>
          <w:color w:val="auto"/>
          <w:sz w:val="24"/>
          <w:szCs w:val="24"/>
          <w:lang w:val="en-US"/>
        </w:rPr>
      </w:pPr>
    </w:p>
    <w:p w14:paraId="2F4B7CE0" w14:textId="07DCB333" w:rsidR="007D4F05" w:rsidRPr="00C43CA9" w:rsidRDefault="00A90A11" w:rsidP="006A73EA">
      <w:pPr>
        <w:spacing w:after="0" w:line="240" w:lineRule="auto"/>
        <w:jc w:val="left"/>
        <w:rPr>
          <w:rFonts w:ascii="Times New Roman" w:eastAsia="Times New Roman" w:hAnsi="Times New Roman" w:cs="Times New Roman"/>
          <w:color w:val="auto"/>
          <w:sz w:val="24"/>
          <w:szCs w:val="24"/>
          <w:lang w:val="en-US"/>
        </w:rPr>
      </w:pPr>
      <w:r w:rsidRPr="00A90A11">
        <w:rPr>
          <w:rFonts w:eastAsia="Times New Roman"/>
          <w:color w:val="000000"/>
          <w:sz w:val="20"/>
          <w:lang w:val="en-US"/>
        </w:rPr>
        <w:t>It was further noted in the consultation paper that with Phase 3, if all disclosures are now covered within Level 2 and Level 3 Text Blocks, that the Level 1 Text Block can be removed to avoid excessive multi-tagging. While we understand the potential benefits of reducing overlaps, since the level 1 tagging would have already been applied, it may increase burden to filers to re-evaluate whether to un-do that work. We recommend that ESMA consider allowing the Level 1 Text Block removal optionally</w:t>
      </w:r>
      <w:r w:rsidR="006A73EA" w:rsidRPr="00C43CA9">
        <w:rPr>
          <w:rFonts w:eastAsia="Times New Roman"/>
          <w:color w:val="000000"/>
          <w:sz w:val="20"/>
          <w:lang w:val="en-US"/>
        </w:rPr>
        <w:t>.</w:t>
      </w:r>
    </w:p>
    <w:permEnd w:id="91707497"/>
    <w:p w14:paraId="7E026CF2" w14:textId="77777777" w:rsidR="007D4F05" w:rsidRPr="00C43CA9" w:rsidRDefault="007D4F05" w:rsidP="007D4F05">
      <w:pPr>
        <w:spacing w:after="0"/>
        <w:rPr>
          <w:sz w:val="20"/>
          <w:szCs w:val="18"/>
        </w:rPr>
      </w:pPr>
      <w:r w:rsidRPr="00C43CA9">
        <w:rPr>
          <w:sz w:val="20"/>
          <w:szCs w:val="18"/>
        </w:rPr>
        <w:t>&lt;ESMA_QUESTION_ESEFEEAP_04&gt;</w:t>
      </w:r>
    </w:p>
    <w:p w14:paraId="15889A69" w14:textId="3E1A7C5F" w:rsidR="007D4F05" w:rsidRPr="00C43CA9" w:rsidRDefault="007D4F05" w:rsidP="007D4F05">
      <w:pPr>
        <w:spacing w:after="0" w:line="240" w:lineRule="auto"/>
        <w:jc w:val="left"/>
        <w:rPr>
          <w:rFonts w:eastAsia="Times New Roman"/>
          <w:color w:val="auto"/>
          <w:szCs w:val="22"/>
          <w:lang w:eastAsia="en-GB"/>
        </w:rPr>
      </w:pPr>
    </w:p>
    <w:p w14:paraId="7F00B39C" w14:textId="77777777" w:rsidR="007D4F05" w:rsidRPr="00C43CA9" w:rsidRDefault="007D4F05" w:rsidP="007D4F05">
      <w:pPr>
        <w:spacing w:after="0" w:line="240" w:lineRule="auto"/>
        <w:jc w:val="left"/>
        <w:rPr>
          <w:rFonts w:eastAsia="Times New Roman"/>
          <w:color w:val="auto"/>
          <w:szCs w:val="22"/>
          <w:lang w:eastAsia="en-GB"/>
        </w:rPr>
      </w:pPr>
      <w:r w:rsidRPr="00C43CA9">
        <w:rPr>
          <w:rFonts w:eastAsia="Times New Roman"/>
          <w:b/>
          <w:bCs/>
          <w:color w:val="auto"/>
          <w:szCs w:val="22"/>
          <w:lang w:eastAsia="en-GB"/>
        </w:rPr>
        <w:t>Question 5:</w:t>
      </w:r>
      <w:r w:rsidRPr="00C43CA9">
        <w:rPr>
          <w:rFonts w:eastAsia="Times New Roman"/>
          <w:color w:val="auto"/>
          <w:szCs w:val="22"/>
          <w:lang w:eastAsia="en-GB"/>
        </w:rPr>
        <w:t xml:space="preserve"> Do you think it is necessary to establish a clear timeline and content for each phase from the outset? If not, please explain your reasons and propose alternative approaches. </w:t>
      </w:r>
    </w:p>
    <w:p w14:paraId="20438CBB" w14:textId="77777777" w:rsidR="007D4F05" w:rsidRPr="00C43CA9" w:rsidRDefault="007D4F05" w:rsidP="007D4F05">
      <w:pPr>
        <w:spacing w:after="0"/>
        <w:rPr>
          <w:sz w:val="20"/>
          <w:szCs w:val="18"/>
        </w:rPr>
      </w:pPr>
      <w:r w:rsidRPr="00C43CA9">
        <w:rPr>
          <w:rFonts w:eastAsia="Times New Roman"/>
          <w:color w:val="auto"/>
          <w:szCs w:val="22"/>
          <w:lang w:eastAsia="en-GB"/>
        </w:rPr>
        <w:br/>
      </w:r>
      <w:r w:rsidRPr="00C43CA9">
        <w:rPr>
          <w:sz w:val="20"/>
          <w:szCs w:val="18"/>
        </w:rPr>
        <w:t>&lt;ESMA_QUESTION_ESEFEEAP_05&gt;</w:t>
      </w:r>
    </w:p>
    <w:p w14:paraId="5A7A9FE6" w14:textId="3285F338" w:rsidR="007D4F05" w:rsidRPr="00C43CA9" w:rsidRDefault="006A73EA" w:rsidP="007D4F05">
      <w:pPr>
        <w:spacing w:after="0"/>
        <w:rPr>
          <w:sz w:val="20"/>
          <w:szCs w:val="18"/>
        </w:rPr>
      </w:pPr>
      <w:permStart w:id="1008013103" w:edGrp="everyone"/>
      <w:r w:rsidRPr="00C43CA9">
        <w:rPr>
          <w:sz w:val="20"/>
          <w:szCs w:val="18"/>
        </w:rPr>
        <w:t>Yes, we believe t</w:t>
      </w:r>
      <w:r w:rsidR="0078646D" w:rsidRPr="00C43CA9">
        <w:rPr>
          <w:sz w:val="20"/>
          <w:szCs w:val="18"/>
        </w:rPr>
        <w:t xml:space="preserve">his is very important </w:t>
      </w:r>
      <w:r w:rsidRPr="00C43CA9">
        <w:rPr>
          <w:sz w:val="20"/>
          <w:szCs w:val="18"/>
        </w:rPr>
        <w:t xml:space="preserve">for </w:t>
      </w:r>
      <w:r w:rsidR="0078646D" w:rsidRPr="00C43CA9">
        <w:rPr>
          <w:sz w:val="20"/>
          <w:szCs w:val="18"/>
        </w:rPr>
        <w:t>planning and budgeting, capacity building, service scheduling to ensure compliance readiness</w:t>
      </w:r>
      <w:r w:rsidRPr="00C43CA9">
        <w:rPr>
          <w:sz w:val="20"/>
          <w:szCs w:val="18"/>
        </w:rPr>
        <w:t>.</w:t>
      </w:r>
    </w:p>
    <w:permEnd w:id="1008013103"/>
    <w:p w14:paraId="2D551CB6" w14:textId="77777777" w:rsidR="007D4F05" w:rsidRPr="00C43CA9" w:rsidRDefault="007D4F05" w:rsidP="007D4F05">
      <w:pPr>
        <w:spacing w:after="0"/>
        <w:rPr>
          <w:sz w:val="20"/>
          <w:szCs w:val="18"/>
        </w:rPr>
      </w:pPr>
      <w:r w:rsidRPr="00C43CA9">
        <w:rPr>
          <w:sz w:val="20"/>
          <w:szCs w:val="18"/>
        </w:rPr>
        <w:t>&lt;ESMA_QUESTION_ESEFEEAP_05&gt;</w:t>
      </w:r>
    </w:p>
    <w:p w14:paraId="3498679E" w14:textId="353B4A02" w:rsidR="007D4F05" w:rsidRPr="00C43CA9" w:rsidRDefault="007D4F05" w:rsidP="007D4F05">
      <w:pPr>
        <w:spacing w:after="0" w:line="240" w:lineRule="auto"/>
        <w:jc w:val="left"/>
        <w:rPr>
          <w:rFonts w:eastAsia="Times New Roman"/>
          <w:color w:val="auto"/>
          <w:szCs w:val="22"/>
          <w:lang w:eastAsia="en-GB"/>
        </w:rPr>
      </w:pPr>
    </w:p>
    <w:p w14:paraId="7A01C9AF" w14:textId="77777777" w:rsidR="007D4F05" w:rsidRPr="00C43CA9" w:rsidRDefault="007D4F05" w:rsidP="007D4F05">
      <w:pPr>
        <w:spacing w:after="0" w:line="240" w:lineRule="auto"/>
        <w:jc w:val="left"/>
        <w:rPr>
          <w:rFonts w:eastAsia="Times New Roman"/>
          <w:color w:val="auto"/>
          <w:szCs w:val="22"/>
          <w:lang w:eastAsia="en-GB"/>
        </w:rPr>
      </w:pPr>
      <w:r w:rsidRPr="00C43CA9">
        <w:rPr>
          <w:rFonts w:eastAsia="Times New Roman"/>
          <w:b/>
          <w:bCs/>
          <w:color w:val="auto"/>
          <w:szCs w:val="22"/>
          <w:lang w:eastAsia="en-GB"/>
        </w:rPr>
        <w:t>Question 6:</w:t>
      </w:r>
      <w:r w:rsidRPr="00C43CA9">
        <w:rPr>
          <w:rFonts w:eastAsia="Times New Roman"/>
          <w:color w:val="auto"/>
          <w:szCs w:val="22"/>
          <w:lang w:eastAsia="en-GB"/>
        </w:rPr>
        <w:t xml:space="preserve"> Do you agree with the approach to limit the creation of extension taxonomy elements for marking up sustainably reports? If not, please explain your reasons and suggest alternative approaches. </w:t>
      </w:r>
    </w:p>
    <w:p w14:paraId="5EB4C9BA" w14:textId="77777777" w:rsidR="007D4F05" w:rsidRPr="00C43CA9" w:rsidRDefault="007D4F05" w:rsidP="007D4F05">
      <w:pPr>
        <w:spacing w:after="0" w:line="240" w:lineRule="auto"/>
        <w:jc w:val="left"/>
        <w:rPr>
          <w:rFonts w:eastAsia="Times New Roman"/>
          <w:color w:val="auto"/>
          <w:szCs w:val="22"/>
          <w:lang w:eastAsia="en-GB"/>
        </w:rPr>
      </w:pPr>
    </w:p>
    <w:p w14:paraId="0B3454DF" w14:textId="77777777" w:rsidR="007D4F05" w:rsidRPr="00C43CA9" w:rsidRDefault="007D4F05" w:rsidP="007D4F05">
      <w:pPr>
        <w:spacing w:after="0"/>
        <w:rPr>
          <w:sz w:val="20"/>
          <w:szCs w:val="18"/>
        </w:rPr>
      </w:pPr>
      <w:r w:rsidRPr="00C43CA9">
        <w:rPr>
          <w:sz w:val="20"/>
          <w:szCs w:val="18"/>
        </w:rPr>
        <w:t>&lt;ESMA_QUESTION_ESEFEEAP_06&gt;</w:t>
      </w:r>
    </w:p>
    <w:p w14:paraId="71A8936D" w14:textId="4D0F2009" w:rsidR="007D4F05" w:rsidRPr="00C43CA9" w:rsidRDefault="006A73EA" w:rsidP="007D4F05">
      <w:pPr>
        <w:spacing w:after="0"/>
        <w:rPr>
          <w:sz w:val="20"/>
          <w:szCs w:val="18"/>
        </w:rPr>
      </w:pPr>
      <w:permStart w:id="772892299" w:edGrp="everyone"/>
      <w:r w:rsidRPr="00C43CA9">
        <w:rPr>
          <w:sz w:val="20"/>
          <w:szCs w:val="18"/>
        </w:rPr>
        <w:t>We support the pr</w:t>
      </w:r>
      <w:r w:rsidR="0078646D" w:rsidRPr="00C43CA9">
        <w:rPr>
          <w:sz w:val="20"/>
          <w:szCs w:val="18"/>
        </w:rPr>
        <w:t>inciple of limiting extensions.</w:t>
      </w:r>
      <w:r w:rsidRPr="00C43CA9">
        <w:rPr>
          <w:sz w:val="20"/>
          <w:szCs w:val="18"/>
        </w:rPr>
        <w:t xml:space="preserve"> ESMA can further support the filing communities with </w:t>
      </w:r>
      <w:r w:rsidR="0078646D" w:rsidRPr="00C43CA9">
        <w:rPr>
          <w:sz w:val="20"/>
          <w:szCs w:val="18"/>
        </w:rPr>
        <w:t>practical</w:t>
      </w:r>
      <w:r w:rsidRPr="00C43CA9">
        <w:rPr>
          <w:sz w:val="20"/>
          <w:szCs w:val="18"/>
        </w:rPr>
        <w:t xml:space="preserve"> examples of when and when not to create extensions</w:t>
      </w:r>
      <w:r w:rsidR="0078646D" w:rsidRPr="00C43CA9">
        <w:rPr>
          <w:sz w:val="20"/>
          <w:szCs w:val="18"/>
        </w:rPr>
        <w:t xml:space="preserve"> to reduce ambiguity and increase consistency and data comparability</w:t>
      </w:r>
      <w:r w:rsidRPr="00C43CA9">
        <w:rPr>
          <w:sz w:val="20"/>
          <w:szCs w:val="18"/>
        </w:rPr>
        <w:t>.</w:t>
      </w:r>
    </w:p>
    <w:permEnd w:id="772892299"/>
    <w:p w14:paraId="6B2CA113" w14:textId="77777777" w:rsidR="007D4F05" w:rsidRPr="00C43CA9" w:rsidRDefault="007D4F05" w:rsidP="007D4F05">
      <w:pPr>
        <w:spacing w:after="0"/>
        <w:rPr>
          <w:sz w:val="20"/>
          <w:szCs w:val="18"/>
        </w:rPr>
      </w:pPr>
      <w:r w:rsidRPr="00C43CA9">
        <w:rPr>
          <w:sz w:val="20"/>
          <w:szCs w:val="18"/>
        </w:rPr>
        <w:t>&lt;ESMA_QUESTION_ESEFEEAP_06&gt;</w:t>
      </w:r>
    </w:p>
    <w:p w14:paraId="592B69C6" w14:textId="77777777" w:rsidR="007D4F05" w:rsidRPr="00C43CA9" w:rsidRDefault="007D4F05" w:rsidP="007D4F05">
      <w:pPr>
        <w:spacing w:after="0" w:line="240" w:lineRule="auto"/>
        <w:jc w:val="left"/>
        <w:rPr>
          <w:rFonts w:eastAsia="Times New Roman"/>
          <w:color w:val="auto"/>
          <w:szCs w:val="22"/>
          <w:lang w:eastAsia="en-GB"/>
        </w:rPr>
      </w:pPr>
    </w:p>
    <w:p w14:paraId="001CCD22" w14:textId="23C6B272" w:rsidR="007D4F05" w:rsidRPr="00C43CA9" w:rsidRDefault="007D4F05" w:rsidP="007D4F05">
      <w:pPr>
        <w:spacing w:after="0" w:line="240" w:lineRule="auto"/>
        <w:jc w:val="left"/>
        <w:rPr>
          <w:rFonts w:eastAsia="Times New Roman"/>
          <w:color w:val="auto"/>
          <w:szCs w:val="22"/>
          <w:lang w:eastAsia="en-GB"/>
        </w:rPr>
      </w:pPr>
      <w:r w:rsidRPr="00C43CA9">
        <w:rPr>
          <w:rFonts w:eastAsia="Times New Roman"/>
          <w:b/>
          <w:bCs/>
          <w:color w:val="auto"/>
          <w:szCs w:val="22"/>
          <w:lang w:eastAsia="en-GB"/>
        </w:rPr>
        <w:t>Question 7:</w:t>
      </w:r>
      <w:r w:rsidRPr="00C43CA9">
        <w:rPr>
          <w:rFonts w:eastAsia="Times New Roman"/>
          <w:color w:val="auto"/>
          <w:szCs w:val="22"/>
          <w:lang w:eastAsia="en-GB"/>
        </w:rPr>
        <w:t xml:space="preserve"> Do you agree with the inclusion of a review clause that would trigger stock-taking by ESMA on the need to make necessary adjustments in response to changing circumstances? If not, please explain your reasons. </w:t>
      </w:r>
      <w:r w:rsidRPr="00C43CA9">
        <w:rPr>
          <w:rFonts w:eastAsia="Times New Roman"/>
          <w:color w:val="auto"/>
          <w:szCs w:val="22"/>
          <w:lang w:eastAsia="en-GB"/>
        </w:rPr>
        <w:br/>
      </w:r>
    </w:p>
    <w:p w14:paraId="2DDFDDA5" w14:textId="77777777" w:rsidR="007D4F05" w:rsidRPr="00C43CA9" w:rsidRDefault="007D4F05" w:rsidP="007D4F05">
      <w:pPr>
        <w:spacing w:after="0"/>
        <w:rPr>
          <w:sz w:val="20"/>
          <w:szCs w:val="18"/>
        </w:rPr>
      </w:pPr>
      <w:r w:rsidRPr="00C43CA9">
        <w:rPr>
          <w:sz w:val="20"/>
          <w:szCs w:val="18"/>
        </w:rPr>
        <w:t>&lt;ESMA_QUESTION_ESEFEEAP_07&gt;</w:t>
      </w:r>
    </w:p>
    <w:p w14:paraId="0046D5E4" w14:textId="779C2396" w:rsidR="007D4F05" w:rsidRPr="00C43CA9" w:rsidRDefault="006A73EA" w:rsidP="007D4F05">
      <w:pPr>
        <w:spacing w:after="0"/>
        <w:rPr>
          <w:sz w:val="20"/>
        </w:rPr>
      </w:pPr>
      <w:permStart w:id="638739279" w:edGrp="everyone"/>
      <w:r w:rsidRPr="00C43CA9">
        <w:rPr>
          <w:color w:val="000000"/>
          <w:sz w:val="20"/>
        </w:rPr>
        <w:t>We welcome the inclusion of this review clause as it encourages continued engagemen</w:t>
      </w:r>
      <w:r w:rsidR="00D4503C" w:rsidRPr="00C43CA9">
        <w:rPr>
          <w:color w:val="000000"/>
          <w:sz w:val="20"/>
        </w:rPr>
        <w:t>t</w:t>
      </w:r>
      <w:r w:rsidR="0078646D" w:rsidRPr="00C43CA9">
        <w:rPr>
          <w:color w:val="000000"/>
          <w:sz w:val="20"/>
        </w:rPr>
        <w:t xml:space="preserve"> with the stakeholders to promote</w:t>
      </w:r>
      <w:r w:rsidR="00D4503C" w:rsidRPr="00C43CA9">
        <w:rPr>
          <w:color w:val="000000"/>
          <w:sz w:val="20"/>
        </w:rPr>
        <w:t xml:space="preserve"> digital reporting success</w:t>
      </w:r>
      <w:r w:rsidR="0078646D" w:rsidRPr="00C43CA9">
        <w:rPr>
          <w:color w:val="000000"/>
          <w:sz w:val="20"/>
        </w:rPr>
        <w:t>.</w:t>
      </w:r>
      <w:r w:rsidRPr="00C43CA9">
        <w:rPr>
          <w:color w:val="000000"/>
          <w:sz w:val="20"/>
        </w:rPr>
        <w:t xml:space="preserve"> In </w:t>
      </w:r>
      <w:r w:rsidR="00D4503C" w:rsidRPr="00C43CA9">
        <w:rPr>
          <w:color w:val="000000"/>
          <w:sz w:val="20"/>
        </w:rPr>
        <w:t>conjunction with</w:t>
      </w:r>
      <w:r w:rsidRPr="00C43CA9">
        <w:rPr>
          <w:color w:val="000000"/>
          <w:sz w:val="20"/>
        </w:rPr>
        <w:t xml:space="preserve"> this review clause, we recommend </w:t>
      </w:r>
      <w:r w:rsidR="00D4503C" w:rsidRPr="00C43CA9">
        <w:rPr>
          <w:color w:val="000000"/>
          <w:sz w:val="20"/>
        </w:rPr>
        <w:t>providing</w:t>
      </w:r>
      <w:r w:rsidRPr="00C43CA9">
        <w:rPr>
          <w:color w:val="000000"/>
          <w:sz w:val="20"/>
        </w:rPr>
        <w:t xml:space="preserve"> consultat</w:t>
      </w:r>
      <w:r w:rsidR="005F791A" w:rsidRPr="00C43CA9">
        <w:rPr>
          <w:color w:val="000000"/>
          <w:sz w:val="20"/>
        </w:rPr>
        <w:t xml:space="preserve">ion opportunities on taxonomy updates </w:t>
      </w:r>
      <w:r w:rsidR="0078646D" w:rsidRPr="00C43CA9">
        <w:rPr>
          <w:color w:val="000000"/>
          <w:sz w:val="20"/>
        </w:rPr>
        <w:t>and</w:t>
      </w:r>
      <w:r w:rsidRPr="00C43CA9">
        <w:rPr>
          <w:color w:val="000000"/>
          <w:sz w:val="20"/>
        </w:rPr>
        <w:t xml:space="preserve"> other guidance changes</w:t>
      </w:r>
      <w:r w:rsidR="0005340B" w:rsidRPr="00C43CA9">
        <w:rPr>
          <w:color w:val="000000"/>
          <w:sz w:val="20"/>
        </w:rPr>
        <w:t xml:space="preserve"> ahead of final publication</w:t>
      </w:r>
      <w:r w:rsidR="00554C56" w:rsidRPr="00C43CA9">
        <w:rPr>
          <w:color w:val="000000"/>
          <w:sz w:val="20"/>
        </w:rPr>
        <w:t>, as well as providing additional support via FAQs, webinars, etc</w:t>
      </w:r>
      <w:r w:rsidRPr="00C43CA9">
        <w:rPr>
          <w:color w:val="000000"/>
          <w:sz w:val="20"/>
        </w:rPr>
        <w:t>.</w:t>
      </w:r>
    </w:p>
    <w:permEnd w:id="638739279"/>
    <w:p w14:paraId="3888423A" w14:textId="77777777" w:rsidR="007D4F05" w:rsidRPr="00C43CA9" w:rsidRDefault="007D4F05" w:rsidP="007D4F05">
      <w:pPr>
        <w:spacing w:after="0"/>
        <w:rPr>
          <w:sz w:val="20"/>
          <w:szCs w:val="18"/>
        </w:rPr>
      </w:pPr>
      <w:r w:rsidRPr="00C43CA9">
        <w:rPr>
          <w:sz w:val="20"/>
          <w:szCs w:val="18"/>
        </w:rPr>
        <w:t>&lt;ESMA_QUESTION_ESEFEEAP_07&gt;</w:t>
      </w:r>
    </w:p>
    <w:p w14:paraId="3191A398" w14:textId="4712E468" w:rsidR="007D4F05" w:rsidRPr="00C43CA9" w:rsidRDefault="00206B4F" w:rsidP="006B5DF1">
      <w:pPr>
        <w:rPr>
          <w:sz w:val="20"/>
          <w:szCs w:val="18"/>
        </w:rPr>
      </w:pPr>
      <w:r w:rsidRPr="00C43CA9">
        <w:rPr>
          <w:rFonts w:eastAsia="Times New Roman"/>
          <w:color w:val="auto"/>
          <w:szCs w:val="22"/>
          <w:lang w:eastAsia="en-GB"/>
        </w:rPr>
        <w:pict w14:anchorId="0CC3EFB0">
          <v:rect id="_x0000_i1025" style="width:0;height:1.5pt" o:hralign="center" o:hrstd="t" o:hr="t" fillcolor="#a0a0a0" stroked="f"/>
        </w:pict>
      </w:r>
    </w:p>
    <w:p w14:paraId="64A51968" w14:textId="439C98F4" w:rsidR="007D4F05" w:rsidRPr="00C43CA9" w:rsidRDefault="007D4F05" w:rsidP="002F22C4">
      <w:pPr>
        <w:pStyle w:val="aNEW-Level1"/>
        <w:ind w:left="431" w:hanging="431"/>
        <w:rPr>
          <w:rFonts w:eastAsia="Times New Roman"/>
          <w:color w:val="002060"/>
          <w:lang w:eastAsia="en-GB"/>
        </w:rPr>
      </w:pPr>
      <w:r w:rsidRPr="00C43CA9">
        <w:rPr>
          <w:rFonts w:eastAsia="Times New Roman"/>
          <w:color w:val="00379F" w:themeColor="text1"/>
          <w:lang w:eastAsia="en-GB"/>
        </w:rPr>
        <w:t>Marking up Article 8 sustainability disclosures</w:t>
      </w:r>
    </w:p>
    <w:p w14:paraId="3B7F15ED" w14:textId="3D3305E2" w:rsidR="00AF763D" w:rsidRPr="00C43CA9" w:rsidRDefault="00AF763D" w:rsidP="007D4F05">
      <w:pPr>
        <w:spacing w:after="0" w:line="240" w:lineRule="auto"/>
        <w:jc w:val="left"/>
        <w:rPr>
          <w:rFonts w:eastAsia="Times New Roman"/>
          <w:b/>
          <w:bCs/>
          <w:color w:val="auto"/>
          <w:szCs w:val="22"/>
          <w:lang w:eastAsia="en-GB"/>
        </w:rPr>
      </w:pPr>
    </w:p>
    <w:p w14:paraId="66AC1956" w14:textId="3E577061" w:rsidR="007D4F05" w:rsidRPr="00C43CA9" w:rsidRDefault="007D4F05" w:rsidP="007D4F05">
      <w:pPr>
        <w:spacing w:after="0" w:line="240" w:lineRule="auto"/>
        <w:jc w:val="left"/>
        <w:rPr>
          <w:rFonts w:eastAsia="Times New Roman"/>
          <w:color w:val="auto"/>
          <w:szCs w:val="22"/>
          <w:lang w:eastAsia="en-GB"/>
        </w:rPr>
      </w:pPr>
      <w:r w:rsidRPr="00C43CA9">
        <w:rPr>
          <w:rFonts w:eastAsia="Times New Roman"/>
          <w:b/>
          <w:bCs/>
          <w:color w:val="auto"/>
          <w:szCs w:val="22"/>
          <w:lang w:eastAsia="en-GB"/>
        </w:rPr>
        <w:t>Question 8:</w:t>
      </w:r>
      <w:r w:rsidRPr="00C43CA9">
        <w:rPr>
          <w:rFonts w:eastAsia="Times New Roman"/>
          <w:color w:val="auto"/>
          <w:szCs w:val="22"/>
          <w:lang w:eastAsia="en-GB"/>
        </w:rPr>
        <w:t xml:space="preserve"> Do you agree with having a closed taxonomy for Article 8 sustainability disclosures? If not, please explain your reasons and provide examples on when entity-specific extensions might be necessary. </w:t>
      </w:r>
      <w:r w:rsidRPr="00C43CA9">
        <w:rPr>
          <w:rFonts w:eastAsia="Times New Roman"/>
          <w:color w:val="auto"/>
          <w:szCs w:val="22"/>
          <w:lang w:eastAsia="en-GB"/>
        </w:rPr>
        <w:br/>
      </w:r>
    </w:p>
    <w:p w14:paraId="4D5F0B31" w14:textId="77777777" w:rsidR="006A64ED" w:rsidRPr="00C43CA9" w:rsidRDefault="006A64ED" w:rsidP="006A64ED">
      <w:pPr>
        <w:spacing w:after="0"/>
        <w:rPr>
          <w:sz w:val="20"/>
          <w:szCs w:val="18"/>
        </w:rPr>
      </w:pPr>
      <w:r w:rsidRPr="00C43CA9">
        <w:rPr>
          <w:sz w:val="20"/>
          <w:szCs w:val="18"/>
        </w:rPr>
        <w:t>&lt;ESMA_QUESTION_ESEFEEAP_08&gt;</w:t>
      </w:r>
    </w:p>
    <w:p w14:paraId="523D26C0" w14:textId="77777777" w:rsidR="006A64ED" w:rsidRPr="00C43CA9" w:rsidRDefault="006A64ED" w:rsidP="006A64ED">
      <w:pPr>
        <w:spacing w:after="0"/>
        <w:rPr>
          <w:sz w:val="20"/>
          <w:szCs w:val="18"/>
        </w:rPr>
      </w:pPr>
      <w:permStart w:id="43591955" w:edGrp="everyone"/>
      <w:r w:rsidRPr="00C43CA9">
        <w:rPr>
          <w:sz w:val="20"/>
          <w:szCs w:val="18"/>
        </w:rPr>
        <w:t>TYPE YOUR TEXT HERE</w:t>
      </w:r>
    </w:p>
    <w:permEnd w:id="43591955"/>
    <w:p w14:paraId="0F047D54" w14:textId="77777777" w:rsidR="006A64ED" w:rsidRPr="00C43CA9" w:rsidRDefault="006A64ED" w:rsidP="006A64ED">
      <w:pPr>
        <w:spacing w:after="0"/>
        <w:rPr>
          <w:sz w:val="20"/>
          <w:szCs w:val="18"/>
        </w:rPr>
      </w:pPr>
      <w:r w:rsidRPr="00C43CA9">
        <w:rPr>
          <w:sz w:val="20"/>
          <w:szCs w:val="18"/>
        </w:rPr>
        <w:t>&lt;ESMA_QUESTION_ESEFEEAP_08&gt;</w:t>
      </w:r>
    </w:p>
    <w:p w14:paraId="3C0AF02A" w14:textId="77777777" w:rsidR="00AF763D" w:rsidRPr="00C43CA9" w:rsidRDefault="00AF763D" w:rsidP="007D4F05">
      <w:pPr>
        <w:spacing w:after="0" w:line="240" w:lineRule="auto"/>
        <w:jc w:val="left"/>
        <w:rPr>
          <w:rFonts w:eastAsia="Times New Roman"/>
          <w:b/>
          <w:bCs/>
          <w:color w:val="auto"/>
          <w:szCs w:val="22"/>
          <w:lang w:eastAsia="en-GB"/>
        </w:rPr>
      </w:pPr>
    </w:p>
    <w:p w14:paraId="290EEB37" w14:textId="67D39BC0" w:rsidR="006A64ED" w:rsidRPr="00C43CA9" w:rsidRDefault="007D4F05" w:rsidP="007D4F05">
      <w:pPr>
        <w:spacing w:after="0" w:line="240" w:lineRule="auto"/>
        <w:jc w:val="left"/>
        <w:rPr>
          <w:rFonts w:eastAsia="Times New Roman"/>
          <w:color w:val="auto"/>
          <w:szCs w:val="22"/>
          <w:lang w:eastAsia="en-GB"/>
        </w:rPr>
      </w:pPr>
      <w:r w:rsidRPr="00C43CA9">
        <w:rPr>
          <w:rFonts w:eastAsia="Times New Roman"/>
          <w:b/>
          <w:bCs/>
          <w:color w:val="auto"/>
          <w:szCs w:val="22"/>
          <w:lang w:eastAsia="en-GB"/>
        </w:rPr>
        <w:t>Question 9:</w:t>
      </w:r>
      <w:r w:rsidRPr="00C43CA9">
        <w:rPr>
          <w:rFonts w:eastAsia="Times New Roman"/>
          <w:color w:val="auto"/>
          <w:szCs w:val="22"/>
          <w:lang w:eastAsia="en-GB"/>
        </w:rPr>
        <w:t xml:space="preserve"> Do you agree with the proposed requirement to fully mark up the Article 8 sustainability disclosures without implementing a phased approach in relation to the content of the information to be marked up? Do you agree with only considering a staggered approach based on the type of large undertakings? If not, please explain your reasons and suggest alternative approaches. </w:t>
      </w:r>
    </w:p>
    <w:p w14:paraId="0B560BA1" w14:textId="77777777" w:rsidR="006A64ED" w:rsidRPr="00C43CA9" w:rsidRDefault="006A64ED" w:rsidP="007D4F05">
      <w:pPr>
        <w:spacing w:after="0" w:line="240" w:lineRule="auto"/>
        <w:jc w:val="left"/>
        <w:rPr>
          <w:rFonts w:eastAsia="Times New Roman"/>
          <w:color w:val="auto"/>
          <w:szCs w:val="22"/>
          <w:lang w:eastAsia="en-GB"/>
        </w:rPr>
      </w:pPr>
    </w:p>
    <w:p w14:paraId="579FA0AE" w14:textId="77777777" w:rsidR="006A64ED" w:rsidRPr="00C43CA9" w:rsidRDefault="006A64ED" w:rsidP="006A64ED">
      <w:pPr>
        <w:spacing w:after="0"/>
        <w:rPr>
          <w:sz w:val="20"/>
          <w:szCs w:val="18"/>
        </w:rPr>
      </w:pPr>
      <w:r w:rsidRPr="00C43CA9">
        <w:rPr>
          <w:sz w:val="20"/>
          <w:szCs w:val="18"/>
        </w:rPr>
        <w:t>&lt;ESMA_QUESTION_ESEFEEAP_09&gt;</w:t>
      </w:r>
    </w:p>
    <w:p w14:paraId="21E41585" w14:textId="73217B39" w:rsidR="006A64ED" w:rsidRPr="00C43CA9" w:rsidRDefault="00D163DB" w:rsidP="006A64ED">
      <w:pPr>
        <w:spacing w:after="0"/>
        <w:rPr>
          <w:sz w:val="20"/>
          <w:szCs w:val="18"/>
        </w:rPr>
      </w:pPr>
      <w:permStart w:id="611662945" w:edGrp="everyone"/>
      <w:r w:rsidRPr="00C43CA9">
        <w:rPr>
          <w:sz w:val="20"/>
          <w:szCs w:val="18"/>
        </w:rPr>
        <w:t>Yes, as the Article 8 sustainability disclosures are template-based, the XBRL preparation can follow a structured, standardized conversion approach. Thus, the burden difference between a partial conversion and a full conversion should be negligible.</w:t>
      </w:r>
    </w:p>
    <w:permEnd w:id="611662945"/>
    <w:p w14:paraId="461A4EC8" w14:textId="77777777" w:rsidR="006A64ED" w:rsidRPr="00C43CA9" w:rsidRDefault="006A64ED" w:rsidP="006A64ED">
      <w:pPr>
        <w:spacing w:after="0"/>
        <w:rPr>
          <w:sz w:val="20"/>
          <w:szCs w:val="18"/>
        </w:rPr>
      </w:pPr>
      <w:r w:rsidRPr="00C43CA9">
        <w:rPr>
          <w:sz w:val="20"/>
          <w:szCs w:val="18"/>
        </w:rPr>
        <w:t>&lt;ESMA_QUESTION_ESEFEEAP_09&gt;</w:t>
      </w:r>
    </w:p>
    <w:p w14:paraId="2E4B1B18" w14:textId="7F08DDC0" w:rsidR="007D4F05" w:rsidRPr="00C43CA9" w:rsidRDefault="007D4F05" w:rsidP="007D4F05">
      <w:pPr>
        <w:spacing w:after="0" w:line="240" w:lineRule="auto"/>
        <w:jc w:val="left"/>
        <w:rPr>
          <w:rFonts w:eastAsia="Times New Roman"/>
          <w:color w:val="auto"/>
          <w:szCs w:val="22"/>
          <w:lang w:eastAsia="en-GB"/>
        </w:rPr>
      </w:pPr>
    </w:p>
    <w:p w14:paraId="125B45AF" w14:textId="3D6F044D" w:rsidR="007D4F05" w:rsidRPr="00C43CA9" w:rsidRDefault="007D4F05" w:rsidP="007D4F05">
      <w:pPr>
        <w:spacing w:after="0" w:line="240" w:lineRule="auto"/>
        <w:jc w:val="left"/>
        <w:rPr>
          <w:rFonts w:eastAsia="Times New Roman"/>
          <w:color w:val="auto"/>
          <w:szCs w:val="22"/>
          <w:lang w:eastAsia="en-GB"/>
        </w:rPr>
      </w:pPr>
      <w:r w:rsidRPr="00C43CA9">
        <w:rPr>
          <w:rFonts w:eastAsia="Times New Roman"/>
          <w:b/>
          <w:bCs/>
          <w:color w:val="auto"/>
          <w:szCs w:val="22"/>
          <w:lang w:eastAsia="en-GB"/>
        </w:rPr>
        <w:t>Question 10:</w:t>
      </w:r>
      <w:r w:rsidRPr="00C43CA9">
        <w:rPr>
          <w:rFonts w:eastAsia="Times New Roman"/>
          <w:color w:val="auto"/>
          <w:szCs w:val="22"/>
          <w:lang w:eastAsia="en-GB"/>
        </w:rPr>
        <w:t xml:space="preserve"> Do you support the requirement to mark up the Article 8 sustainability disclosures for the same financial year or the following financial year depending on the publication of the RTS on ESEF in the OJ and align it with the sustainability marking up? If not, please provide your reasons and suggest alternative approaches. </w:t>
      </w:r>
      <w:r w:rsidRPr="00C43CA9">
        <w:rPr>
          <w:rFonts w:eastAsia="Times New Roman"/>
          <w:color w:val="auto"/>
          <w:szCs w:val="22"/>
          <w:lang w:eastAsia="en-GB"/>
        </w:rPr>
        <w:br/>
      </w:r>
    </w:p>
    <w:p w14:paraId="4552F768" w14:textId="77777777" w:rsidR="006A64ED" w:rsidRPr="00C43CA9" w:rsidRDefault="006A64ED" w:rsidP="006A64ED">
      <w:pPr>
        <w:spacing w:after="0"/>
        <w:rPr>
          <w:sz w:val="20"/>
          <w:szCs w:val="18"/>
        </w:rPr>
      </w:pPr>
      <w:r w:rsidRPr="00C43CA9">
        <w:rPr>
          <w:sz w:val="20"/>
          <w:szCs w:val="18"/>
        </w:rPr>
        <w:t>&lt;ESMA_QUESTION_ESEFEEAP_10&gt;</w:t>
      </w:r>
    </w:p>
    <w:p w14:paraId="1AEA2D2C" w14:textId="13F9351D" w:rsidR="006A64ED" w:rsidRPr="00C43CA9" w:rsidRDefault="000E7337" w:rsidP="006A64ED">
      <w:pPr>
        <w:spacing w:after="0"/>
        <w:rPr>
          <w:sz w:val="20"/>
          <w:szCs w:val="18"/>
        </w:rPr>
      </w:pPr>
      <w:permStart w:id="2102669281" w:edGrp="everyone"/>
      <w:r w:rsidRPr="00C43CA9">
        <w:rPr>
          <w:color w:val="181818"/>
          <w:sz w:val="20"/>
        </w:rPr>
        <w:t>Please see our answer to question 2. Uncertainty in time lines affects implementation for all stakeholders.</w:t>
      </w:r>
    </w:p>
    <w:permEnd w:id="2102669281"/>
    <w:p w14:paraId="24D3A30A" w14:textId="77777777" w:rsidR="006A64ED" w:rsidRPr="00C43CA9" w:rsidRDefault="006A64ED" w:rsidP="006A64ED">
      <w:pPr>
        <w:spacing w:after="0"/>
        <w:rPr>
          <w:sz w:val="20"/>
          <w:szCs w:val="18"/>
        </w:rPr>
      </w:pPr>
      <w:r w:rsidRPr="00C43CA9">
        <w:rPr>
          <w:sz w:val="20"/>
          <w:szCs w:val="18"/>
        </w:rPr>
        <w:t>&lt;ESMA_QUESTION_ESEFEEAP_10&gt;</w:t>
      </w:r>
    </w:p>
    <w:p w14:paraId="52E17F68" w14:textId="77777777" w:rsidR="006A64ED" w:rsidRPr="00C43CA9" w:rsidRDefault="006A64ED" w:rsidP="007D4F05">
      <w:pPr>
        <w:spacing w:after="0" w:line="240" w:lineRule="auto"/>
        <w:jc w:val="left"/>
        <w:rPr>
          <w:rFonts w:eastAsia="Times New Roman"/>
          <w:color w:val="auto"/>
          <w:szCs w:val="22"/>
          <w:lang w:eastAsia="en-GB"/>
        </w:rPr>
      </w:pPr>
    </w:p>
    <w:p w14:paraId="56A18A47" w14:textId="0AAC45D1" w:rsidR="006A64ED" w:rsidRPr="00C43CA9" w:rsidRDefault="007D4F05" w:rsidP="006A64ED">
      <w:pPr>
        <w:spacing w:after="0" w:line="240" w:lineRule="auto"/>
        <w:jc w:val="left"/>
        <w:rPr>
          <w:rFonts w:eastAsia="Times New Roman"/>
          <w:color w:val="auto"/>
          <w:szCs w:val="22"/>
          <w:lang w:eastAsia="en-GB"/>
        </w:rPr>
      </w:pPr>
      <w:r w:rsidRPr="00C43CA9">
        <w:rPr>
          <w:rFonts w:eastAsia="Times New Roman"/>
          <w:b/>
          <w:bCs/>
          <w:color w:val="auto"/>
          <w:szCs w:val="22"/>
          <w:lang w:eastAsia="en-GB"/>
        </w:rPr>
        <w:lastRenderedPageBreak/>
        <w:t>Question 11:</w:t>
      </w:r>
      <w:r w:rsidRPr="00C43CA9">
        <w:rPr>
          <w:rFonts w:eastAsia="Times New Roman"/>
          <w:color w:val="auto"/>
          <w:szCs w:val="22"/>
          <w:lang w:eastAsia="en-GB"/>
        </w:rPr>
        <w:t xml:space="preserve"> Do you agree with the inclusion of a review clause that would trigger stock-taking by ESMA to consider any necessary adjustments in response to the evolving circumstances? If not, please provide your reasons. </w:t>
      </w:r>
      <w:r w:rsidRPr="00C43CA9">
        <w:rPr>
          <w:rFonts w:eastAsia="Times New Roman"/>
          <w:color w:val="auto"/>
          <w:szCs w:val="22"/>
          <w:lang w:eastAsia="en-GB"/>
        </w:rPr>
        <w:br/>
      </w:r>
    </w:p>
    <w:p w14:paraId="0E42B13E" w14:textId="77777777" w:rsidR="006A64ED" w:rsidRPr="00C43CA9" w:rsidRDefault="006A64ED" w:rsidP="006A64ED">
      <w:pPr>
        <w:spacing w:after="0"/>
        <w:rPr>
          <w:sz w:val="20"/>
          <w:szCs w:val="18"/>
        </w:rPr>
      </w:pPr>
      <w:r w:rsidRPr="00C43CA9">
        <w:rPr>
          <w:sz w:val="20"/>
          <w:szCs w:val="18"/>
        </w:rPr>
        <w:t>&lt;ESMA_QUESTION_ESEFEEAP_11&gt;</w:t>
      </w:r>
    </w:p>
    <w:p w14:paraId="2F965D22" w14:textId="3C0E354B" w:rsidR="006A64ED" w:rsidRPr="00C43CA9" w:rsidRDefault="00554C56" w:rsidP="006A64ED">
      <w:pPr>
        <w:spacing w:after="0"/>
        <w:rPr>
          <w:sz w:val="20"/>
          <w:szCs w:val="18"/>
        </w:rPr>
      </w:pPr>
      <w:permStart w:id="74010525" w:edGrp="everyone"/>
      <w:r w:rsidRPr="00C43CA9">
        <w:rPr>
          <w:sz w:val="20"/>
          <w:szCs w:val="18"/>
        </w:rPr>
        <w:t>Please see Question 7 above</w:t>
      </w:r>
      <w:r w:rsidR="005F791A" w:rsidRPr="00C43CA9">
        <w:rPr>
          <w:sz w:val="20"/>
          <w:szCs w:val="18"/>
        </w:rPr>
        <w:t>.</w:t>
      </w:r>
    </w:p>
    <w:permEnd w:id="74010525"/>
    <w:p w14:paraId="367FB160" w14:textId="77777777" w:rsidR="006A64ED" w:rsidRPr="00C43CA9" w:rsidRDefault="006A64ED" w:rsidP="006A64ED">
      <w:pPr>
        <w:spacing w:after="0"/>
        <w:rPr>
          <w:sz w:val="20"/>
          <w:szCs w:val="18"/>
        </w:rPr>
      </w:pPr>
      <w:r w:rsidRPr="00C43CA9">
        <w:rPr>
          <w:sz w:val="20"/>
          <w:szCs w:val="18"/>
        </w:rPr>
        <w:t>&lt;ESMA_QUESTION_ESEFEEAP_11&gt;</w:t>
      </w:r>
    </w:p>
    <w:p w14:paraId="7BBB58D3" w14:textId="42CA3D02" w:rsidR="006B5DF1" w:rsidRPr="00C43CA9" w:rsidRDefault="00206B4F" w:rsidP="006B5DF1">
      <w:pPr>
        <w:rPr>
          <w:sz w:val="20"/>
          <w:szCs w:val="18"/>
          <w:lang w:val="en-US"/>
        </w:rPr>
      </w:pPr>
      <w:r w:rsidRPr="00C43CA9">
        <w:rPr>
          <w:rFonts w:eastAsia="Times New Roman"/>
          <w:color w:val="auto"/>
          <w:szCs w:val="22"/>
          <w:lang w:eastAsia="en-GB"/>
        </w:rPr>
        <w:pict w14:anchorId="301C2528">
          <v:rect id="_x0000_i1026" style="width:0;height:1.5pt" o:hralign="center" o:hrstd="t" o:hr="t" fillcolor="#a0a0a0" stroked="f"/>
        </w:pict>
      </w:r>
    </w:p>
    <w:p w14:paraId="64497A49" w14:textId="631ACBCB" w:rsidR="006A64ED" w:rsidRPr="00C43CA9" w:rsidRDefault="006A64ED" w:rsidP="006A64ED">
      <w:pPr>
        <w:pStyle w:val="aNEW-Level1"/>
        <w:ind w:left="431" w:hanging="431"/>
        <w:rPr>
          <w:rFonts w:eastAsia="Times New Roman"/>
          <w:color w:val="00379F" w:themeColor="text1"/>
          <w:lang w:eastAsia="en-GB"/>
        </w:rPr>
      </w:pPr>
      <w:r w:rsidRPr="00C43CA9">
        <w:rPr>
          <w:rFonts w:eastAsia="Times New Roman"/>
          <w:color w:val="00379F" w:themeColor="text1"/>
          <w:lang w:eastAsia="en-GB"/>
        </w:rPr>
        <w:t>Common technical aspects: incorporating the ESRS and Article 8 digital taxonomies into the ESEF taxonomy framework</w:t>
      </w:r>
    </w:p>
    <w:p w14:paraId="459C474D" w14:textId="77777777" w:rsidR="006A64ED" w:rsidRPr="00C43CA9" w:rsidRDefault="006A64ED" w:rsidP="006A64ED">
      <w:pPr>
        <w:spacing w:after="0" w:line="240" w:lineRule="auto"/>
        <w:jc w:val="left"/>
        <w:rPr>
          <w:rFonts w:eastAsia="Times New Roman"/>
          <w:color w:val="auto"/>
          <w:szCs w:val="22"/>
          <w:lang w:eastAsia="en-GB"/>
        </w:rPr>
      </w:pPr>
    </w:p>
    <w:p w14:paraId="02437022" w14:textId="2C6BC947" w:rsidR="006A64ED" w:rsidRPr="00C43CA9" w:rsidRDefault="006A64ED" w:rsidP="006A64ED">
      <w:pPr>
        <w:spacing w:after="0" w:line="240" w:lineRule="auto"/>
        <w:jc w:val="left"/>
        <w:rPr>
          <w:rFonts w:eastAsia="Times New Roman"/>
          <w:color w:val="auto"/>
          <w:szCs w:val="22"/>
          <w:lang w:eastAsia="en-GB"/>
        </w:rPr>
      </w:pPr>
      <w:r w:rsidRPr="00C43CA9">
        <w:rPr>
          <w:rFonts w:eastAsia="Times New Roman"/>
          <w:b/>
          <w:bCs/>
          <w:color w:val="auto"/>
          <w:szCs w:val="22"/>
          <w:lang w:eastAsia="en-GB"/>
        </w:rPr>
        <w:t>Question 12:</w:t>
      </w:r>
      <w:r w:rsidRPr="00C43CA9">
        <w:rPr>
          <w:rFonts w:eastAsia="Times New Roman"/>
          <w:color w:val="auto"/>
          <w:szCs w:val="22"/>
          <w:lang w:eastAsia="en-GB"/>
        </w:rPr>
        <w:t xml:space="preserve"> Do you agree with the technical approach followed by ESMA with regards to incorporating ESRS and Article 8 digital taxonomies from EFRAG into the ESEF taxonomy framework? </w:t>
      </w:r>
      <w:r w:rsidRPr="00C43CA9">
        <w:rPr>
          <w:rFonts w:eastAsia="Times New Roman"/>
          <w:color w:val="auto"/>
          <w:szCs w:val="22"/>
          <w:lang w:eastAsia="en-GB"/>
        </w:rPr>
        <w:br/>
      </w:r>
    </w:p>
    <w:p w14:paraId="2ABA2AE5" w14:textId="77777777" w:rsidR="006A64ED" w:rsidRPr="00C43CA9" w:rsidRDefault="006A64ED" w:rsidP="006A64ED">
      <w:pPr>
        <w:spacing w:after="0"/>
        <w:rPr>
          <w:sz w:val="20"/>
          <w:szCs w:val="18"/>
        </w:rPr>
      </w:pPr>
      <w:r w:rsidRPr="00C43CA9">
        <w:rPr>
          <w:sz w:val="20"/>
          <w:szCs w:val="18"/>
        </w:rPr>
        <w:t>&lt;ESMA_QUESTION_ESEFEEAP_12&gt;</w:t>
      </w:r>
    </w:p>
    <w:p w14:paraId="430C5F52" w14:textId="4C722F86" w:rsidR="006A64ED" w:rsidRPr="00C43CA9" w:rsidRDefault="0025388A" w:rsidP="006A64ED">
      <w:pPr>
        <w:spacing w:after="0"/>
        <w:rPr>
          <w:sz w:val="20"/>
          <w:szCs w:val="18"/>
        </w:rPr>
      </w:pPr>
      <w:permStart w:id="1023742674" w:edGrp="everyone"/>
      <w:r w:rsidRPr="00C43CA9">
        <w:rPr>
          <w:sz w:val="20"/>
          <w:szCs w:val="18"/>
        </w:rPr>
        <w:t>We believe it makes sense for the overall combo taxonomy to follow a si</w:t>
      </w:r>
      <w:r w:rsidR="00EA7FA6" w:rsidRPr="00C43CA9">
        <w:rPr>
          <w:sz w:val="20"/>
          <w:szCs w:val="18"/>
        </w:rPr>
        <w:t>ngle approach, consistent with</w:t>
      </w:r>
      <w:r w:rsidRPr="00C43CA9">
        <w:rPr>
          <w:sz w:val="20"/>
          <w:szCs w:val="18"/>
        </w:rPr>
        <w:t xml:space="preserve"> how the ESEF taxonomy is handled today. However, note that mixing open and closed taxonomies can introduce un</w:t>
      </w:r>
      <w:r w:rsidR="00EA7FA6" w:rsidRPr="00C43CA9">
        <w:rPr>
          <w:sz w:val="20"/>
          <w:szCs w:val="18"/>
        </w:rPr>
        <w:t>iq</w:t>
      </w:r>
      <w:r w:rsidRPr="00C43CA9">
        <w:rPr>
          <w:sz w:val="20"/>
          <w:szCs w:val="18"/>
        </w:rPr>
        <w:t xml:space="preserve">ue software </w:t>
      </w:r>
      <w:r w:rsidR="00EA7FA6" w:rsidRPr="00C43CA9">
        <w:rPr>
          <w:sz w:val="20"/>
          <w:szCs w:val="18"/>
        </w:rPr>
        <w:t xml:space="preserve">and user </w:t>
      </w:r>
      <w:r w:rsidRPr="00C43CA9">
        <w:rPr>
          <w:sz w:val="20"/>
          <w:szCs w:val="18"/>
        </w:rPr>
        <w:t>r</w:t>
      </w:r>
      <w:r w:rsidR="00EA7FA6" w:rsidRPr="00C43CA9">
        <w:rPr>
          <w:sz w:val="20"/>
          <w:szCs w:val="18"/>
        </w:rPr>
        <w:t>equirements to enforce closed-taxonomy restrictions. We would encourage ESMA to evaluate opportunities to allow the Article 8 taxonomy and the resulting XBRL instance to be supported on a more standalone basis.</w:t>
      </w:r>
    </w:p>
    <w:permEnd w:id="1023742674"/>
    <w:p w14:paraId="4CB1953F" w14:textId="77777777" w:rsidR="006A64ED" w:rsidRPr="00C43CA9" w:rsidRDefault="006A64ED" w:rsidP="006A64ED">
      <w:pPr>
        <w:spacing w:after="0"/>
        <w:rPr>
          <w:sz w:val="20"/>
          <w:szCs w:val="18"/>
        </w:rPr>
      </w:pPr>
      <w:r w:rsidRPr="00C43CA9">
        <w:rPr>
          <w:sz w:val="20"/>
          <w:szCs w:val="18"/>
        </w:rPr>
        <w:t>&lt;ESMA_QUESTION_ESEFEEAP_12&gt;</w:t>
      </w:r>
    </w:p>
    <w:p w14:paraId="7745B1A1" w14:textId="77777777" w:rsidR="006A64ED" w:rsidRPr="00C43CA9" w:rsidRDefault="006A64ED" w:rsidP="006A64ED">
      <w:pPr>
        <w:spacing w:after="0" w:line="240" w:lineRule="auto"/>
        <w:jc w:val="left"/>
        <w:rPr>
          <w:rFonts w:eastAsia="Times New Roman"/>
          <w:color w:val="auto"/>
          <w:szCs w:val="22"/>
          <w:lang w:eastAsia="en-GB"/>
        </w:rPr>
      </w:pPr>
    </w:p>
    <w:p w14:paraId="703188B6" w14:textId="256FFA7B" w:rsidR="006A64ED" w:rsidRPr="00C43CA9" w:rsidRDefault="006A64ED" w:rsidP="006A64ED">
      <w:pPr>
        <w:spacing w:after="0" w:line="240" w:lineRule="auto"/>
        <w:jc w:val="left"/>
        <w:rPr>
          <w:rFonts w:eastAsia="Times New Roman"/>
          <w:color w:val="auto"/>
          <w:szCs w:val="22"/>
          <w:lang w:eastAsia="en-GB"/>
        </w:rPr>
      </w:pPr>
      <w:r w:rsidRPr="00C43CA9">
        <w:rPr>
          <w:rFonts w:eastAsia="Times New Roman"/>
          <w:b/>
          <w:bCs/>
          <w:color w:val="auto"/>
          <w:szCs w:val="22"/>
          <w:lang w:eastAsia="en-GB"/>
        </w:rPr>
        <w:t>Question 13:</w:t>
      </w:r>
      <w:r w:rsidRPr="00C43CA9">
        <w:rPr>
          <w:rFonts w:eastAsia="Times New Roman"/>
          <w:color w:val="auto"/>
          <w:szCs w:val="22"/>
          <w:lang w:eastAsia="en-GB"/>
        </w:rPr>
        <w:t xml:space="preserve"> Should ESMA consider using the EFRAG taxonomy files ‘as-is’ and without developing a ‘technical’ extension, similar to the one developed for IFRS accounting taxonomy scope? </w:t>
      </w:r>
      <w:r w:rsidRPr="00C43CA9">
        <w:rPr>
          <w:rFonts w:eastAsia="Times New Roman"/>
          <w:color w:val="auto"/>
          <w:szCs w:val="22"/>
          <w:lang w:eastAsia="en-GB"/>
        </w:rPr>
        <w:br/>
      </w:r>
    </w:p>
    <w:p w14:paraId="3A27E6FC" w14:textId="77777777" w:rsidR="006A64ED" w:rsidRPr="00C43CA9" w:rsidRDefault="006A64ED" w:rsidP="006A64ED">
      <w:pPr>
        <w:spacing w:after="0"/>
        <w:rPr>
          <w:sz w:val="20"/>
          <w:szCs w:val="18"/>
        </w:rPr>
      </w:pPr>
      <w:r w:rsidRPr="00C43CA9">
        <w:rPr>
          <w:sz w:val="20"/>
          <w:szCs w:val="18"/>
        </w:rPr>
        <w:t>&lt;ESMA_QUESTION_ESEFEEAP_13&gt;</w:t>
      </w:r>
    </w:p>
    <w:p w14:paraId="27D520F9" w14:textId="77777777" w:rsidR="006A64ED" w:rsidRPr="00C43CA9" w:rsidRDefault="006A64ED" w:rsidP="006A64ED">
      <w:pPr>
        <w:spacing w:after="0"/>
        <w:rPr>
          <w:sz w:val="20"/>
          <w:szCs w:val="18"/>
        </w:rPr>
      </w:pPr>
      <w:permStart w:id="215430023" w:edGrp="everyone"/>
      <w:r w:rsidRPr="00C43CA9">
        <w:rPr>
          <w:sz w:val="20"/>
          <w:szCs w:val="18"/>
        </w:rPr>
        <w:t>TYPE YOUR TEXT HERE</w:t>
      </w:r>
    </w:p>
    <w:permEnd w:id="215430023"/>
    <w:p w14:paraId="365EB89D" w14:textId="77777777" w:rsidR="006A64ED" w:rsidRPr="00C43CA9" w:rsidRDefault="006A64ED" w:rsidP="006A64ED">
      <w:pPr>
        <w:spacing w:after="0"/>
        <w:rPr>
          <w:sz w:val="20"/>
          <w:szCs w:val="18"/>
        </w:rPr>
      </w:pPr>
      <w:r w:rsidRPr="00C43CA9">
        <w:rPr>
          <w:sz w:val="20"/>
          <w:szCs w:val="18"/>
        </w:rPr>
        <w:t>&lt;ESMA_QUESTION_ESEFEEAP_13&gt;</w:t>
      </w:r>
    </w:p>
    <w:p w14:paraId="1EDADE50" w14:textId="77777777" w:rsidR="006A64ED" w:rsidRPr="00C43CA9" w:rsidRDefault="006A64ED" w:rsidP="006A64ED">
      <w:pPr>
        <w:spacing w:after="0" w:line="240" w:lineRule="auto"/>
        <w:jc w:val="left"/>
        <w:rPr>
          <w:rFonts w:eastAsia="Times New Roman"/>
          <w:color w:val="auto"/>
          <w:szCs w:val="22"/>
          <w:lang w:eastAsia="en-GB"/>
        </w:rPr>
      </w:pPr>
    </w:p>
    <w:p w14:paraId="3756AF72" w14:textId="624BD522" w:rsidR="006A64ED" w:rsidRPr="00C43CA9" w:rsidRDefault="006A64ED" w:rsidP="006A64ED">
      <w:pPr>
        <w:spacing w:after="0" w:line="240" w:lineRule="auto"/>
        <w:jc w:val="left"/>
        <w:rPr>
          <w:rFonts w:eastAsia="Times New Roman"/>
          <w:color w:val="auto"/>
          <w:szCs w:val="22"/>
          <w:lang w:eastAsia="en-GB"/>
        </w:rPr>
      </w:pPr>
      <w:r w:rsidRPr="00C43CA9">
        <w:rPr>
          <w:rFonts w:eastAsia="Times New Roman"/>
          <w:b/>
          <w:bCs/>
          <w:color w:val="auto"/>
          <w:szCs w:val="22"/>
          <w:lang w:eastAsia="en-GB"/>
        </w:rPr>
        <w:t>Question 14:</w:t>
      </w:r>
      <w:r w:rsidRPr="00C43CA9">
        <w:rPr>
          <w:rFonts w:eastAsia="Times New Roman"/>
          <w:color w:val="auto"/>
          <w:szCs w:val="22"/>
          <w:lang w:eastAsia="en-GB"/>
        </w:rPr>
        <w:t xml:space="preserve"> Do you have any other suggestions in relation to the future ESEF taxonomy framework and how ESMA can further reduce the burden for the reporting entities? </w:t>
      </w:r>
      <w:r w:rsidRPr="00C43CA9">
        <w:rPr>
          <w:rFonts w:eastAsia="Times New Roman"/>
          <w:color w:val="auto"/>
          <w:szCs w:val="22"/>
          <w:lang w:eastAsia="en-GB"/>
        </w:rPr>
        <w:br/>
      </w:r>
    </w:p>
    <w:p w14:paraId="493A4F2F" w14:textId="77777777" w:rsidR="006A64ED" w:rsidRPr="00C43CA9" w:rsidRDefault="006A64ED" w:rsidP="006A64ED">
      <w:pPr>
        <w:spacing w:after="0"/>
        <w:rPr>
          <w:sz w:val="20"/>
          <w:szCs w:val="18"/>
        </w:rPr>
      </w:pPr>
      <w:r w:rsidRPr="00C43CA9">
        <w:rPr>
          <w:sz w:val="20"/>
          <w:szCs w:val="18"/>
        </w:rPr>
        <w:t>&lt;ESMA_QUESTION_ESEFEEAP_14&gt;</w:t>
      </w:r>
    </w:p>
    <w:p w14:paraId="5CFCA40D" w14:textId="036070AF" w:rsidR="006A64ED" w:rsidRPr="00C43CA9" w:rsidRDefault="00B03BEE" w:rsidP="006A64ED">
      <w:pPr>
        <w:spacing w:after="0"/>
        <w:rPr>
          <w:sz w:val="20"/>
          <w:szCs w:val="18"/>
        </w:rPr>
      </w:pPr>
      <w:permStart w:id="1401631365" w:edGrp="everyone"/>
      <w:r w:rsidRPr="00C43CA9">
        <w:rPr>
          <w:sz w:val="20"/>
          <w:szCs w:val="18"/>
        </w:rPr>
        <w:t xml:space="preserve">In our experience, when taxonomies are used together, ensuring </w:t>
      </w:r>
      <w:r w:rsidR="0005340B" w:rsidRPr="00C43CA9">
        <w:rPr>
          <w:sz w:val="20"/>
          <w:szCs w:val="18"/>
        </w:rPr>
        <w:t>taxonomie</w:t>
      </w:r>
      <w:r w:rsidRPr="00C43CA9">
        <w:rPr>
          <w:sz w:val="20"/>
          <w:szCs w:val="18"/>
        </w:rPr>
        <w:t>s</w:t>
      </w:r>
      <w:r w:rsidR="0005340B" w:rsidRPr="00C43CA9">
        <w:rPr>
          <w:sz w:val="20"/>
          <w:szCs w:val="18"/>
        </w:rPr>
        <w:t xml:space="preserve"> </w:t>
      </w:r>
      <w:r w:rsidR="00986486" w:rsidRPr="00C43CA9">
        <w:rPr>
          <w:sz w:val="20"/>
          <w:szCs w:val="18"/>
        </w:rPr>
        <w:t>harmonis</w:t>
      </w:r>
      <w:r w:rsidRPr="00C43CA9">
        <w:rPr>
          <w:sz w:val="20"/>
          <w:szCs w:val="18"/>
        </w:rPr>
        <w:t xml:space="preserve">ation is very important to streamline </w:t>
      </w:r>
      <w:r w:rsidR="0005340B" w:rsidRPr="00C43CA9">
        <w:rPr>
          <w:sz w:val="20"/>
          <w:szCs w:val="18"/>
        </w:rPr>
        <w:t>implementation.</w:t>
      </w:r>
      <w:r w:rsidRPr="00C43CA9">
        <w:rPr>
          <w:sz w:val="20"/>
          <w:szCs w:val="18"/>
        </w:rPr>
        <w:t xml:space="preserve"> We would encourage ESMA to consider use cases where the ESMA taxonomies may be combined with additional local taxonomies, as well as use cases </w:t>
      </w:r>
      <w:r w:rsidR="005F791A" w:rsidRPr="00C43CA9">
        <w:rPr>
          <w:sz w:val="20"/>
          <w:szCs w:val="18"/>
        </w:rPr>
        <w:t xml:space="preserve">where specific member states </w:t>
      </w:r>
      <w:r w:rsidRPr="00C43CA9">
        <w:rPr>
          <w:sz w:val="20"/>
          <w:szCs w:val="18"/>
        </w:rPr>
        <w:t>may support the EF</w:t>
      </w:r>
      <w:r w:rsidR="000E7337" w:rsidRPr="00C43CA9">
        <w:rPr>
          <w:sz w:val="20"/>
          <w:szCs w:val="18"/>
        </w:rPr>
        <w:t>RAG base taxonomies for other non-PIE</w:t>
      </w:r>
      <w:r w:rsidRPr="00C43CA9">
        <w:rPr>
          <w:sz w:val="20"/>
          <w:szCs w:val="18"/>
        </w:rPr>
        <w:t xml:space="preserve"> reporting entities</w:t>
      </w:r>
      <w:r w:rsidR="005F791A" w:rsidRPr="00C43CA9">
        <w:rPr>
          <w:sz w:val="20"/>
          <w:szCs w:val="18"/>
        </w:rPr>
        <w:t>. This may further inform where</w:t>
      </w:r>
      <w:r w:rsidRPr="00C43CA9">
        <w:rPr>
          <w:sz w:val="20"/>
          <w:szCs w:val="18"/>
        </w:rPr>
        <w:t xml:space="preserve"> opportunities </w:t>
      </w:r>
      <w:r w:rsidR="005F791A" w:rsidRPr="00C43CA9">
        <w:rPr>
          <w:sz w:val="20"/>
          <w:szCs w:val="18"/>
        </w:rPr>
        <w:t xml:space="preserve">exist </w:t>
      </w:r>
      <w:r w:rsidRPr="00C43CA9">
        <w:rPr>
          <w:sz w:val="20"/>
          <w:szCs w:val="18"/>
        </w:rPr>
        <w:t xml:space="preserve">for </w:t>
      </w:r>
      <w:r w:rsidR="005F791A" w:rsidRPr="00C43CA9">
        <w:rPr>
          <w:sz w:val="20"/>
          <w:szCs w:val="18"/>
        </w:rPr>
        <w:t>simplification</w:t>
      </w:r>
      <w:r w:rsidRPr="00C43CA9">
        <w:rPr>
          <w:sz w:val="20"/>
          <w:szCs w:val="18"/>
        </w:rPr>
        <w:t>.</w:t>
      </w:r>
    </w:p>
    <w:permEnd w:id="1401631365"/>
    <w:p w14:paraId="632E68BA" w14:textId="77777777" w:rsidR="006A64ED" w:rsidRPr="00C43CA9" w:rsidRDefault="006A64ED" w:rsidP="006A64ED">
      <w:pPr>
        <w:spacing w:after="0"/>
        <w:rPr>
          <w:sz w:val="20"/>
          <w:szCs w:val="18"/>
        </w:rPr>
      </w:pPr>
      <w:r w:rsidRPr="00C43CA9">
        <w:rPr>
          <w:sz w:val="20"/>
          <w:szCs w:val="18"/>
        </w:rPr>
        <w:t>&lt;ESMA_QUESTION_ESEFEEAP_14&gt;</w:t>
      </w:r>
    </w:p>
    <w:p w14:paraId="1395869A" w14:textId="123C76A3" w:rsidR="006A64ED" w:rsidRPr="00C43CA9" w:rsidRDefault="006A64ED" w:rsidP="006A64ED">
      <w:pPr>
        <w:spacing w:after="0" w:line="240" w:lineRule="auto"/>
        <w:jc w:val="left"/>
        <w:rPr>
          <w:rFonts w:eastAsia="Times New Roman"/>
          <w:color w:val="auto"/>
          <w:szCs w:val="22"/>
          <w:lang w:eastAsia="en-GB"/>
        </w:rPr>
      </w:pPr>
    </w:p>
    <w:p w14:paraId="34F3233E" w14:textId="6CE5C31D" w:rsidR="006B5DF1" w:rsidRPr="00C43CA9" w:rsidRDefault="00206B4F" w:rsidP="006B5DF1">
      <w:pPr>
        <w:rPr>
          <w:rFonts w:eastAsia="Times New Roman"/>
          <w:color w:val="auto"/>
          <w:sz w:val="24"/>
          <w:szCs w:val="24"/>
          <w:lang w:eastAsia="en-GB"/>
        </w:rPr>
      </w:pPr>
      <w:r w:rsidRPr="00C43CA9">
        <w:rPr>
          <w:rFonts w:eastAsia="Times New Roman"/>
          <w:color w:val="auto"/>
          <w:sz w:val="24"/>
          <w:szCs w:val="24"/>
          <w:lang w:eastAsia="en-GB"/>
        </w:rPr>
        <w:pict w14:anchorId="2ADFF5CF">
          <v:rect id="_x0000_i1027" style="width:0;height:1.5pt" o:hralign="center" o:hrstd="t" o:hr="t" fillcolor="#a0a0a0" stroked="f"/>
        </w:pict>
      </w:r>
    </w:p>
    <w:p w14:paraId="3AD5318A" w14:textId="2B410848" w:rsidR="006A64ED" w:rsidRPr="00C43CA9" w:rsidRDefault="006A64ED" w:rsidP="006A64ED">
      <w:pPr>
        <w:pStyle w:val="aNEW-Level1"/>
        <w:ind w:left="431" w:hanging="431"/>
        <w:rPr>
          <w:rFonts w:eastAsia="Times New Roman"/>
          <w:color w:val="00379F" w:themeColor="text1"/>
          <w:lang w:eastAsia="en-GB"/>
        </w:rPr>
      </w:pPr>
      <w:r w:rsidRPr="00C43CA9">
        <w:rPr>
          <w:rFonts w:eastAsia="Times New Roman"/>
          <w:color w:val="00379F" w:themeColor="text1"/>
          <w:lang w:eastAsia="en-GB"/>
        </w:rPr>
        <w:t>Marking up the Notes to the IFRS consolidated financial statements</w:t>
      </w:r>
    </w:p>
    <w:p w14:paraId="39D58C82" w14:textId="77777777" w:rsidR="006A64ED" w:rsidRPr="00C43CA9" w:rsidRDefault="006A64ED" w:rsidP="006A64ED">
      <w:pPr>
        <w:spacing w:after="0" w:line="240" w:lineRule="auto"/>
        <w:jc w:val="left"/>
        <w:rPr>
          <w:rFonts w:eastAsia="Times New Roman"/>
          <w:color w:val="auto"/>
          <w:szCs w:val="22"/>
          <w:lang w:eastAsia="en-GB"/>
        </w:rPr>
      </w:pPr>
    </w:p>
    <w:p w14:paraId="77E1107B" w14:textId="75335530" w:rsidR="006A64ED" w:rsidRPr="00C43CA9" w:rsidRDefault="006A64ED" w:rsidP="006A64ED">
      <w:pPr>
        <w:spacing w:after="0" w:line="240" w:lineRule="auto"/>
        <w:jc w:val="left"/>
        <w:rPr>
          <w:rFonts w:eastAsia="Times New Roman"/>
          <w:color w:val="auto"/>
          <w:szCs w:val="22"/>
          <w:lang w:eastAsia="en-GB"/>
        </w:rPr>
      </w:pPr>
      <w:r w:rsidRPr="00C43CA9">
        <w:rPr>
          <w:rFonts w:eastAsia="Times New Roman"/>
          <w:b/>
          <w:bCs/>
          <w:color w:val="auto"/>
          <w:szCs w:val="22"/>
          <w:lang w:eastAsia="en-GB"/>
        </w:rPr>
        <w:t>Question 15:</w:t>
      </w:r>
      <w:r w:rsidRPr="00C43CA9">
        <w:rPr>
          <w:rFonts w:eastAsia="Times New Roman"/>
          <w:color w:val="auto"/>
          <w:szCs w:val="22"/>
          <w:lang w:eastAsia="en-GB"/>
        </w:rPr>
        <w:t xml:space="preserve"> Do you agree that it is necessary to revise the marking up rules for the Notes to the IFRS consolidated financial statements? If not, please explain your reasons. </w:t>
      </w:r>
    </w:p>
    <w:p w14:paraId="44B387A3" w14:textId="77777777" w:rsidR="006A64ED" w:rsidRPr="00C43CA9" w:rsidRDefault="006A64ED" w:rsidP="006A64ED">
      <w:pPr>
        <w:spacing w:after="0" w:line="240" w:lineRule="auto"/>
        <w:jc w:val="left"/>
        <w:rPr>
          <w:rFonts w:eastAsia="Times New Roman"/>
          <w:color w:val="auto"/>
          <w:szCs w:val="22"/>
          <w:lang w:eastAsia="en-GB"/>
        </w:rPr>
      </w:pPr>
    </w:p>
    <w:p w14:paraId="10424017" w14:textId="77777777" w:rsidR="006A64ED" w:rsidRPr="00C43CA9" w:rsidRDefault="006A64ED" w:rsidP="006A64ED">
      <w:pPr>
        <w:spacing w:after="0"/>
        <w:rPr>
          <w:sz w:val="20"/>
          <w:szCs w:val="18"/>
        </w:rPr>
      </w:pPr>
      <w:r w:rsidRPr="00C43CA9">
        <w:rPr>
          <w:sz w:val="20"/>
          <w:szCs w:val="18"/>
        </w:rPr>
        <w:t>&lt;ESMA_QUESTION_ESEFEEAP_15&gt;</w:t>
      </w:r>
    </w:p>
    <w:p w14:paraId="58A15A24" w14:textId="778094D7" w:rsidR="006A64ED" w:rsidRPr="00C43CA9" w:rsidRDefault="001F4F2F" w:rsidP="006A64ED">
      <w:pPr>
        <w:spacing w:after="0"/>
        <w:rPr>
          <w:sz w:val="20"/>
          <w:szCs w:val="18"/>
        </w:rPr>
      </w:pPr>
      <w:permStart w:id="1970232525" w:edGrp="everyone"/>
      <w:r w:rsidRPr="00C43CA9">
        <w:rPr>
          <w:sz w:val="20"/>
          <w:szCs w:val="18"/>
        </w:rPr>
        <w:t>We generally support providing greater access to digital data as it enhances comparability and efficiency. We agree that artificial intelligence can play a</w:t>
      </w:r>
      <w:r w:rsidR="00DF0947" w:rsidRPr="00C43CA9">
        <w:rPr>
          <w:sz w:val="20"/>
          <w:szCs w:val="18"/>
        </w:rPr>
        <w:t>n important</w:t>
      </w:r>
      <w:r w:rsidR="003C7D69" w:rsidRPr="00C43CA9">
        <w:rPr>
          <w:sz w:val="20"/>
          <w:szCs w:val="18"/>
        </w:rPr>
        <w:t xml:space="preserve"> role in easing the mark-</w:t>
      </w:r>
      <w:r w:rsidRPr="00C43CA9">
        <w:rPr>
          <w:sz w:val="20"/>
          <w:szCs w:val="18"/>
        </w:rPr>
        <w:t>up process over time, an</w:t>
      </w:r>
      <w:r w:rsidR="00DF0947" w:rsidRPr="00C43CA9">
        <w:rPr>
          <w:sz w:val="20"/>
          <w:szCs w:val="18"/>
        </w:rPr>
        <w:t xml:space="preserve">d </w:t>
      </w:r>
      <w:r w:rsidR="00DF0947" w:rsidRPr="00C43CA9">
        <w:rPr>
          <w:sz w:val="20"/>
          <w:szCs w:val="18"/>
        </w:rPr>
        <w:lastRenderedPageBreak/>
        <w:t>in turn, structured data like XBRL provides very useful</w:t>
      </w:r>
      <w:r w:rsidRPr="00C43CA9">
        <w:rPr>
          <w:sz w:val="20"/>
          <w:szCs w:val="18"/>
        </w:rPr>
        <w:t xml:space="preserve"> input to artificial intelligence for </w:t>
      </w:r>
      <w:r w:rsidR="00422EEE" w:rsidRPr="00C43CA9">
        <w:rPr>
          <w:sz w:val="20"/>
          <w:szCs w:val="18"/>
        </w:rPr>
        <w:t>analysing disclosures and deriving insights.</w:t>
      </w:r>
      <w:r w:rsidR="00986486" w:rsidRPr="00C43CA9">
        <w:rPr>
          <w:sz w:val="20"/>
          <w:szCs w:val="18"/>
        </w:rPr>
        <w:t xml:space="preserve"> The standardis</w:t>
      </w:r>
      <w:r w:rsidR="00DF0947" w:rsidRPr="00C43CA9">
        <w:rPr>
          <w:sz w:val="20"/>
          <w:szCs w:val="18"/>
        </w:rPr>
        <w:t>ation enables data extraction, consumption, as well as consistency and accuracy that may be much harder to achieve with unstructured data.</w:t>
      </w:r>
    </w:p>
    <w:permEnd w:id="1970232525"/>
    <w:p w14:paraId="410C023A" w14:textId="77777777" w:rsidR="006A64ED" w:rsidRPr="00C43CA9" w:rsidRDefault="006A64ED" w:rsidP="006A64ED">
      <w:pPr>
        <w:spacing w:after="0"/>
        <w:rPr>
          <w:sz w:val="20"/>
          <w:szCs w:val="18"/>
        </w:rPr>
      </w:pPr>
      <w:r w:rsidRPr="00C43CA9">
        <w:rPr>
          <w:sz w:val="20"/>
          <w:szCs w:val="18"/>
        </w:rPr>
        <w:t>&lt;ESMA_QUESTION_ESEFEEAP_15&gt;</w:t>
      </w:r>
    </w:p>
    <w:p w14:paraId="15EF26A6" w14:textId="04BE3B2C" w:rsidR="006A64ED" w:rsidRPr="00C43CA9" w:rsidRDefault="006A64ED" w:rsidP="006A64ED">
      <w:pPr>
        <w:spacing w:after="0" w:line="240" w:lineRule="auto"/>
        <w:jc w:val="left"/>
        <w:rPr>
          <w:rFonts w:eastAsia="Times New Roman"/>
          <w:color w:val="auto"/>
          <w:szCs w:val="22"/>
          <w:lang w:eastAsia="en-GB"/>
        </w:rPr>
      </w:pPr>
    </w:p>
    <w:p w14:paraId="2003C880" w14:textId="77777777" w:rsidR="006A64ED" w:rsidRPr="00C43CA9" w:rsidRDefault="006A64ED" w:rsidP="006A64ED">
      <w:pPr>
        <w:spacing w:after="0" w:line="240" w:lineRule="auto"/>
        <w:jc w:val="left"/>
        <w:rPr>
          <w:rFonts w:eastAsia="Times New Roman"/>
          <w:color w:val="auto"/>
          <w:szCs w:val="22"/>
          <w:lang w:eastAsia="en-GB"/>
        </w:rPr>
      </w:pPr>
      <w:r w:rsidRPr="00C43CA9">
        <w:rPr>
          <w:rFonts w:eastAsia="Times New Roman"/>
          <w:b/>
          <w:bCs/>
          <w:color w:val="auto"/>
          <w:szCs w:val="22"/>
          <w:lang w:eastAsia="en-GB"/>
        </w:rPr>
        <w:t>Question 16:</w:t>
      </w:r>
      <w:r w:rsidRPr="00C43CA9">
        <w:rPr>
          <w:rFonts w:eastAsia="Times New Roman"/>
          <w:color w:val="auto"/>
          <w:szCs w:val="22"/>
          <w:lang w:eastAsia="en-GB"/>
        </w:rPr>
        <w:t xml:space="preserve"> Do you agree with the phased-in approach and the proposed timeline? Do you also agree that the first phase should take effect with the annual financial report for the financial year when the amendment to the RTS on ESEF is published in the OJ before 30 September of the given year? If not, please explain your reasons and suggest any alternative timelines for the implementation. </w:t>
      </w:r>
    </w:p>
    <w:p w14:paraId="56FB0B6C" w14:textId="77777777" w:rsidR="006A64ED" w:rsidRPr="00C43CA9" w:rsidRDefault="006A64ED" w:rsidP="006A64ED">
      <w:pPr>
        <w:spacing w:after="0" w:line="240" w:lineRule="auto"/>
        <w:jc w:val="left"/>
        <w:rPr>
          <w:rFonts w:eastAsia="Times New Roman"/>
          <w:color w:val="auto"/>
          <w:szCs w:val="22"/>
          <w:lang w:eastAsia="en-GB"/>
        </w:rPr>
      </w:pPr>
    </w:p>
    <w:p w14:paraId="09F4FFB5" w14:textId="77777777" w:rsidR="006A64ED" w:rsidRPr="00C43CA9" w:rsidRDefault="006A64ED" w:rsidP="006A64ED">
      <w:pPr>
        <w:spacing w:after="0"/>
        <w:rPr>
          <w:sz w:val="20"/>
          <w:szCs w:val="18"/>
        </w:rPr>
      </w:pPr>
      <w:r w:rsidRPr="00C43CA9">
        <w:rPr>
          <w:sz w:val="20"/>
          <w:szCs w:val="18"/>
        </w:rPr>
        <w:t>&lt;ESMA_QUESTION_ESEFEEAP_16&gt;</w:t>
      </w:r>
    </w:p>
    <w:p w14:paraId="170277F5" w14:textId="280560D8" w:rsidR="006A64ED" w:rsidRDefault="00DF0947" w:rsidP="006A64ED">
      <w:pPr>
        <w:spacing w:after="0"/>
        <w:rPr>
          <w:sz w:val="20"/>
          <w:szCs w:val="18"/>
        </w:rPr>
      </w:pPr>
      <w:permStart w:id="481916913" w:edGrp="everyone"/>
      <w:r w:rsidRPr="00C43CA9">
        <w:rPr>
          <w:sz w:val="20"/>
          <w:szCs w:val="18"/>
        </w:rPr>
        <w:t>We believe not knowing whether compliance would start in the current year versus the next year (</w:t>
      </w:r>
      <w:r w:rsidR="007D301C" w:rsidRPr="00C43CA9">
        <w:rPr>
          <w:sz w:val="20"/>
          <w:szCs w:val="18"/>
        </w:rPr>
        <w:t xml:space="preserve">i.e. 2026 vs 2027) until up to September 30 could potentially put undue pressure on Q4 to Q1 for </w:t>
      </w:r>
      <w:r w:rsidR="00654F7D" w:rsidRPr="00C43CA9">
        <w:rPr>
          <w:sz w:val="20"/>
          <w:szCs w:val="18"/>
        </w:rPr>
        <w:t>completing</w:t>
      </w:r>
      <w:r w:rsidR="007D301C" w:rsidRPr="00C43CA9">
        <w:rPr>
          <w:sz w:val="20"/>
          <w:szCs w:val="18"/>
        </w:rPr>
        <w:t xml:space="preserve"> preparation. As discussed under Question 2, </w:t>
      </w:r>
      <w:r w:rsidR="00654F7D" w:rsidRPr="00C43CA9">
        <w:rPr>
          <w:sz w:val="20"/>
          <w:szCs w:val="18"/>
        </w:rPr>
        <w:t>implementations may not start in e</w:t>
      </w:r>
      <w:r w:rsidR="00A904D5" w:rsidRPr="00C43CA9">
        <w:rPr>
          <w:sz w:val="20"/>
          <w:szCs w:val="18"/>
        </w:rPr>
        <w:t>a</w:t>
      </w:r>
      <w:r w:rsidR="00654F7D" w:rsidRPr="00C43CA9">
        <w:rPr>
          <w:sz w:val="20"/>
          <w:szCs w:val="18"/>
        </w:rPr>
        <w:t>rnest until a clear compliance date and guidance materials become available</w:t>
      </w:r>
      <w:r w:rsidR="00350FEC" w:rsidRPr="00C43CA9">
        <w:rPr>
          <w:sz w:val="20"/>
          <w:szCs w:val="18"/>
        </w:rPr>
        <w:t>.</w:t>
      </w:r>
      <w:r w:rsidR="007D301C" w:rsidRPr="00C43CA9">
        <w:rPr>
          <w:sz w:val="20"/>
          <w:szCs w:val="18"/>
        </w:rPr>
        <w:t xml:space="preserve"> We </w:t>
      </w:r>
      <w:r w:rsidR="00EA0D24" w:rsidRPr="00C43CA9">
        <w:rPr>
          <w:sz w:val="20"/>
          <w:szCs w:val="18"/>
        </w:rPr>
        <w:t xml:space="preserve">recommend </w:t>
      </w:r>
      <w:r w:rsidR="007D301C" w:rsidRPr="00C43CA9">
        <w:rPr>
          <w:sz w:val="20"/>
          <w:szCs w:val="18"/>
        </w:rPr>
        <w:t>that the ESMA consider</w:t>
      </w:r>
      <w:r w:rsidR="00EA0D24" w:rsidRPr="00C43CA9">
        <w:rPr>
          <w:sz w:val="20"/>
          <w:szCs w:val="18"/>
        </w:rPr>
        <w:t xml:space="preserve"> relaxing the deadline in the first year</w:t>
      </w:r>
      <w:r w:rsidR="00654F7D" w:rsidRPr="00C43CA9">
        <w:rPr>
          <w:sz w:val="20"/>
          <w:szCs w:val="18"/>
        </w:rPr>
        <w:t xml:space="preserve"> given the spike in workload in the initial phase</w:t>
      </w:r>
      <w:r w:rsidR="00EA0D24" w:rsidRPr="00C43CA9">
        <w:rPr>
          <w:sz w:val="20"/>
          <w:szCs w:val="18"/>
        </w:rPr>
        <w:t>.</w:t>
      </w:r>
    </w:p>
    <w:p w14:paraId="7161068C" w14:textId="77777777" w:rsidR="00C43CA9" w:rsidRPr="00C43CA9" w:rsidRDefault="00C43CA9" w:rsidP="006A64ED">
      <w:pPr>
        <w:spacing w:after="0"/>
        <w:rPr>
          <w:sz w:val="20"/>
          <w:szCs w:val="18"/>
        </w:rPr>
      </w:pPr>
    </w:p>
    <w:p w14:paraId="1A9CEEAE" w14:textId="59F81AF4" w:rsidR="00575A31" w:rsidRPr="00C43CA9" w:rsidRDefault="00575A31" w:rsidP="006A64ED">
      <w:pPr>
        <w:spacing w:after="0"/>
        <w:rPr>
          <w:sz w:val="20"/>
          <w:szCs w:val="18"/>
        </w:rPr>
      </w:pPr>
      <w:r w:rsidRPr="00C43CA9">
        <w:rPr>
          <w:sz w:val="20"/>
          <w:szCs w:val="18"/>
        </w:rPr>
        <w:t xml:space="preserve">In addition, the uncertainty in the timeline </w:t>
      </w:r>
      <w:r w:rsidR="003C7D69" w:rsidRPr="00C43CA9">
        <w:rPr>
          <w:sz w:val="20"/>
          <w:szCs w:val="18"/>
        </w:rPr>
        <w:t>c</w:t>
      </w:r>
      <w:r w:rsidR="00D30B23" w:rsidRPr="00C43CA9">
        <w:rPr>
          <w:sz w:val="20"/>
          <w:szCs w:val="18"/>
        </w:rPr>
        <w:t xml:space="preserve">ould lead to </w:t>
      </w:r>
      <w:r w:rsidR="00654F7D" w:rsidRPr="00C43CA9">
        <w:rPr>
          <w:sz w:val="20"/>
          <w:szCs w:val="18"/>
        </w:rPr>
        <w:t>delays or capacity issues</w:t>
      </w:r>
      <w:r w:rsidR="00D30B23" w:rsidRPr="00C43CA9">
        <w:rPr>
          <w:sz w:val="20"/>
          <w:szCs w:val="18"/>
        </w:rPr>
        <w:t xml:space="preserve"> in the filing ecosystems, and filers could be looking at longer turnaround time and higher deadline pressure.</w:t>
      </w:r>
    </w:p>
    <w:permEnd w:id="481916913"/>
    <w:p w14:paraId="54C0A421" w14:textId="77777777" w:rsidR="006A64ED" w:rsidRPr="00C43CA9" w:rsidRDefault="006A64ED" w:rsidP="006A64ED">
      <w:pPr>
        <w:spacing w:after="0"/>
        <w:rPr>
          <w:sz w:val="20"/>
          <w:szCs w:val="18"/>
        </w:rPr>
      </w:pPr>
      <w:r w:rsidRPr="00C43CA9">
        <w:rPr>
          <w:sz w:val="20"/>
          <w:szCs w:val="18"/>
        </w:rPr>
        <w:t>&lt;ESMA_QUESTION_ESEFEEAP_16&gt;</w:t>
      </w:r>
    </w:p>
    <w:p w14:paraId="094EB7B0" w14:textId="77777777" w:rsidR="006A64ED" w:rsidRPr="00C43CA9" w:rsidRDefault="006A64ED" w:rsidP="006A64ED">
      <w:pPr>
        <w:spacing w:after="0" w:line="240" w:lineRule="auto"/>
        <w:jc w:val="left"/>
        <w:rPr>
          <w:rFonts w:eastAsia="Times New Roman"/>
          <w:color w:val="auto"/>
          <w:szCs w:val="22"/>
          <w:lang w:eastAsia="en-GB"/>
        </w:rPr>
      </w:pPr>
    </w:p>
    <w:p w14:paraId="4381C41D" w14:textId="77777777" w:rsidR="006A64ED" w:rsidRPr="00C43CA9" w:rsidRDefault="006A64ED" w:rsidP="006A64ED">
      <w:pPr>
        <w:spacing w:after="0" w:line="240" w:lineRule="auto"/>
        <w:jc w:val="left"/>
        <w:rPr>
          <w:rFonts w:eastAsia="Times New Roman"/>
          <w:color w:val="auto"/>
          <w:szCs w:val="22"/>
          <w:lang w:eastAsia="en-GB"/>
        </w:rPr>
      </w:pPr>
      <w:r w:rsidRPr="00C43CA9">
        <w:rPr>
          <w:rFonts w:eastAsia="Times New Roman"/>
          <w:b/>
          <w:bCs/>
          <w:color w:val="auto"/>
          <w:szCs w:val="22"/>
          <w:lang w:eastAsia="en-GB"/>
        </w:rPr>
        <w:t>Question 17</w:t>
      </w:r>
      <w:r w:rsidRPr="00C43CA9">
        <w:rPr>
          <w:rFonts w:eastAsia="Times New Roman"/>
          <w:color w:val="auto"/>
          <w:szCs w:val="22"/>
          <w:lang w:eastAsia="en-GB"/>
        </w:rPr>
        <w:t xml:space="preserve">: Do you agree with the content outlined for phase one? Specifically, do you support the proposed approach to text block mark up the Notes to the IFRS consolidated financial statements? If not, please provide your reasons and suggest alternatives to marking up text blocks in the Notes to the IFRS consolidated financial statements. </w:t>
      </w:r>
    </w:p>
    <w:p w14:paraId="60D1A181" w14:textId="77777777" w:rsidR="006A64ED" w:rsidRPr="00C43CA9" w:rsidRDefault="006A64ED" w:rsidP="006A64ED">
      <w:pPr>
        <w:spacing w:after="0" w:line="240" w:lineRule="auto"/>
        <w:jc w:val="left"/>
        <w:rPr>
          <w:rFonts w:eastAsia="Times New Roman"/>
          <w:color w:val="auto"/>
          <w:szCs w:val="22"/>
          <w:lang w:eastAsia="en-GB"/>
        </w:rPr>
      </w:pPr>
    </w:p>
    <w:p w14:paraId="0D711ABB" w14:textId="77777777" w:rsidR="006A64ED" w:rsidRPr="00C43CA9" w:rsidRDefault="006A64ED" w:rsidP="006A64ED">
      <w:pPr>
        <w:spacing w:after="0"/>
        <w:rPr>
          <w:sz w:val="20"/>
          <w:szCs w:val="18"/>
        </w:rPr>
      </w:pPr>
      <w:r w:rsidRPr="00C43CA9">
        <w:rPr>
          <w:sz w:val="20"/>
          <w:szCs w:val="18"/>
        </w:rPr>
        <w:t>&lt;ESMA_QUESTION_ESEFEEAP_17&gt;</w:t>
      </w:r>
    </w:p>
    <w:p w14:paraId="3DDA4E8D" w14:textId="3A3056F5" w:rsidR="000E7337" w:rsidRPr="000E7337" w:rsidRDefault="00384712" w:rsidP="000E7337">
      <w:pPr>
        <w:spacing w:after="0" w:line="240" w:lineRule="auto"/>
        <w:rPr>
          <w:rFonts w:ascii="Times New Roman" w:eastAsia="Times New Roman" w:hAnsi="Times New Roman" w:cs="Times New Roman"/>
          <w:color w:val="auto"/>
          <w:sz w:val="24"/>
          <w:szCs w:val="24"/>
          <w:lang w:val="en-US"/>
        </w:rPr>
      </w:pPr>
      <w:permStart w:id="662070572" w:edGrp="everyone"/>
      <w:r w:rsidRPr="00C43CA9">
        <w:rPr>
          <w:color w:val="181818"/>
          <w:sz w:val="20"/>
        </w:rPr>
        <w:t>Similar</w:t>
      </w:r>
      <w:r w:rsidR="000E7337" w:rsidRPr="000E7337">
        <w:rPr>
          <w:rFonts w:eastAsia="Times New Roman"/>
          <w:color w:val="181818"/>
          <w:sz w:val="20"/>
          <w:lang w:val="en-US"/>
        </w:rPr>
        <w:t xml:space="preserve"> to our feedback in Question 4, we believe that the removal of Level 1 Text Blocks should be optional. </w:t>
      </w:r>
    </w:p>
    <w:p w14:paraId="7B045421" w14:textId="77777777" w:rsidR="000E7337" w:rsidRPr="000E7337" w:rsidRDefault="000E7337" w:rsidP="000E7337">
      <w:pPr>
        <w:spacing w:after="0" w:line="240" w:lineRule="auto"/>
        <w:jc w:val="left"/>
        <w:rPr>
          <w:rFonts w:ascii="Times New Roman" w:eastAsia="Times New Roman" w:hAnsi="Times New Roman" w:cs="Times New Roman"/>
          <w:color w:val="auto"/>
          <w:sz w:val="24"/>
          <w:szCs w:val="24"/>
          <w:lang w:val="en-US"/>
        </w:rPr>
      </w:pPr>
    </w:p>
    <w:p w14:paraId="701C7F2E" w14:textId="77777777" w:rsidR="000E7337" w:rsidRPr="000E7337" w:rsidRDefault="000E7337" w:rsidP="000E7337">
      <w:pPr>
        <w:spacing w:after="0" w:line="240" w:lineRule="auto"/>
        <w:rPr>
          <w:rFonts w:ascii="Times New Roman" w:eastAsia="Times New Roman" w:hAnsi="Times New Roman" w:cs="Times New Roman"/>
          <w:color w:val="auto"/>
          <w:sz w:val="24"/>
          <w:szCs w:val="24"/>
          <w:lang w:val="en-US"/>
        </w:rPr>
      </w:pPr>
      <w:r w:rsidRPr="000E7337">
        <w:rPr>
          <w:rFonts w:eastAsia="Times New Roman"/>
          <w:color w:val="181818"/>
          <w:sz w:val="20"/>
          <w:lang w:val="en-US"/>
        </w:rPr>
        <w:t xml:space="preserve">Furthermore, </w:t>
      </w:r>
      <w:r w:rsidRPr="000E7337">
        <w:rPr>
          <w:rFonts w:eastAsia="Times New Roman"/>
          <w:color w:val="000000"/>
          <w:sz w:val="20"/>
          <w:lang w:val="en-US"/>
        </w:rPr>
        <w:t>the illustrated example provided in the consultation paper is very helpful in clarifying implementation expectations. We encourage the ESMA to provide further examples across different disclosures, inclusion of tables and layout styles, as well as examples of tables or detail disclosures that would not fall in scope of the mark-up requirements.</w:t>
      </w:r>
    </w:p>
    <w:p w14:paraId="1047F808" w14:textId="77777777" w:rsidR="000E7337" w:rsidRPr="000E7337" w:rsidRDefault="000E7337" w:rsidP="000E7337">
      <w:pPr>
        <w:spacing w:after="0" w:line="240" w:lineRule="auto"/>
        <w:jc w:val="left"/>
        <w:rPr>
          <w:rFonts w:ascii="Times New Roman" w:eastAsia="Times New Roman" w:hAnsi="Times New Roman" w:cs="Times New Roman"/>
          <w:color w:val="auto"/>
          <w:sz w:val="24"/>
          <w:szCs w:val="24"/>
          <w:lang w:val="en-US"/>
        </w:rPr>
      </w:pPr>
    </w:p>
    <w:p w14:paraId="471B4256" w14:textId="62B4F27B" w:rsidR="006A64ED" w:rsidRPr="00C43CA9" w:rsidRDefault="000E7337" w:rsidP="001D2751">
      <w:pPr>
        <w:spacing w:after="0" w:line="240" w:lineRule="auto"/>
        <w:jc w:val="left"/>
        <w:rPr>
          <w:rFonts w:ascii="Times New Roman" w:eastAsia="Times New Roman" w:hAnsi="Times New Roman" w:cs="Times New Roman"/>
          <w:color w:val="auto"/>
          <w:sz w:val="24"/>
          <w:szCs w:val="24"/>
          <w:lang w:val="en-US"/>
        </w:rPr>
      </w:pPr>
      <w:r w:rsidRPr="000E7337">
        <w:rPr>
          <w:rFonts w:eastAsia="Times New Roman"/>
          <w:color w:val="000000"/>
          <w:sz w:val="20"/>
          <w:lang w:val="en-US"/>
        </w:rPr>
        <w:t>Additionally, it was proposed that fact-to-fact relationships should be utilized to create relationships between marked up tables an</w:t>
      </w:r>
      <w:r w:rsidR="00384712" w:rsidRPr="00C43CA9">
        <w:rPr>
          <w:rFonts w:eastAsia="Times New Roman"/>
          <w:color w:val="000000"/>
          <w:sz w:val="20"/>
          <w:lang w:val="en-US"/>
        </w:rPr>
        <w:t>d primary financial statements.</w:t>
      </w:r>
      <w:r w:rsidRPr="000E7337">
        <w:rPr>
          <w:rFonts w:eastAsia="Times New Roman"/>
          <w:color w:val="000000"/>
          <w:sz w:val="20"/>
          <w:lang w:val="en-US"/>
        </w:rPr>
        <w:t xml:space="preserve"> Further clarification would be helpful if additional fact-to-fact relationships will be provided by ESMA</w:t>
      </w:r>
      <w:r w:rsidR="001D2751" w:rsidRPr="00C43CA9">
        <w:rPr>
          <w:rFonts w:eastAsia="Times New Roman"/>
          <w:color w:val="000000"/>
          <w:sz w:val="20"/>
          <w:shd w:val="clear" w:color="auto" w:fill="FFFF00"/>
          <w:lang w:val="en-US"/>
        </w:rPr>
        <w:t>.</w:t>
      </w:r>
    </w:p>
    <w:permEnd w:id="662070572"/>
    <w:p w14:paraId="7BCCC53D" w14:textId="77777777" w:rsidR="006A64ED" w:rsidRPr="00C43CA9" w:rsidRDefault="006A64ED" w:rsidP="006A64ED">
      <w:pPr>
        <w:spacing w:after="0"/>
        <w:rPr>
          <w:sz w:val="20"/>
          <w:szCs w:val="18"/>
        </w:rPr>
      </w:pPr>
      <w:r w:rsidRPr="00C43CA9">
        <w:rPr>
          <w:sz w:val="20"/>
          <w:szCs w:val="18"/>
        </w:rPr>
        <w:t>&lt;ESMA_QUESTION_ESEFEEAP_17&gt;</w:t>
      </w:r>
    </w:p>
    <w:p w14:paraId="09886FE7" w14:textId="460CD82B" w:rsidR="006A64ED" w:rsidRPr="00C43CA9" w:rsidRDefault="006A64ED" w:rsidP="006A64ED">
      <w:pPr>
        <w:spacing w:after="0" w:line="240" w:lineRule="auto"/>
        <w:jc w:val="left"/>
        <w:rPr>
          <w:rFonts w:eastAsia="Times New Roman"/>
          <w:color w:val="auto"/>
          <w:szCs w:val="22"/>
          <w:lang w:eastAsia="en-GB"/>
        </w:rPr>
      </w:pPr>
    </w:p>
    <w:p w14:paraId="06F48DD2" w14:textId="77777777" w:rsidR="006A64ED" w:rsidRPr="00C43CA9" w:rsidRDefault="006A64ED" w:rsidP="006A64ED">
      <w:pPr>
        <w:spacing w:after="0" w:line="240" w:lineRule="auto"/>
        <w:jc w:val="left"/>
        <w:rPr>
          <w:rFonts w:eastAsia="Times New Roman"/>
          <w:color w:val="auto"/>
          <w:szCs w:val="22"/>
          <w:lang w:eastAsia="en-GB"/>
        </w:rPr>
      </w:pPr>
      <w:r w:rsidRPr="00C43CA9">
        <w:rPr>
          <w:rFonts w:eastAsia="Times New Roman"/>
          <w:b/>
          <w:bCs/>
          <w:color w:val="auto"/>
          <w:szCs w:val="22"/>
          <w:lang w:eastAsia="en-GB"/>
        </w:rPr>
        <w:t>Question 18:</w:t>
      </w:r>
      <w:r w:rsidRPr="00C43CA9">
        <w:rPr>
          <w:rFonts w:eastAsia="Times New Roman"/>
          <w:color w:val="auto"/>
          <w:szCs w:val="22"/>
          <w:lang w:eastAsia="en-GB"/>
        </w:rPr>
        <w:t xml:space="preserve"> Do you agree with the content outlined in phase two? Do you think there is added value in detailed marking up of the Notes to the IFRS consolidated financial statements, particularly for all figures in a declared currency within the tables? Do you think that detailed tagging of numerical elements for which issuers should create extensions because there is no corresponding core taxonomy element provide added value? If not, please provide your reasons and suggest alternatives to detailed-marking up the Notes to the IFRS consolidated financial statements. </w:t>
      </w:r>
    </w:p>
    <w:p w14:paraId="3B621B11" w14:textId="77777777" w:rsidR="006A64ED" w:rsidRPr="00C43CA9" w:rsidRDefault="006A64ED" w:rsidP="006A64ED">
      <w:pPr>
        <w:spacing w:after="0"/>
        <w:rPr>
          <w:sz w:val="20"/>
          <w:szCs w:val="18"/>
        </w:rPr>
      </w:pPr>
      <w:r w:rsidRPr="00C43CA9">
        <w:rPr>
          <w:rFonts w:eastAsia="Times New Roman"/>
          <w:color w:val="auto"/>
          <w:szCs w:val="22"/>
          <w:lang w:eastAsia="en-GB"/>
        </w:rPr>
        <w:br/>
      </w:r>
      <w:r w:rsidRPr="00C43CA9">
        <w:rPr>
          <w:sz w:val="20"/>
          <w:szCs w:val="18"/>
        </w:rPr>
        <w:t>&lt;ESMA_QUESTION_ESEFEEAP_18&gt;</w:t>
      </w:r>
    </w:p>
    <w:p w14:paraId="3DB53B89" w14:textId="393DBC9A" w:rsidR="006A64ED" w:rsidRPr="00C43CA9" w:rsidRDefault="00986486" w:rsidP="006A64ED">
      <w:pPr>
        <w:spacing w:after="0"/>
        <w:rPr>
          <w:sz w:val="20"/>
          <w:szCs w:val="18"/>
        </w:rPr>
      </w:pPr>
      <w:permStart w:id="419173650" w:edGrp="everyone"/>
      <w:r w:rsidRPr="00C43CA9">
        <w:rPr>
          <w:color w:val="181818"/>
          <w:sz w:val="20"/>
        </w:rPr>
        <w:t>We support th</w:t>
      </w:r>
      <w:r w:rsidR="00BE2896" w:rsidRPr="00C43CA9">
        <w:rPr>
          <w:color w:val="181818"/>
          <w:sz w:val="20"/>
        </w:rPr>
        <w:t>e inclusion of detailed mark-</w:t>
      </w:r>
      <w:r w:rsidRPr="00C43CA9">
        <w:rPr>
          <w:color w:val="181818"/>
          <w:sz w:val="20"/>
        </w:rPr>
        <w:t>up in the IFRS financial statements for the reasons given above.</w:t>
      </w:r>
    </w:p>
    <w:permEnd w:id="419173650"/>
    <w:p w14:paraId="6CB9C0DF" w14:textId="77777777" w:rsidR="006A64ED" w:rsidRPr="00C43CA9" w:rsidRDefault="006A64ED" w:rsidP="006A64ED">
      <w:pPr>
        <w:spacing w:after="0"/>
        <w:rPr>
          <w:sz w:val="20"/>
          <w:szCs w:val="18"/>
        </w:rPr>
      </w:pPr>
      <w:r w:rsidRPr="00C43CA9">
        <w:rPr>
          <w:sz w:val="20"/>
          <w:szCs w:val="18"/>
        </w:rPr>
        <w:t>&lt;ESMA_QUESTION_ESEFEEAP_18&gt;</w:t>
      </w:r>
    </w:p>
    <w:p w14:paraId="3D4DD8DA" w14:textId="77777777" w:rsidR="006A64ED" w:rsidRPr="00C43CA9" w:rsidRDefault="006A64ED" w:rsidP="006A64ED">
      <w:pPr>
        <w:spacing w:after="0" w:line="240" w:lineRule="auto"/>
        <w:jc w:val="left"/>
        <w:rPr>
          <w:rFonts w:eastAsia="Times New Roman"/>
          <w:color w:val="auto"/>
          <w:szCs w:val="22"/>
          <w:lang w:eastAsia="en-GB"/>
        </w:rPr>
      </w:pPr>
    </w:p>
    <w:p w14:paraId="7DD5407C" w14:textId="77777777" w:rsidR="006A64ED" w:rsidRPr="00C43CA9" w:rsidRDefault="006A64ED" w:rsidP="006A64ED">
      <w:pPr>
        <w:spacing w:after="0" w:line="240" w:lineRule="auto"/>
        <w:jc w:val="left"/>
        <w:rPr>
          <w:rFonts w:eastAsia="Times New Roman"/>
          <w:color w:val="auto"/>
          <w:szCs w:val="22"/>
          <w:lang w:eastAsia="en-GB"/>
        </w:rPr>
      </w:pPr>
      <w:r w:rsidRPr="00C43CA9">
        <w:rPr>
          <w:rFonts w:eastAsia="Times New Roman"/>
          <w:b/>
          <w:bCs/>
          <w:color w:val="auto"/>
          <w:szCs w:val="22"/>
          <w:lang w:eastAsia="en-GB"/>
        </w:rPr>
        <w:t>Question 19:</w:t>
      </w:r>
      <w:r w:rsidRPr="00C43CA9">
        <w:rPr>
          <w:rFonts w:eastAsia="Times New Roman"/>
          <w:color w:val="auto"/>
          <w:szCs w:val="22"/>
          <w:lang w:eastAsia="en-GB"/>
        </w:rPr>
        <w:t xml:space="preserve"> Do you agree with the proposal to remove the current list of mandatory core taxonomy elements outlined in Annex II of the RTS on ESEF and replace it with a more concise and targeted list of mandatory taxonomy elements? If not, please explain your reasons. </w:t>
      </w:r>
    </w:p>
    <w:p w14:paraId="0F5F9981" w14:textId="77777777" w:rsidR="006A64ED" w:rsidRPr="00C43CA9" w:rsidRDefault="006A64ED" w:rsidP="006A64ED">
      <w:pPr>
        <w:spacing w:after="0" w:line="240" w:lineRule="auto"/>
        <w:jc w:val="left"/>
        <w:rPr>
          <w:rFonts w:eastAsia="Times New Roman"/>
          <w:color w:val="auto"/>
          <w:szCs w:val="22"/>
          <w:lang w:eastAsia="en-GB"/>
        </w:rPr>
      </w:pPr>
    </w:p>
    <w:p w14:paraId="494D32E8" w14:textId="77777777" w:rsidR="006A64ED" w:rsidRPr="00C43CA9" w:rsidRDefault="006A64ED" w:rsidP="006A64ED">
      <w:pPr>
        <w:spacing w:after="0"/>
        <w:rPr>
          <w:sz w:val="20"/>
          <w:szCs w:val="18"/>
        </w:rPr>
      </w:pPr>
      <w:r w:rsidRPr="00C43CA9">
        <w:rPr>
          <w:sz w:val="20"/>
          <w:szCs w:val="18"/>
        </w:rPr>
        <w:t>&lt;ESMA_QUESTION_ESEFEEAP_19&gt;</w:t>
      </w:r>
    </w:p>
    <w:p w14:paraId="31A6B95C" w14:textId="46EB2A37" w:rsidR="006A64ED" w:rsidRPr="00C43CA9" w:rsidRDefault="00986486" w:rsidP="006A64ED">
      <w:pPr>
        <w:spacing w:after="0"/>
        <w:rPr>
          <w:sz w:val="20"/>
          <w:szCs w:val="18"/>
        </w:rPr>
      </w:pPr>
      <w:permStart w:id="83845519" w:edGrp="everyone"/>
      <w:r w:rsidRPr="00C43CA9">
        <w:rPr>
          <w:color w:val="181818"/>
          <w:sz w:val="20"/>
        </w:rPr>
        <w:lastRenderedPageBreak/>
        <w:t>We agree with this proposal.</w:t>
      </w:r>
    </w:p>
    <w:permEnd w:id="83845519"/>
    <w:p w14:paraId="6421D869" w14:textId="77777777" w:rsidR="006A64ED" w:rsidRPr="00C43CA9" w:rsidRDefault="006A64ED" w:rsidP="006A64ED">
      <w:pPr>
        <w:spacing w:after="0"/>
        <w:rPr>
          <w:sz w:val="20"/>
          <w:szCs w:val="18"/>
        </w:rPr>
      </w:pPr>
      <w:r w:rsidRPr="00C43CA9">
        <w:rPr>
          <w:sz w:val="20"/>
          <w:szCs w:val="18"/>
        </w:rPr>
        <w:t>&lt;ESMA_QUESTION_ESEFEEAP_19&gt;</w:t>
      </w:r>
    </w:p>
    <w:p w14:paraId="2131785C" w14:textId="16C52A4F" w:rsidR="006A64ED" w:rsidRPr="00C43CA9" w:rsidRDefault="006A64ED" w:rsidP="006A64ED">
      <w:pPr>
        <w:spacing w:after="0" w:line="240" w:lineRule="auto"/>
        <w:jc w:val="left"/>
        <w:rPr>
          <w:rFonts w:eastAsia="Times New Roman"/>
          <w:color w:val="auto"/>
          <w:szCs w:val="22"/>
          <w:lang w:eastAsia="en-GB"/>
        </w:rPr>
      </w:pPr>
    </w:p>
    <w:p w14:paraId="7B6AD09A" w14:textId="77777777" w:rsidR="006A64ED" w:rsidRPr="00C43CA9" w:rsidRDefault="006A64ED" w:rsidP="006A64ED">
      <w:pPr>
        <w:spacing w:after="0" w:line="240" w:lineRule="auto"/>
        <w:jc w:val="left"/>
        <w:rPr>
          <w:rFonts w:eastAsia="Times New Roman"/>
          <w:color w:val="auto"/>
          <w:szCs w:val="22"/>
          <w:lang w:eastAsia="en-GB"/>
        </w:rPr>
      </w:pPr>
      <w:r w:rsidRPr="00C43CA9">
        <w:rPr>
          <w:rFonts w:eastAsia="Times New Roman"/>
          <w:b/>
          <w:bCs/>
          <w:color w:val="auto"/>
          <w:szCs w:val="22"/>
          <w:lang w:eastAsia="en-GB"/>
        </w:rPr>
        <w:t>Question 20:</w:t>
      </w:r>
      <w:r w:rsidRPr="00C43CA9">
        <w:rPr>
          <w:rFonts w:eastAsia="Times New Roman"/>
          <w:color w:val="auto"/>
          <w:szCs w:val="22"/>
          <w:lang w:eastAsia="en-GB"/>
        </w:rPr>
        <w:t xml:space="preserve"> Do you agree with the proposed list of mandatory elements? If not, please provide your reasons and suggest any elements that should be removed or added. </w:t>
      </w:r>
    </w:p>
    <w:p w14:paraId="2D039903" w14:textId="77777777" w:rsidR="006A64ED" w:rsidRPr="00C43CA9" w:rsidRDefault="006A64ED" w:rsidP="006A64ED">
      <w:pPr>
        <w:spacing w:after="0"/>
        <w:rPr>
          <w:sz w:val="20"/>
          <w:szCs w:val="18"/>
        </w:rPr>
      </w:pPr>
      <w:r w:rsidRPr="00C43CA9">
        <w:rPr>
          <w:rFonts w:eastAsia="Times New Roman"/>
          <w:color w:val="auto"/>
          <w:szCs w:val="22"/>
          <w:lang w:eastAsia="en-GB"/>
        </w:rPr>
        <w:br/>
      </w:r>
      <w:r w:rsidRPr="00C43CA9">
        <w:rPr>
          <w:sz w:val="20"/>
          <w:szCs w:val="18"/>
        </w:rPr>
        <w:t>&lt;ESMA_QUESTION_ESEFEEAP_20&gt;</w:t>
      </w:r>
    </w:p>
    <w:p w14:paraId="7E11D364" w14:textId="1484B9DA" w:rsidR="006A64ED" w:rsidRPr="00C43CA9" w:rsidRDefault="00986486" w:rsidP="006A64ED">
      <w:pPr>
        <w:spacing w:after="0"/>
        <w:rPr>
          <w:sz w:val="20"/>
          <w:szCs w:val="18"/>
        </w:rPr>
      </w:pPr>
      <w:permStart w:id="1357663695" w:edGrp="everyone"/>
      <w:r w:rsidRPr="00C43CA9">
        <w:rPr>
          <w:color w:val="181818"/>
          <w:sz w:val="20"/>
        </w:rPr>
        <w:t>We support the proposed list of mandatory elements, in particular the identification of the</w:t>
      </w:r>
      <w:r w:rsidR="00BE2896" w:rsidRPr="00C43CA9">
        <w:rPr>
          <w:color w:val="181818"/>
          <w:sz w:val="20"/>
        </w:rPr>
        <w:t xml:space="preserve"> software services used. Furthermore,</w:t>
      </w:r>
      <w:r w:rsidRPr="00C43CA9">
        <w:rPr>
          <w:color w:val="181818"/>
          <w:sz w:val="20"/>
        </w:rPr>
        <w:t xml:space="preserve"> we would suggest allowing the identification of more than one auditor (for use in the case of joint audits) and identify financial a</w:t>
      </w:r>
      <w:r w:rsidR="00BE2896" w:rsidRPr="00C43CA9">
        <w:rPr>
          <w:color w:val="181818"/>
          <w:sz w:val="20"/>
        </w:rPr>
        <w:t>nd sustainability auditors. Finally</w:t>
      </w:r>
      <w:r w:rsidRPr="00C43CA9">
        <w:rPr>
          <w:color w:val="181818"/>
          <w:sz w:val="20"/>
        </w:rPr>
        <w:t>, allow more than one vendor to be specified.</w:t>
      </w:r>
    </w:p>
    <w:permEnd w:id="1357663695"/>
    <w:p w14:paraId="0CE7923A" w14:textId="77777777" w:rsidR="006A64ED" w:rsidRPr="00C43CA9" w:rsidRDefault="006A64ED" w:rsidP="006A64ED">
      <w:pPr>
        <w:spacing w:after="0"/>
        <w:rPr>
          <w:sz w:val="20"/>
          <w:szCs w:val="18"/>
        </w:rPr>
      </w:pPr>
      <w:r w:rsidRPr="00C43CA9">
        <w:rPr>
          <w:sz w:val="20"/>
          <w:szCs w:val="18"/>
        </w:rPr>
        <w:t>&lt;ESMA_QUESTION_ESEFEEAP_20&gt;</w:t>
      </w:r>
    </w:p>
    <w:p w14:paraId="6BD9707A" w14:textId="77777777" w:rsidR="006A64ED" w:rsidRPr="00C43CA9" w:rsidRDefault="006A64ED" w:rsidP="006A64ED">
      <w:pPr>
        <w:spacing w:after="0" w:line="240" w:lineRule="auto"/>
        <w:jc w:val="left"/>
        <w:rPr>
          <w:rFonts w:eastAsia="Times New Roman"/>
          <w:color w:val="auto"/>
          <w:szCs w:val="22"/>
          <w:lang w:eastAsia="en-GB"/>
        </w:rPr>
      </w:pPr>
    </w:p>
    <w:p w14:paraId="5F4A1F5B" w14:textId="0579E80C" w:rsidR="006A64ED" w:rsidRPr="00C43CA9" w:rsidRDefault="006A64ED" w:rsidP="006A64ED">
      <w:pPr>
        <w:spacing w:after="0" w:line="240" w:lineRule="auto"/>
        <w:jc w:val="left"/>
        <w:rPr>
          <w:rFonts w:eastAsia="Times New Roman"/>
          <w:color w:val="auto"/>
          <w:szCs w:val="22"/>
          <w:lang w:eastAsia="en-GB"/>
        </w:rPr>
      </w:pPr>
      <w:r w:rsidRPr="00C43CA9">
        <w:rPr>
          <w:rFonts w:eastAsia="Times New Roman"/>
          <w:b/>
          <w:bCs/>
          <w:color w:val="auto"/>
          <w:szCs w:val="22"/>
          <w:lang w:eastAsia="en-GB"/>
        </w:rPr>
        <w:t>Question 21:</w:t>
      </w:r>
      <w:r w:rsidRPr="00C43CA9">
        <w:rPr>
          <w:rFonts w:eastAsia="Times New Roman"/>
          <w:color w:val="auto"/>
          <w:szCs w:val="22"/>
          <w:lang w:eastAsia="en-GB"/>
        </w:rPr>
        <w:t xml:space="preserve"> Do you agree with the revised approach towards the creation of extension taxonomy elements for the Notes to the IFRS consolidated financial statements and the principles outlined? If not, please explain your reasons and suggest alternatives. </w:t>
      </w:r>
    </w:p>
    <w:p w14:paraId="1ED7E255" w14:textId="77777777" w:rsidR="006A64ED" w:rsidRPr="00C43CA9" w:rsidRDefault="006A64ED" w:rsidP="006A64ED">
      <w:pPr>
        <w:spacing w:after="0"/>
        <w:rPr>
          <w:sz w:val="20"/>
          <w:szCs w:val="18"/>
        </w:rPr>
      </w:pPr>
      <w:r w:rsidRPr="00C43CA9">
        <w:rPr>
          <w:sz w:val="20"/>
          <w:szCs w:val="18"/>
        </w:rPr>
        <w:t>&lt;ESMA_QUESTION_ESEFEEAP_21&gt;</w:t>
      </w:r>
    </w:p>
    <w:p w14:paraId="5B128B8D" w14:textId="0B3933A2" w:rsidR="006A64ED" w:rsidRPr="00C43CA9" w:rsidRDefault="000477F4" w:rsidP="006A64ED">
      <w:pPr>
        <w:spacing w:after="0"/>
        <w:rPr>
          <w:sz w:val="20"/>
          <w:szCs w:val="18"/>
        </w:rPr>
      </w:pPr>
      <w:permStart w:id="268056993" w:edGrp="everyone"/>
      <w:r w:rsidRPr="00C43CA9">
        <w:rPr>
          <w:sz w:val="20"/>
          <w:szCs w:val="18"/>
        </w:rPr>
        <w:t xml:space="preserve">We encourage the ESMA to provide practical examples of </w:t>
      </w:r>
      <w:r w:rsidR="00AE3E97" w:rsidRPr="00C43CA9">
        <w:rPr>
          <w:sz w:val="20"/>
          <w:szCs w:val="18"/>
        </w:rPr>
        <w:t>“</w:t>
      </w:r>
      <w:r w:rsidRPr="00C43CA9">
        <w:rPr>
          <w:sz w:val="20"/>
          <w:szCs w:val="18"/>
        </w:rPr>
        <w:t>relevant and necessary information</w:t>
      </w:r>
      <w:r w:rsidR="00AE3E97" w:rsidRPr="00C43CA9">
        <w:rPr>
          <w:sz w:val="20"/>
          <w:szCs w:val="18"/>
        </w:rPr>
        <w:t>”</w:t>
      </w:r>
      <w:r w:rsidRPr="00C43CA9">
        <w:rPr>
          <w:sz w:val="20"/>
          <w:szCs w:val="18"/>
        </w:rPr>
        <w:t xml:space="preserve"> </w:t>
      </w:r>
      <w:r w:rsidR="00AE3E97" w:rsidRPr="00C43CA9">
        <w:rPr>
          <w:sz w:val="20"/>
          <w:szCs w:val="18"/>
        </w:rPr>
        <w:t>for appropriate extensions</w:t>
      </w:r>
      <w:r w:rsidR="00A43B02" w:rsidRPr="00C43CA9">
        <w:rPr>
          <w:sz w:val="20"/>
          <w:szCs w:val="18"/>
        </w:rPr>
        <w:t xml:space="preserve"> to increase consistency</w:t>
      </w:r>
      <w:r w:rsidR="00AE3E97" w:rsidRPr="00C43CA9">
        <w:rPr>
          <w:sz w:val="20"/>
          <w:szCs w:val="18"/>
        </w:rPr>
        <w:t xml:space="preserve">. </w:t>
      </w:r>
    </w:p>
    <w:permEnd w:id="268056993"/>
    <w:p w14:paraId="718094A9" w14:textId="77777777" w:rsidR="006A64ED" w:rsidRPr="00C43CA9" w:rsidRDefault="006A64ED" w:rsidP="006A64ED">
      <w:pPr>
        <w:spacing w:after="0"/>
        <w:rPr>
          <w:sz w:val="20"/>
          <w:szCs w:val="18"/>
        </w:rPr>
      </w:pPr>
      <w:r w:rsidRPr="00C43CA9">
        <w:rPr>
          <w:sz w:val="20"/>
          <w:szCs w:val="18"/>
        </w:rPr>
        <w:t>&lt;ESMA_QUESTION_ESEFEEAP_21&gt;</w:t>
      </w:r>
    </w:p>
    <w:p w14:paraId="0E368182" w14:textId="77777777" w:rsidR="006A64ED" w:rsidRPr="00C43CA9" w:rsidRDefault="006A64ED" w:rsidP="006A64ED">
      <w:pPr>
        <w:spacing w:after="0" w:line="240" w:lineRule="auto"/>
        <w:jc w:val="left"/>
        <w:rPr>
          <w:rFonts w:eastAsia="Times New Roman"/>
          <w:color w:val="auto"/>
          <w:szCs w:val="22"/>
          <w:lang w:eastAsia="en-GB"/>
        </w:rPr>
      </w:pPr>
    </w:p>
    <w:p w14:paraId="36CDEDA5" w14:textId="2B163686" w:rsidR="006A64ED" w:rsidRPr="00C43CA9" w:rsidRDefault="006A64ED" w:rsidP="006A64ED">
      <w:pPr>
        <w:spacing w:after="0" w:line="240" w:lineRule="auto"/>
        <w:jc w:val="left"/>
        <w:rPr>
          <w:rFonts w:eastAsia="Times New Roman"/>
          <w:color w:val="auto"/>
          <w:szCs w:val="22"/>
          <w:lang w:eastAsia="en-GB"/>
        </w:rPr>
      </w:pPr>
      <w:r w:rsidRPr="00C43CA9">
        <w:rPr>
          <w:rFonts w:eastAsia="Times New Roman"/>
          <w:b/>
          <w:bCs/>
          <w:color w:val="auto"/>
          <w:szCs w:val="22"/>
          <w:lang w:eastAsia="en-GB"/>
        </w:rPr>
        <w:t>Question 22:</w:t>
      </w:r>
      <w:r w:rsidRPr="00C43CA9">
        <w:rPr>
          <w:rFonts w:eastAsia="Times New Roman"/>
          <w:color w:val="auto"/>
          <w:szCs w:val="22"/>
          <w:lang w:eastAsia="en-GB"/>
        </w:rPr>
        <w:t xml:space="preserve"> Do you agree with the inclusion of a review clause that would trigger stock-taking by ESMA to consider any necessary adjustments in response to the changing circumstances and to bundle these adjustments with other updates where feasible? If not, please explain your reasons. </w:t>
      </w:r>
      <w:r w:rsidRPr="00C43CA9">
        <w:rPr>
          <w:rFonts w:eastAsia="Times New Roman"/>
          <w:color w:val="auto"/>
          <w:szCs w:val="22"/>
          <w:lang w:eastAsia="en-GB"/>
        </w:rPr>
        <w:br/>
      </w:r>
    </w:p>
    <w:p w14:paraId="45A3268D" w14:textId="01145748" w:rsidR="006A64ED" w:rsidRPr="00C43CA9" w:rsidRDefault="006A64ED" w:rsidP="006A64ED">
      <w:pPr>
        <w:spacing w:after="0"/>
        <w:rPr>
          <w:sz w:val="20"/>
          <w:szCs w:val="18"/>
        </w:rPr>
      </w:pPr>
      <w:r w:rsidRPr="00C43CA9">
        <w:rPr>
          <w:sz w:val="20"/>
          <w:szCs w:val="18"/>
        </w:rPr>
        <w:t>&lt;ESMA_QUESTION_ESEFEEAP_22&gt;</w:t>
      </w:r>
    </w:p>
    <w:p w14:paraId="1F0AC41E" w14:textId="06E20ACD" w:rsidR="006A64ED" w:rsidRPr="00C43CA9" w:rsidRDefault="00A43B02" w:rsidP="006A64ED">
      <w:pPr>
        <w:spacing w:after="0"/>
        <w:rPr>
          <w:sz w:val="20"/>
          <w:szCs w:val="18"/>
        </w:rPr>
      </w:pPr>
      <w:permStart w:id="1477533567" w:edGrp="everyone"/>
      <w:r w:rsidRPr="00C43CA9">
        <w:rPr>
          <w:sz w:val="20"/>
          <w:szCs w:val="18"/>
        </w:rPr>
        <w:t>Please see Question 7 above.</w:t>
      </w:r>
    </w:p>
    <w:permEnd w:id="1477533567"/>
    <w:p w14:paraId="7B128504" w14:textId="3318EB6D" w:rsidR="006A64ED" w:rsidRPr="00C43CA9" w:rsidRDefault="006A64ED" w:rsidP="006A64ED">
      <w:pPr>
        <w:spacing w:after="0"/>
        <w:rPr>
          <w:sz w:val="20"/>
          <w:szCs w:val="18"/>
        </w:rPr>
      </w:pPr>
      <w:r w:rsidRPr="00C43CA9">
        <w:rPr>
          <w:sz w:val="20"/>
          <w:szCs w:val="18"/>
        </w:rPr>
        <w:t>&lt;ESMA_QUESTION_ESEFEEAP_22&gt;</w:t>
      </w:r>
    </w:p>
    <w:p w14:paraId="23DA7352" w14:textId="77777777" w:rsidR="00AF763D" w:rsidRPr="00C43CA9" w:rsidRDefault="00AF763D" w:rsidP="006A64ED">
      <w:pPr>
        <w:spacing w:after="0"/>
        <w:rPr>
          <w:sz w:val="20"/>
          <w:szCs w:val="18"/>
        </w:rPr>
      </w:pPr>
    </w:p>
    <w:p w14:paraId="3672816E" w14:textId="56E09C4A" w:rsidR="00AF763D" w:rsidRPr="00C43CA9" w:rsidRDefault="00206B4F" w:rsidP="006A64ED">
      <w:pPr>
        <w:spacing w:after="0"/>
        <w:rPr>
          <w:sz w:val="20"/>
          <w:szCs w:val="18"/>
        </w:rPr>
      </w:pPr>
      <w:r w:rsidRPr="00C43CA9">
        <w:rPr>
          <w:rFonts w:eastAsia="Times New Roman"/>
          <w:color w:val="auto"/>
          <w:szCs w:val="22"/>
          <w:lang w:eastAsia="en-GB"/>
        </w:rPr>
        <w:pict w14:anchorId="61DC2E14">
          <v:rect id="_x0000_i1028" style="width:0;height:1.5pt" o:hralign="center" o:hrstd="t" o:hr="t" fillcolor="#a0a0a0" stroked="f"/>
        </w:pict>
      </w:r>
    </w:p>
    <w:p w14:paraId="0FD59DBF" w14:textId="78E76C73" w:rsidR="00AF763D" w:rsidRPr="00C43CA9" w:rsidRDefault="00AF763D" w:rsidP="00AF763D">
      <w:pPr>
        <w:pStyle w:val="aNEW-Level1"/>
        <w:ind w:left="431" w:hanging="431"/>
        <w:rPr>
          <w:rFonts w:eastAsia="Times New Roman"/>
          <w:color w:val="00379F" w:themeColor="text1"/>
          <w:lang w:eastAsia="en-GB"/>
        </w:rPr>
      </w:pPr>
      <w:r w:rsidRPr="00C43CA9">
        <w:rPr>
          <w:rFonts w:eastAsia="Times New Roman"/>
          <w:color w:val="00379F" w:themeColor="text1"/>
          <w:lang w:eastAsia="en-GB"/>
        </w:rPr>
        <w:t>Targeted improvements to the existing drafting of the RTS on ESEF</w:t>
      </w:r>
    </w:p>
    <w:p w14:paraId="157B039B" w14:textId="77777777" w:rsidR="00AF763D" w:rsidRPr="00C43CA9" w:rsidRDefault="00AF763D" w:rsidP="00AF763D">
      <w:pPr>
        <w:spacing w:after="0" w:line="240" w:lineRule="auto"/>
        <w:jc w:val="left"/>
        <w:rPr>
          <w:rFonts w:eastAsia="Times New Roman"/>
          <w:color w:val="auto"/>
          <w:szCs w:val="22"/>
          <w:lang w:eastAsia="en-GB"/>
        </w:rPr>
      </w:pPr>
      <w:r w:rsidRPr="00C43CA9">
        <w:rPr>
          <w:rFonts w:eastAsia="Times New Roman"/>
          <w:b/>
          <w:bCs/>
          <w:color w:val="auto"/>
          <w:szCs w:val="22"/>
          <w:lang w:eastAsia="en-GB"/>
        </w:rPr>
        <w:t>Question 23</w:t>
      </w:r>
      <w:r w:rsidRPr="00C43CA9">
        <w:rPr>
          <w:rFonts w:eastAsia="Times New Roman"/>
          <w:color w:val="auto"/>
          <w:szCs w:val="22"/>
          <w:lang w:eastAsia="en-GB"/>
        </w:rPr>
        <w:t xml:space="preserve">: Do you agree with the proposals for the targeted amendments to the RTS on ESEF? If not, please explain your reasons and suggest alternatives. In your response, reference specific proposals by proposal number. </w:t>
      </w:r>
    </w:p>
    <w:p w14:paraId="3891406D" w14:textId="77777777" w:rsidR="00AF763D" w:rsidRPr="00C43CA9" w:rsidRDefault="00AF763D" w:rsidP="00AF763D">
      <w:pPr>
        <w:spacing w:after="0" w:line="240" w:lineRule="auto"/>
        <w:jc w:val="left"/>
        <w:rPr>
          <w:rFonts w:eastAsia="Times New Roman"/>
          <w:color w:val="auto"/>
          <w:szCs w:val="22"/>
          <w:lang w:eastAsia="en-GB"/>
        </w:rPr>
      </w:pPr>
    </w:p>
    <w:p w14:paraId="50C6D8F9" w14:textId="6C0F5210" w:rsidR="00AF763D" w:rsidRPr="00C43CA9" w:rsidRDefault="00AF763D" w:rsidP="00AF763D">
      <w:pPr>
        <w:spacing w:after="0"/>
        <w:rPr>
          <w:sz w:val="20"/>
          <w:szCs w:val="18"/>
        </w:rPr>
      </w:pPr>
      <w:r w:rsidRPr="00C43CA9">
        <w:rPr>
          <w:sz w:val="20"/>
          <w:szCs w:val="18"/>
        </w:rPr>
        <w:t>&lt;ESMA_QUESTION_ESEFEEAP_23&gt;</w:t>
      </w:r>
    </w:p>
    <w:p w14:paraId="777E9EFF" w14:textId="201342F4" w:rsidR="00AF763D" w:rsidRPr="00C43CA9" w:rsidRDefault="001D2751" w:rsidP="00AF763D">
      <w:pPr>
        <w:spacing w:after="0"/>
        <w:rPr>
          <w:color w:val="000000"/>
          <w:sz w:val="20"/>
        </w:rPr>
      </w:pPr>
      <w:permStart w:id="751384416" w:edGrp="everyone"/>
      <w:r w:rsidRPr="00C43CA9">
        <w:rPr>
          <w:color w:val="000000"/>
          <w:sz w:val="20"/>
        </w:rPr>
        <w:t>As part of the consultation paper, it was noted in the revised RTS Annex II, Section (b) Paragraph 7(d) that fact-to-fact relationships are to be digitally provided as part of Phase 3 of th</w:t>
      </w:r>
      <w:r w:rsidR="00986486" w:rsidRPr="00C43CA9">
        <w:rPr>
          <w:color w:val="000000"/>
          <w:sz w:val="20"/>
        </w:rPr>
        <w:t>e sustainability digitis</w:t>
      </w:r>
      <w:r w:rsidR="003C7D69" w:rsidRPr="00C43CA9">
        <w:rPr>
          <w:color w:val="000000"/>
          <w:sz w:val="20"/>
        </w:rPr>
        <w:t>ation. </w:t>
      </w:r>
      <w:r w:rsidRPr="00C43CA9">
        <w:rPr>
          <w:color w:val="000000"/>
          <w:sz w:val="20"/>
        </w:rPr>
        <w:t xml:space="preserve">However, in Section 3.3.3.2 Paragraph 77(b) of the consultation paper, fact-to-fact relationships are only mentioned in Phase 1. Additional clarification on the requirement would be beneficial. </w:t>
      </w:r>
    </w:p>
    <w:p w14:paraId="649EB45E" w14:textId="41F7219C" w:rsidR="001D2751" w:rsidRPr="00C43CA9" w:rsidRDefault="001D2751" w:rsidP="00AF763D">
      <w:pPr>
        <w:spacing w:after="0"/>
        <w:rPr>
          <w:color w:val="000000"/>
          <w:sz w:val="20"/>
        </w:rPr>
      </w:pPr>
    </w:p>
    <w:p w14:paraId="6AD78959" w14:textId="2C1A7B09" w:rsidR="001D2751" w:rsidRPr="00C43CA9" w:rsidRDefault="001D2751" w:rsidP="001D2751">
      <w:pPr>
        <w:spacing w:after="0" w:line="240" w:lineRule="auto"/>
        <w:jc w:val="left"/>
        <w:rPr>
          <w:rFonts w:ascii="Times New Roman" w:eastAsia="Times New Roman" w:hAnsi="Times New Roman" w:cs="Times New Roman"/>
          <w:color w:val="auto"/>
          <w:sz w:val="20"/>
          <w:lang w:val="en-US"/>
        </w:rPr>
      </w:pPr>
      <w:r w:rsidRPr="00C43CA9">
        <w:rPr>
          <w:rFonts w:eastAsia="Times New Roman"/>
          <w:color w:val="000000"/>
          <w:sz w:val="20"/>
          <w:lang w:val="en-US"/>
        </w:rPr>
        <w:t>In addition, in conjunction with our review of the Taxonomy Set Prototype, we had the following observations:   </w:t>
      </w:r>
    </w:p>
    <w:p w14:paraId="69BD07C0" w14:textId="04E520C4" w:rsidR="001D2751" w:rsidRPr="00C43CA9" w:rsidRDefault="00E36A4D" w:rsidP="00206B4F">
      <w:pPr>
        <w:numPr>
          <w:ilvl w:val="0"/>
          <w:numId w:val="38"/>
        </w:numPr>
        <w:spacing w:after="0" w:line="240" w:lineRule="auto"/>
        <w:jc w:val="left"/>
        <w:textAlignment w:val="baseline"/>
        <w:rPr>
          <w:rFonts w:eastAsia="Times New Roman"/>
          <w:color w:val="000000"/>
          <w:sz w:val="20"/>
          <w:lang w:val="en-US"/>
        </w:rPr>
      </w:pPr>
      <w:r w:rsidRPr="00C43CA9">
        <w:rPr>
          <w:rFonts w:eastAsia="Times New Roman"/>
          <w:color w:val="000000"/>
          <w:sz w:val="20"/>
          <w:lang w:val="en-US"/>
        </w:rPr>
        <w:t xml:space="preserve">It appears that the IFRS taxonomy presentation did not come through properly in the taxonomy set prototype. For example, we note that the [800200] Analysis of income and expense presentation was not included even though the corresponding concepts are included. Since the taxonomy set would be used to support both sustainability and financial disclosures tagging, it is desirable to include all presentation </w:t>
      </w:r>
      <w:proofErr w:type="spellStart"/>
      <w:r w:rsidRPr="00C43CA9">
        <w:rPr>
          <w:rFonts w:eastAsia="Times New Roman"/>
          <w:color w:val="000000"/>
          <w:sz w:val="20"/>
          <w:lang w:val="en-US"/>
        </w:rPr>
        <w:t>linkroles</w:t>
      </w:r>
      <w:proofErr w:type="spellEnd"/>
      <w:r w:rsidRPr="00C43CA9">
        <w:rPr>
          <w:rFonts w:eastAsia="Times New Roman"/>
          <w:color w:val="000000"/>
          <w:sz w:val="20"/>
          <w:lang w:val="en-US"/>
        </w:rPr>
        <w:t xml:space="preserve"> to support the full taxonomy navigation.</w:t>
      </w:r>
    </w:p>
    <w:p w14:paraId="13DF4AA9" w14:textId="0120E8AE" w:rsidR="001D2751" w:rsidRPr="00C43CA9" w:rsidRDefault="001D2751" w:rsidP="00206B4F">
      <w:pPr>
        <w:numPr>
          <w:ilvl w:val="0"/>
          <w:numId w:val="38"/>
        </w:numPr>
        <w:spacing w:after="0" w:line="240" w:lineRule="auto"/>
        <w:jc w:val="left"/>
        <w:textAlignment w:val="baseline"/>
        <w:rPr>
          <w:rFonts w:eastAsia="Times New Roman"/>
          <w:color w:val="000000"/>
          <w:sz w:val="20"/>
          <w:lang w:val="en-US"/>
        </w:rPr>
      </w:pPr>
      <w:r w:rsidRPr="00C43CA9">
        <w:rPr>
          <w:rFonts w:eastAsia="Times New Roman"/>
          <w:color w:val="000000"/>
          <w:sz w:val="20"/>
          <w:lang w:val="en-US"/>
        </w:rPr>
        <w:t xml:space="preserve">The taxonomy includes role </w:t>
      </w:r>
      <w:r w:rsidR="00E36A4D" w:rsidRPr="00C43CA9">
        <w:rPr>
          <w:rFonts w:eastAsia="Times New Roman"/>
          <w:color w:val="000000"/>
          <w:sz w:val="20"/>
          <w:lang w:val="en-US"/>
        </w:rPr>
        <w:t>[</w:t>
      </w:r>
      <w:r w:rsidRPr="00C43CA9">
        <w:rPr>
          <w:rFonts w:eastAsia="Times New Roman"/>
          <w:color w:val="000000"/>
          <w:sz w:val="20"/>
          <w:lang w:val="en-US"/>
        </w:rPr>
        <w:t>901000</w:t>
      </w:r>
      <w:r w:rsidR="00E36A4D" w:rsidRPr="00C43CA9">
        <w:rPr>
          <w:rFonts w:eastAsia="Times New Roman"/>
          <w:color w:val="000000"/>
          <w:sz w:val="20"/>
          <w:lang w:val="en-US"/>
        </w:rPr>
        <w:t>]</w:t>
      </w:r>
      <w:r w:rsidRPr="00C43CA9">
        <w:rPr>
          <w:rFonts w:eastAsia="Times New Roman"/>
          <w:color w:val="000000"/>
          <w:sz w:val="20"/>
          <w:lang w:val="en-US"/>
        </w:rPr>
        <w:t xml:space="preserve"> which is defined twice but with different definitions: once in ESRS and again in Article 8 that appear to be meaningfully different. </w:t>
      </w:r>
    </w:p>
    <w:p w14:paraId="40D126A8" w14:textId="6174023C" w:rsidR="001D2751" w:rsidRPr="00C43CA9" w:rsidRDefault="001D2751" w:rsidP="00206B4F">
      <w:pPr>
        <w:numPr>
          <w:ilvl w:val="0"/>
          <w:numId w:val="38"/>
        </w:numPr>
        <w:spacing w:after="0" w:line="240" w:lineRule="auto"/>
        <w:jc w:val="left"/>
        <w:textAlignment w:val="baseline"/>
        <w:rPr>
          <w:rFonts w:eastAsia="Times New Roman"/>
          <w:color w:val="000000"/>
          <w:sz w:val="20"/>
          <w:lang w:val="en-US"/>
        </w:rPr>
      </w:pPr>
      <w:r w:rsidRPr="00C43CA9">
        <w:rPr>
          <w:rFonts w:eastAsia="Times New Roman"/>
          <w:color w:val="000000"/>
          <w:sz w:val="20"/>
          <w:lang w:val="en-US"/>
        </w:rPr>
        <w:t xml:space="preserve">The Article 8 taxonomy has the presentation for </w:t>
      </w:r>
      <w:r w:rsidR="00E36A4D" w:rsidRPr="00C43CA9">
        <w:rPr>
          <w:rFonts w:eastAsia="Times New Roman"/>
          <w:color w:val="000000"/>
          <w:sz w:val="20"/>
          <w:lang w:val="en-US"/>
        </w:rPr>
        <w:t>[</w:t>
      </w:r>
      <w:r w:rsidRPr="00C43CA9">
        <w:rPr>
          <w:rFonts w:eastAsia="Times New Roman"/>
          <w:color w:val="000000"/>
          <w:sz w:val="20"/>
          <w:lang w:val="en-US"/>
        </w:rPr>
        <w:t>901000</w:t>
      </w:r>
      <w:r w:rsidR="00E36A4D" w:rsidRPr="00C43CA9">
        <w:rPr>
          <w:rFonts w:eastAsia="Times New Roman"/>
          <w:color w:val="000000"/>
          <w:sz w:val="20"/>
          <w:lang w:val="en-US"/>
        </w:rPr>
        <w:t>]</w:t>
      </w:r>
      <w:r w:rsidRPr="00C43CA9">
        <w:rPr>
          <w:rFonts w:eastAsia="Times New Roman"/>
          <w:color w:val="000000"/>
          <w:sz w:val="20"/>
          <w:lang w:val="en-US"/>
        </w:rPr>
        <w:t xml:space="preserve"> defined but </w:t>
      </w:r>
      <w:r w:rsidR="00E36A4D" w:rsidRPr="00C43CA9">
        <w:rPr>
          <w:rFonts w:eastAsia="Times New Roman"/>
          <w:color w:val="000000"/>
          <w:sz w:val="20"/>
          <w:lang w:val="en-US"/>
        </w:rPr>
        <w:t xml:space="preserve">appears </w:t>
      </w:r>
      <w:r w:rsidRPr="00C43CA9">
        <w:rPr>
          <w:rFonts w:eastAsia="Times New Roman"/>
          <w:color w:val="000000"/>
          <w:sz w:val="20"/>
          <w:lang w:val="en-US"/>
        </w:rPr>
        <w:t>not</w:t>
      </w:r>
      <w:r w:rsidR="00E36A4D" w:rsidRPr="00C43CA9">
        <w:rPr>
          <w:rFonts w:eastAsia="Times New Roman"/>
          <w:color w:val="000000"/>
          <w:sz w:val="20"/>
          <w:lang w:val="en-US"/>
        </w:rPr>
        <w:t xml:space="preserve"> to be</w:t>
      </w:r>
      <w:r w:rsidRPr="00C43CA9">
        <w:rPr>
          <w:rFonts w:eastAsia="Times New Roman"/>
          <w:color w:val="000000"/>
          <w:sz w:val="20"/>
          <w:lang w:val="en-US"/>
        </w:rPr>
        <w:t xml:space="preserve"> imported anywhere. </w:t>
      </w:r>
    </w:p>
    <w:permEnd w:id="751384416"/>
    <w:p w14:paraId="11115366" w14:textId="6EB573BB" w:rsidR="00AF763D" w:rsidRPr="00C43CA9" w:rsidRDefault="00AF763D" w:rsidP="00AF763D">
      <w:pPr>
        <w:spacing w:after="0"/>
        <w:rPr>
          <w:sz w:val="20"/>
          <w:szCs w:val="18"/>
        </w:rPr>
      </w:pPr>
      <w:r w:rsidRPr="00C43CA9">
        <w:rPr>
          <w:sz w:val="20"/>
          <w:szCs w:val="18"/>
        </w:rPr>
        <w:t>&lt;ESMA_QUESTION_ESEFEEAP_23&gt;</w:t>
      </w:r>
      <w:r w:rsidRPr="00C43CA9">
        <w:rPr>
          <w:rFonts w:eastAsia="Times New Roman"/>
          <w:color w:val="auto"/>
          <w:szCs w:val="22"/>
          <w:lang w:eastAsia="en-GB"/>
        </w:rPr>
        <w:br/>
      </w:r>
    </w:p>
    <w:p w14:paraId="3F94A587" w14:textId="77777777" w:rsidR="00AF763D" w:rsidRPr="00C43CA9" w:rsidRDefault="00AF763D" w:rsidP="00AF763D">
      <w:pPr>
        <w:spacing w:after="0" w:line="240" w:lineRule="auto"/>
        <w:jc w:val="left"/>
        <w:rPr>
          <w:rFonts w:eastAsia="Times New Roman"/>
          <w:color w:val="auto"/>
          <w:szCs w:val="22"/>
          <w:lang w:eastAsia="en-GB"/>
        </w:rPr>
      </w:pPr>
      <w:r w:rsidRPr="00C43CA9">
        <w:rPr>
          <w:rFonts w:eastAsia="Times New Roman"/>
          <w:b/>
          <w:bCs/>
          <w:color w:val="auto"/>
          <w:szCs w:val="22"/>
          <w:lang w:eastAsia="en-GB"/>
        </w:rPr>
        <w:lastRenderedPageBreak/>
        <w:t>Question 24:</w:t>
      </w:r>
      <w:r w:rsidRPr="00C43CA9">
        <w:rPr>
          <w:rFonts w:eastAsia="Times New Roman"/>
          <w:color w:val="auto"/>
          <w:szCs w:val="22"/>
          <w:lang w:eastAsia="en-GB"/>
        </w:rPr>
        <w:t xml:space="preserve"> Are there any additional targeted amendments that could be brought to the RTS on ESEF which are not considered in this proposed list? If yes, please provide additional comments, providing specific references to the RTS on ESEF and concrete wording proposals for ESMA to take into consideration. </w:t>
      </w:r>
    </w:p>
    <w:p w14:paraId="23D11F5A" w14:textId="77777777" w:rsidR="00AF763D" w:rsidRPr="00C43CA9" w:rsidRDefault="00AF763D" w:rsidP="00AF763D">
      <w:pPr>
        <w:spacing w:after="0" w:line="240" w:lineRule="auto"/>
        <w:jc w:val="left"/>
        <w:rPr>
          <w:rFonts w:eastAsia="Times New Roman"/>
          <w:color w:val="auto"/>
          <w:szCs w:val="22"/>
          <w:lang w:eastAsia="en-GB"/>
        </w:rPr>
      </w:pPr>
    </w:p>
    <w:p w14:paraId="47AF4B44" w14:textId="1733ED76" w:rsidR="00AF763D" w:rsidRPr="00C43CA9" w:rsidRDefault="00AF763D" w:rsidP="00AF763D">
      <w:pPr>
        <w:spacing w:after="0"/>
        <w:rPr>
          <w:sz w:val="20"/>
          <w:szCs w:val="18"/>
        </w:rPr>
      </w:pPr>
      <w:r w:rsidRPr="00C43CA9">
        <w:rPr>
          <w:sz w:val="20"/>
          <w:szCs w:val="18"/>
        </w:rPr>
        <w:t>&lt;ESMA_QUESTION_ESEFEEAP_24&gt;</w:t>
      </w:r>
    </w:p>
    <w:p w14:paraId="2AE73F5A" w14:textId="77777777" w:rsidR="00AF763D" w:rsidRPr="00C43CA9" w:rsidRDefault="00AF763D" w:rsidP="00AF763D">
      <w:pPr>
        <w:spacing w:after="0"/>
        <w:rPr>
          <w:sz w:val="20"/>
          <w:szCs w:val="18"/>
        </w:rPr>
      </w:pPr>
      <w:permStart w:id="2137860268" w:edGrp="everyone"/>
      <w:r w:rsidRPr="00C43CA9">
        <w:rPr>
          <w:sz w:val="20"/>
          <w:szCs w:val="18"/>
        </w:rPr>
        <w:t>TYPE YOUR TEXT HERE</w:t>
      </w:r>
    </w:p>
    <w:permEnd w:id="2137860268"/>
    <w:p w14:paraId="04763CC3" w14:textId="5AAF76A5" w:rsidR="00AF763D" w:rsidRPr="00C43CA9" w:rsidRDefault="00AF763D" w:rsidP="00AF763D">
      <w:pPr>
        <w:spacing w:after="0"/>
        <w:rPr>
          <w:sz w:val="20"/>
          <w:szCs w:val="18"/>
        </w:rPr>
      </w:pPr>
      <w:r w:rsidRPr="00C43CA9">
        <w:rPr>
          <w:sz w:val="20"/>
          <w:szCs w:val="18"/>
        </w:rPr>
        <w:t>&lt;ESMA_QUESTION_ESEFEEAP_24&gt;</w:t>
      </w:r>
    </w:p>
    <w:p w14:paraId="60B92D92" w14:textId="31817807" w:rsidR="00AF763D" w:rsidRPr="00C43CA9" w:rsidRDefault="00AF763D" w:rsidP="00AF763D">
      <w:pPr>
        <w:spacing w:after="0" w:line="240" w:lineRule="auto"/>
        <w:jc w:val="left"/>
        <w:rPr>
          <w:rFonts w:eastAsia="Times New Roman"/>
          <w:color w:val="auto"/>
          <w:szCs w:val="22"/>
          <w:lang w:eastAsia="en-GB"/>
        </w:rPr>
      </w:pPr>
      <w:r w:rsidRPr="00C43CA9">
        <w:rPr>
          <w:rFonts w:eastAsia="Times New Roman"/>
          <w:color w:val="auto"/>
          <w:szCs w:val="22"/>
          <w:lang w:eastAsia="en-GB"/>
        </w:rPr>
        <w:br/>
      </w:r>
      <w:r w:rsidR="00206B4F" w:rsidRPr="00C43CA9">
        <w:rPr>
          <w:rFonts w:eastAsia="Times New Roman"/>
          <w:color w:val="auto"/>
          <w:szCs w:val="22"/>
          <w:lang w:eastAsia="en-GB"/>
        </w:rPr>
        <w:pict w14:anchorId="208BE29E">
          <v:rect id="_x0000_i1029" style="width:0;height:1.5pt" o:hralign="center" o:hrstd="t" o:hr="t" fillcolor="#a0a0a0" stroked="f"/>
        </w:pict>
      </w:r>
    </w:p>
    <w:p w14:paraId="2291E4BD" w14:textId="61385DC1" w:rsidR="00AF763D" w:rsidRPr="00C43CA9" w:rsidRDefault="00AF763D" w:rsidP="00AF763D">
      <w:pPr>
        <w:pStyle w:val="aNEW-Level1"/>
        <w:ind w:left="431" w:hanging="431"/>
        <w:rPr>
          <w:rFonts w:eastAsia="Times New Roman"/>
          <w:color w:val="00379F" w:themeColor="text1"/>
          <w:lang w:eastAsia="en-GB"/>
        </w:rPr>
      </w:pPr>
      <w:r w:rsidRPr="00C43CA9">
        <w:rPr>
          <w:rFonts w:eastAsia="Times New Roman"/>
          <w:color w:val="00379F" w:themeColor="text1"/>
          <w:lang w:eastAsia="en-GB"/>
        </w:rPr>
        <w:t>Amendments to the RTS on the European Electronic Access Point (Delegated Regulation 2016/1437)</w:t>
      </w:r>
    </w:p>
    <w:p w14:paraId="282CE9B0" w14:textId="77777777" w:rsidR="00AF763D" w:rsidRPr="00C43CA9" w:rsidRDefault="00AF763D" w:rsidP="00AF763D">
      <w:pPr>
        <w:spacing w:after="0" w:line="240" w:lineRule="auto"/>
        <w:jc w:val="left"/>
        <w:rPr>
          <w:rFonts w:eastAsia="Times New Roman"/>
          <w:color w:val="auto"/>
          <w:szCs w:val="22"/>
          <w:lang w:eastAsia="en-GB"/>
        </w:rPr>
      </w:pPr>
    </w:p>
    <w:p w14:paraId="508F7635" w14:textId="77777777" w:rsidR="00AF763D" w:rsidRPr="00C43CA9" w:rsidRDefault="00AF763D" w:rsidP="00AF763D">
      <w:pPr>
        <w:spacing w:after="0" w:line="240" w:lineRule="auto"/>
        <w:jc w:val="left"/>
        <w:rPr>
          <w:rFonts w:eastAsia="Times New Roman"/>
          <w:color w:val="auto"/>
          <w:szCs w:val="22"/>
          <w:lang w:eastAsia="en-GB"/>
        </w:rPr>
      </w:pPr>
      <w:r w:rsidRPr="00C43CA9">
        <w:rPr>
          <w:rFonts w:eastAsia="Times New Roman"/>
          <w:b/>
          <w:bCs/>
          <w:color w:val="auto"/>
          <w:szCs w:val="22"/>
          <w:lang w:eastAsia="en-GB"/>
        </w:rPr>
        <w:t>Question 25</w:t>
      </w:r>
      <w:r w:rsidRPr="00C43CA9">
        <w:rPr>
          <w:rFonts w:eastAsia="Times New Roman"/>
          <w:color w:val="auto"/>
          <w:szCs w:val="22"/>
          <w:lang w:eastAsia="en-GB"/>
        </w:rPr>
        <w:t xml:space="preserve">: Do you agree that it is necessary to amend the RTS on EEAP and with the way ESMA proposes to do so? If not, please explain your reasons. </w:t>
      </w:r>
    </w:p>
    <w:p w14:paraId="3D0EA90E" w14:textId="77777777" w:rsidR="00AF763D" w:rsidRPr="00C43CA9" w:rsidRDefault="00AF763D" w:rsidP="00AF763D">
      <w:pPr>
        <w:spacing w:after="0" w:line="240" w:lineRule="auto"/>
        <w:jc w:val="left"/>
        <w:rPr>
          <w:rFonts w:eastAsia="Times New Roman"/>
          <w:color w:val="auto"/>
          <w:szCs w:val="22"/>
          <w:lang w:eastAsia="en-GB"/>
        </w:rPr>
      </w:pPr>
    </w:p>
    <w:p w14:paraId="31463C73" w14:textId="50D2D40F" w:rsidR="00AF763D" w:rsidRPr="00C43CA9" w:rsidRDefault="00AF763D" w:rsidP="00AF763D">
      <w:pPr>
        <w:spacing w:after="0"/>
        <w:rPr>
          <w:sz w:val="20"/>
          <w:szCs w:val="18"/>
        </w:rPr>
      </w:pPr>
      <w:r w:rsidRPr="00C43CA9">
        <w:rPr>
          <w:sz w:val="20"/>
          <w:szCs w:val="18"/>
        </w:rPr>
        <w:t>&lt;ESMA_QUESTION_ESEFEEAP_25&gt;</w:t>
      </w:r>
    </w:p>
    <w:p w14:paraId="6E89CE82" w14:textId="77777777" w:rsidR="00AF763D" w:rsidRPr="00C43CA9" w:rsidRDefault="00AF763D" w:rsidP="00AF763D">
      <w:pPr>
        <w:spacing w:after="0"/>
        <w:rPr>
          <w:sz w:val="20"/>
          <w:szCs w:val="18"/>
        </w:rPr>
      </w:pPr>
      <w:permStart w:id="3962487" w:edGrp="everyone"/>
      <w:r w:rsidRPr="00C43CA9">
        <w:rPr>
          <w:sz w:val="20"/>
          <w:szCs w:val="18"/>
        </w:rPr>
        <w:t>TYPE YOUR TEXT HERE</w:t>
      </w:r>
    </w:p>
    <w:permEnd w:id="3962487"/>
    <w:p w14:paraId="5200DCFB" w14:textId="73C6E387" w:rsidR="00AF763D" w:rsidRPr="00C43CA9" w:rsidRDefault="00AF763D" w:rsidP="00AF763D">
      <w:pPr>
        <w:spacing w:after="0"/>
        <w:rPr>
          <w:sz w:val="20"/>
          <w:szCs w:val="18"/>
        </w:rPr>
      </w:pPr>
      <w:r w:rsidRPr="00C43CA9">
        <w:rPr>
          <w:sz w:val="20"/>
          <w:szCs w:val="18"/>
        </w:rPr>
        <w:t>&lt;ESMA_QUESTION_ESEFEEAP_25&gt;</w:t>
      </w:r>
      <w:r w:rsidRPr="00C43CA9">
        <w:rPr>
          <w:rFonts w:eastAsia="Times New Roman"/>
          <w:color w:val="auto"/>
          <w:szCs w:val="22"/>
          <w:lang w:eastAsia="en-GB"/>
        </w:rPr>
        <w:br/>
      </w:r>
    </w:p>
    <w:p w14:paraId="062A7D7A" w14:textId="0DE47E48" w:rsidR="00AF763D" w:rsidRPr="00C43CA9" w:rsidRDefault="00AF763D" w:rsidP="00AF763D">
      <w:pPr>
        <w:spacing w:after="0" w:line="240" w:lineRule="auto"/>
        <w:jc w:val="left"/>
        <w:rPr>
          <w:rFonts w:eastAsia="Times New Roman"/>
          <w:color w:val="auto"/>
          <w:szCs w:val="22"/>
          <w:lang w:eastAsia="en-GB"/>
        </w:rPr>
      </w:pPr>
      <w:r w:rsidRPr="00C43CA9">
        <w:rPr>
          <w:rFonts w:eastAsia="Times New Roman"/>
          <w:b/>
          <w:bCs/>
          <w:color w:val="auto"/>
          <w:szCs w:val="22"/>
          <w:lang w:eastAsia="en-GB"/>
        </w:rPr>
        <w:t>Question 26:</w:t>
      </w:r>
      <w:r w:rsidRPr="00C43CA9">
        <w:rPr>
          <w:rFonts w:eastAsia="Times New Roman"/>
          <w:color w:val="auto"/>
          <w:szCs w:val="22"/>
          <w:lang w:eastAsia="en-GB"/>
        </w:rPr>
        <w:t xml:space="preserve"> Do you agree with content of the proposed amendments to the RTS on EEAP? If not, please explain in which regards to you disagree and illustrate any alternative proposal. </w:t>
      </w:r>
    </w:p>
    <w:p w14:paraId="3B1618C0" w14:textId="323EFA27" w:rsidR="00AF763D" w:rsidRPr="00C43CA9" w:rsidRDefault="00AF763D" w:rsidP="00AF763D">
      <w:pPr>
        <w:spacing w:after="0" w:line="240" w:lineRule="auto"/>
        <w:jc w:val="left"/>
        <w:rPr>
          <w:rFonts w:eastAsia="Times New Roman"/>
          <w:color w:val="auto"/>
          <w:szCs w:val="22"/>
          <w:lang w:eastAsia="en-GB"/>
        </w:rPr>
      </w:pPr>
    </w:p>
    <w:p w14:paraId="13F7BAC7" w14:textId="08DC8438" w:rsidR="00AF763D" w:rsidRPr="00C43CA9" w:rsidRDefault="00AF763D" w:rsidP="00AF763D">
      <w:pPr>
        <w:spacing w:after="0"/>
        <w:rPr>
          <w:sz w:val="20"/>
          <w:szCs w:val="18"/>
        </w:rPr>
      </w:pPr>
      <w:r w:rsidRPr="00C43CA9">
        <w:rPr>
          <w:sz w:val="20"/>
          <w:szCs w:val="18"/>
        </w:rPr>
        <w:t>&lt;ESMA_QUESTION_ESEFEEAP_26&gt;</w:t>
      </w:r>
    </w:p>
    <w:p w14:paraId="21C517FF" w14:textId="77777777" w:rsidR="00AF763D" w:rsidRPr="00C43CA9" w:rsidRDefault="00AF763D" w:rsidP="00AF763D">
      <w:pPr>
        <w:spacing w:after="0"/>
        <w:rPr>
          <w:sz w:val="20"/>
          <w:szCs w:val="18"/>
        </w:rPr>
      </w:pPr>
      <w:permStart w:id="241126845" w:edGrp="everyone"/>
      <w:r w:rsidRPr="00C43CA9">
        <w:rPr>
          <w:sz w:val="20"/>
          <w:szCs w:val="18"/>
        </w:rPr>
        <w:t>TYPE YOUR TEXT HERE</w:t>
      </w:r>
    </w:p>
    <w:permEnd w:id="241126845"/>
    <w:p w14:paraId="68543AA0" w14:textId="52D9FD52" w:rsidR="00AF763D" w:rsidRPr="00C43CA9" w:rsidRDefault="00AF763D" w:rsidP="00AF763D">
      <w:pPr>
        <w:spacing w:after="0"/>
        <w:rPr>
          <w:sz w:val="20"/>
          <w:szCs w:val="18"/>
        </w:rPr>
      </w:pPr>
      <w:r w:rsidRPr="00C43CA9">
        <w:rPr>
          <w:sz w:val="20"/>
          <w:szCs w:val="18"/>
        </w:rPr>
        <w:t>&lt;ESMA_QUESTION_ESEFEEAP_26&gt;</w:t>
      </w:r>
    </w:p>
    <w:p w14:paraId="087DDC7D" w14:textId="77777777" w:rsidR="006A64ED" w:rsidRPr="00C43CA9" w:rsidRDefault="006A64ED" w:rsidP="006A64ED">
      <w:pPr>
        <w:spacing w:after="0" w:line="240" w:lineRule="auto"/>
        <w:jc w:val="left"/>
        <w:rPr>
          <w:rFonts w:eastAsia="Times New Roman"/>
          <w:color w:val="auto"/>
          <w:szCs w:val="22"/>
          <w:lang w:eastAsia="en-GB"/>
        </w:rPr>
      </w:pPr>
    </w:p>
    <w:p w14:paraId="0FBBCA0F" w14:textId="5FFF7569" w:rsidR="005D3762" w:rsidRPr="00C43CA9" w:rsidRDefault="00206B4F" w:rsidP="005D3762">
      <w:pPr>
        <w:rPr>
          <w:color w:val="00379F" w:themeColor="text1"/>
          <w:sz w:val="20"/>
          <w:szCs w:val="18"/>
        </w:rPr>
      </w:pPr>
      <w:r w:rsidRPr="00C43CA9">
        <w:rPr>
          <w:rFonts w:eastAsia="Times New Roman"/>
          <w:color w:val="00379F" w:themeColor="text1"/>
          <w:szCs w:val="22"/>
          <w:lang w:eastAsia="en-GB"/>
        </w:rPr>
        <w:pict w14:anchorId="43AD0757">
          <v:rect id="_x0000_i1030" style="width:0;height:1.5pt" o:hralign="center" o:hrstd="t" o:hr="t" fillcolor="#a0a0a0" stroked="f"/>
        </w:pict>
      </w:r>
    </w:p>
    <w:p w14:paraId="0E7F6B39" w14:textId="77777777" w:rsidR="00AF763D" w:rsidRPr="00C43CA9" w:rsidRDefault="00AF763D" w:rsidP="00AF763D">
      <w:pPr>
        <w:pStyle w:val="aNEW-Level1"/>
        <w:ind w:left="431" w:hanging="431"/>
        <w:rPr>
          <w:rFonts w:eastAsia="Times New Roman"/>
          <w:color w:val="00379F" w:themeColor="text1"/>
          <w:lang w:eastAsia="en-GB"/>
        </w:rPr>
      </w:pPr>
      <w:r w:rsidRPr="00C43CA9">
        <w:rPr>
          <w:rFonts w:eastAsia="Times New Roman"/>
          <w:color w:val="00379F" w:themeColor="text1"/>
          <w:lang w:eastAsia="en-GB"/>
        </w:rPr>
        <w:t>Annex II. Draft Cost/Benefit Analysis on the RTS on ESEF</w:t>
      </w:r>
    </w:p>
    <w:p w14:paraId="6248A2E6" w14:textId="3CA7D114" w:rsidR="00AF763D" w:rsidRPr="00C43CA9" w:rsidRDefault="00AF763D" w:rsidP="00AF763D">
      <w:pPr>
        <w:spacing w:after="0" w:line="240" w:lineRule="auto"/>
        <w:jc w:val="left"/>
        <w:rPr>
          <w:rFonts w:eastAsia="Times New Roman"/>
          <w:color w:val="auto"/>
          <w:szCs w:val="22"/>
          <w:lang w:eastAsia="en-GB"/>
        </w:rPr>
      </w:pPr>
      <w:r w:rsidRPr="00C43CA9">
        <w:rPr>
          <w:rFonts w:eastAsia="Times New Roman"/>
          <w:b/>
          <w:bCs/>
          <w:color w:val="auto"/>
          <w:szCs w:val="22"/>
          <w:lang w:eastAsia="en-GB"/>
        </w:rPr>
        <w:t>Question 27:</w:t>
      </w:r>
      <w:r w:rsidRPr="00C43CA9">
        <w:rPr>
          <w:rFonts w:eastAsia="Times New Roman"/>
          <w:color w:val="auto"/>
          <w:szCs w:val="22"/>
          <w:lang w:eastAsia="en-GB"/>
        </w:rPr>
        <w:t xml:space="preserve"> Do you agree with ESMA’s high-level understanding of an approximate monetary cost associated with marking up disclosures in IFRS consolidated financial statements and the Notes to the IFRS consolidated financial statements? If you have a different view on the approximate average monetary cost per </w:t>
      </w:r>
      <w:proofErr w:type="spellStart"/>
      <w:r w:rsidRPr="00C43CA9">
        <w:rPr>
          <w:rFonts w:eastAsia="Times New Roman"/>
          <w:color w:val="auto"/>
          <w:szCs w:val="22"/>
          <w:lang w:eastAsia="en-GB"/>
        </w:rPr>
        <w:t>markup</w:t>
      </w:r>
      <w:proofErr w:type="spellEnd"/>
      <w:r w:rsidRPr="00C43CA9">
        <w:rPr>
          <w:rFonts w:eastAsia="Times New Roman"/>
          <w:color w:val="auto"/>
          <w:szCs w:val="22"/>
          <w:lang w:eastAsia="en-GB"/>
        </w:rPr>
        <w:t xml:space="preserve">, please supply supporting data. </w:t>
      </w:r>
      <w:r w:rsidRPr="00C43CA9">
        <w:rPr>
          <w:rFonts w:eastAsia="Times New Roman"/>
          <w:color w:val="auto"/>
          <w:szCs w:val="22"/>
          <w:lang w:eastAsia="en-GB"/>
        </w:rPr>
        <w:br/>
      </w:r>
    </w:p>
    <w:p w14:paraId="6CF0047C" w14:textId="4F7B76C1" w:rsidR="00AF763D" w:rsidRPr="00C43CA9" w:rsidRDefault="00AF763D" w:rsidP="00AF763D">
      <w:pPr>
        <w:spacing w:after="0"/>
        <w:rPr>
          <w:sz w:val="20"/>
          <w:szCs w:val="18"/>
        </w:rPr>
      </w:pPr>
      <w:r w:rsidRPr="00C43CA9">
        <w:rPr>
          <w:sz w:val="20"/>
          <w:szCs w:val="18"/>
        </w:rPr>
        <w:t>&lt;ESMA_QUESTION_ESEFEEAP_27&gt;</w:t>
      </w:r>
    </w:p>
    <w:p w14:paraId="4EE90BB9" w14:textId="75F5E241" w:rsidR="00AF763D" w:rsidRPr="00C43CA9" w:rsidRDefault="00986486" w:rsidP="00AF763D">
      <w:pPr>
        <w:spacing w:after="0"/>
        <w:rPr>
          <w:sz w:val="20"/>
          <w:szCs w:val="18"/>
        </w:rPr>
      </w:pPr>
      <w:permStart w:id="1231181901" w:edGrp="everyone"/>
      <w:r w:rsidRPr="00C43CA9">
        <w:rPr>
          <w:color w:val="181818"/>
          <w:sz w:val="20"/>
        </w:rPr>
        <w:t>We do not have additional data to provide</w:t>
      </w:r>
      <w:r w:rsidRPr="00C43CA9">
        <w:rPr>
          <w:color w:val="181818"/>
          <w:sz w:val="20"/>
        </w:rPr>
        <w:t>,</w:t>
      </w:r>
      <w:r w:rsidRPr="00C43CA9">
        <w:rPr>
          <w:color w:val="181818"/>
          <w:sz w:val="20"/>
        </w:rPr>
        <w:t xml:space="preserve"> however</w:t>
      </w:r>
      <w:r w:rsidRPr="00C43CA9">
        <w:rPr>
          <w:color w:val="181818"/>
          <w:sz w:val="20"/>
        </w:rPr>
        <w:t>,</w:t>
      </w:r>
      <w:r w:rsidRPr="00C43CA9">
        <w:rPr>
          <w:color w:val="181818"/>
          <w:sz w:val="20"/>
        </w:rPr>
        <w:t xml:space="preserve"> we would like to note that some types of vendor provide functionality and benefits that extend significantly beyond the process of mark up. The cost of the </w:t>
      </w:r>
      <w:proofErr w:type="spellStart"/>
      <w:r w:rsidRPr="00C43CA9">
        <w:rPr>
          <w:color w:val="181818"/>
          <w:sz w:val="20"/>
        </w:rPr>
        <w:t>mark up</w:t>
      </w:r>
      <w:proofErr w:type="spellEnd"/>
      <w:r w:rsidRPr="00C43CA9">
        <w:rPr>
          <w:color w:val="181818"/>
          <w:sz w:val="20"/>
        </w:rPr>
        <w:t xml:space="preserve"> is frequently not separated from the overall purchase costs and nei</w:t>
      </w:r>
      <w:r w:rsidRPr="00C43CA9">
        <w:rPr>
          <w:color w:val="181818"/>
          <w:sz w:val="20"/>
        </w:rPr>
        <w:t>ther is the resulting benefit. C</w:t>
      </w:r>
      <w:r w:rsidRPr="00C43CA9">
        <w:rPr>
          <w:color w:val="181818"/>
          <w:sz w:val="20"/>
        </w:rPr>
        <w:t>ost-benefit studies (an example can be found here https://www.workiva.com/uk/forrester-tei-study) have indicated that the savings and benefits that result from digitising the entire reporting process significantly outweigh the costs of mark up.</w:t>
      </w:r>
    </w:p>
    <w:permEnd w:id="1231181901"/>
    <w:p w14:paraId="5D7389A7" w14:textId="445BFCCE" w:rsidR="00AF763D" w:rsidRPr="00C43CA9" w:rsidRDefault="00AF763D" w:rsidP="00AF763D">
      <w:pPr>
        <w:spacing w:after="0"/>
        <w:rPr>
          <w:sz w:val="20"/>
          <w:szCs w:val="18"/>
        </w:rPr>
      </w:pPr>
      <w:r w:rsidRPr="00C43CA9">
        <w:rPr>
          <w:sz w:val="20"/>
          <w:szCs w:val="18"/>
        </w:rPr>
        <w:t>&lt;ESMA_QUESTION_ESEFEEAP_27&gt;</w:t>
      </w:r>
    </w:p>
    <w:p w14:paraId="595BBB44" w14:textId="77777777" w:rsidR="00AF763D" w:rsidRPr="00C43CA9" w:rsidRDefault="00AF763D" w:rsidP="00AF763D">
      <w:pPr>
        <w:spacing w:after="0" w:line="240" w:lineRule="auto"/>
        <w:jc w:val="left"/>
        <w:rPr>
          <w:rFonts w:eastAsia="Times New Roman"/>
          <w:color w:val="auto"/>
          <w:szCs w:val="22"/>
          <w:lang w:eastAsia="en-GB"/>
        </w:rPr>
      </w:pPr>
    </w:p>
    <w:p w14:paraId="586D8D30" w14:textId="741FE014" w:rsidR="00AF763D" w:rsidRPr="00C43CA9" w:rsidRDefault="00AF763D" w:rsidP="00AF763D">
      <w:pPr>
        <w:spacing w:after="0" w:line="240" w:lineRule="auto"/>
        <w:jc w:val="left"/>
        <w:rPr>
          <w:rFonts w:eastAsia="Times New Roman"/>
          <w:color w:val="auto"/>
          <w:szCs w:val="22"/>
          <w:lang w:eastAsia="en-GB"/>
        </w:rPr>
      </w:pPr>
      <w:r w:rsidRPr="00C43CA9">
        <w:rPr>
          <w:rFonts w:eastAsia="Times New Roman"/>
          <w:b/>
          <w:bCs/>
          <w:color w:val="auto"/>
          <w:szCs w:val="22"/>
          <w:lang w:eastAsia="en-GB"/>
        </w:rPr>
        <w:t>Question 28:</w:t>
      </w:r>
      <w:r w:rsidRPr="00C43CA9">
        <w:rPr>
          <w:rFonts w:eastAsia="Times New Roman"/>
          <w:color w:val="auto"/>
          <w:szCs w:val="22"/>
          <w:lang w:eastAsia="en-GB"/>
        </w:rPr>
        <w:t xml:space="preserve"> Do you agree with ESMA’s high-level understanding of an approximate monetary cost per </w:t>
      </w:r>
      <w:proofErr w:type="spellStart"/>
      <w:r w:rsidRPr="00C43CA9">
        <w:rPr>
          <w:rFonts w:eastAsia="Times New Roman"/>
          <w:color w:val="auto"/>
          <w:szCs w:val="22"/>
          <w:lang w:eastAsia="en-GB"/>
        </w:rPr>
        <w:t>markup</w:t>
      </w:r>
      <w:proofErr w:type="spellEnd"/>
      <w:r w:rsidRPr="00C43CA9">
        <w:rPr>
          <w:rFonts w:eastAsia="Times New Roman"/>
          <w:color w:val="auto"/>
          <w:szCs w:val="22"/>
          <w:lang w:eastAsia="en-GB"/>
        </w:rPr>
        <w:t xml:space="preserve"> and other additional costs associated with marking up disclosures of sustainability reporting? If you have a different view on the approximate average monetary cost per </w:t>
      </w:r>
      <w:proofErr w:type="spellStart"/>
      <w:r w:rsidRPr="00C43CA9">
        <w:rPr>
          <w:rFonts w:eastAsia="Times New Roman"/>
          <w:color w:val="auto"/>
          <w:szCs w:val="22"/>
          <w:lang w:eastAsia="en-GB"/>
        </w:rPr>
        <w:t>markup</w:t>
      </w:r>
      <w:proofErr w:type="spellEnd"/>
      <w:r w:rsidRPr="00C43CA9">
        <w:rPr>
          <w:rFonts w:eastAsia="Times New Roman"/>
          <w:color w:val="auto"/>
          <w:szCs w:val="22"/>
          <w:lang w:eastAsia="en-GB"/>
        </w:rPr>
        <w:t xml:space="preserve">, please supply supporting data. </w:t>
      </w:r>
      <w:r w:rsidRPr="00C43CA9">
        <w:rPr>
          <w:rFonts w:eastAsia="Times New Roman"/>
          <w:color w:val="auto"/>
          <w:szCs w:val="22"/>
          <w:lang w:eastAsia="en-GB"/>
        </w:rPr>
        <w:br/>
      </w:r>
    </w:p>
    <w:p w14:paraId="2B522854" w14:textId="1D85B43E" w:rsidR="00AF763D" w:rsidRPr="00C43CA9" w:rsidRDefault="00AF763D" w:rsidP="00AF763D">
      <w:pPr>
        <w:spacing w:after="0"/>
        <w:rPr>
          <w:sz w:val="20"/>
          <w:szCs w:val="18"/>
        </w:rPr>
      </w:pPr>
      <w:r w:rsidRPr="00C43CA9">
        <w:rPr>
          <w:sz w:val="20"/>
          <w:szCs w:val="18"/>
        </w:rPr>
        <w:t>&lt;ESMA_QUESTION_ESEFEEAP_28&gt;</w:t>
      </w:r>
    </w:p>
    <w:p w14:paraId="09E1DE95" w14:textId="0F3086CC" w:rsidR="00AF763D" w:rsidRPr="00C43CA9" w:rsidRDefault="00986486" w:rsidP="00AF763D">
      <w:pPr>
        <w:spacing w:after="0"/>
        <w:rPr>
          <w:sz w:val="20"/>
          <w:szCs w:val="18"/>
        </w:rPr>
      </w:pPr>
      <w:permStart w:id="2135363474" w:edGrp="everyone"/>
      <w:r w:rsidRPr="00C43CA9">
        <w:rPr>
          <w:color w:val="181818"/>
          <w:sz w:val="20"/>
        </w:rPr>
        <w:t>Please see the answer to question 27.</w:t>
      </w:r>
    </w:p>
    <w:permEnd w:id="2135363474"/>
    <w:p w14:paraId="3924B938" w14:textId="661AE5FB" w:rsidR="00AF763D" w:rsidRPr="00C43CA9" w:rsidRDefault="00AF763D" w:rsidP="00AF763D">
      <w:pPr>
        <w:spacing w:after="0"/>
        <w:rPr>
          <w:sz w:val="20"/>
          <w:szCs w:val="18"/>
        </w:rPr>
      </w:pPr>
      <w:r w:rsidRPr="00C43CA9">
        <w:rPr>
          <w:sz w:val="20"/>
          <w:szCs w:val="18"/>
        </w:rPr>
        <w:t>&lt;ESMA_QUESTION_ESEFEEAP_28&gt;</w:t>
      </w:r>
    </w:p>
    <w:p w14:paraId="45C912E4" w14:textId="77777777" w:rsidR="00AF763D" w:rsidRPr="00C43CA9" w:rsidRDefault="00AF763D" w:rsidP="00AF763D">
      <w:pPr>
        <w:spacing w:after="0" w:line="240" w:lineRule="auto"/>
        <w:jc w:val="left"/>
        <w:rPr>
          <w:rFonts w:eastAsia="Times New Roman"/>
          <w:color w:val="auto"/>
          <w:szCs w:val="22"/>
          <w:lang w:eastAsia="en-GB"/>
        </w:rPr>
      </w:pPr>
    </w:p>
    <w:p w14:paraId="0621EFA6" w14:textId="2719BF12" w:rsidR="00AF763D" w:rsidRPr="00C43CA9" w:rsidRDefault="00AF763D" w:rsidP="00AF763D">
      <w:pPr>
        <w:spacing w:after="0" w:line="240" w:lineRule="auto"/>
        <w:jc w:val="left"/>
        <w:rPr>
          <w:rFonts w:eastAsia="Times New Roman"/>
          <w:color w:val="auto"/>
          <w:szCs w:val="22"/>
          <w:lang w:eastAsia="en-GB"/>
        </w:rPr>
      </w:pPr>
      <w:r w:rsidRPr="00C43CA9">
        <w:rPr>
          <w:rFonts w:eastAsia="Times New Roman"/>
          <w:b/>
          <w:bCs/>
          <w:color w:val="auto"/>
          <w:szCs w:val="22"/>
          <w:lang w:eastAsia="en-GB"/>
        </w:rPr>
        <w:lastRenderedPageBreak/>
        <w:t>Question 29:</w:t>
      </w:r>
      <w:r w:rsidRPr="00C43CA9">
        <w:rPr>
          <w:rFonts w:eastAsia="Times New Roman"/>
          <w:color w:val="auto"/>
          <w:szCs w:val="22"/>
          <w:lang w:eastAsia="en-GB"/>
        </w:rPr>
        <w:t xml:space="preserve"> Do you agree with the above-mentioned possible costs and benefits developed by ESMA with respect to defining the rules to mark up the sustainability statements? Which other types of costs or benefits (qualitative and/or quantitative) would you consider in that context? </w:t>
      </w:r>
      <w:r w:rsidRPr="00C43CA9">
        <w:rPr>
          <w:rFonts w:eastAsia="Times New Roman"/>
          <w:color w:val="auto"/>
          <w:szCs w:val="22"/>
          <w:lang w:eastAsia="en-GB"/>
        </w:rPr>
        <w:br/>
      </w:r>
    </w:p>
    <w:p w14:paraId="7B6DA10A" w14:textId="1C5A5E05" w:rsidR="00AF763D" w:rsidRPr="00C43CA9" w:rsidRDefault="00AF763D" w:rsidP="00AF763D">
      <w:pPr>
        <w:spacing w:after="0"/>
        <w:rPr>
          <w:sz w:val="20"/>
          <w:szCs w:val="18"/>
        </w:rPr>
      </w:pPr>
      <w:r w:rsidRPr="00C43CA9">
        <w:rPr>
          <w:sz w:val="20"/>
          <w:szCs w:val="18"/>
        </w:rPr>
        <w:t>&lt;ESMA_QUESTION_ESEFEEAP_29&gt;</w:t>
      </w:r>
    </w:p>
    <w:p w14:paraId="37C7F006" w14:textId="24C96BCB" w:rsidR="00AF763D" w:rsidRPr="00C43CA9" w:rsidRDefault="00986486" w:rsidP="00AF763D">
      <w:pPr>
        <w:spacing w:after="0"/>
        <w:rPr>
          <w:sz w:val="20"/>
          <w:szCs w:val="18"/>
        </w:rPr>
      </w:pPr>
      <w:permStart w:id="891377430" w:edGrp="everyone"/>
      <w:r w:rsidRPr="00C43CA9">
        <w:rPr>
          <w:color w:val="181818"/>
          <w:sz w:val="20"/>
        </w:rPr>
        <w:t>We support the use of a phased-in approach but please see the comments above on question 4.</w:t>
      </w:r>
    </w:p>
    <w:permEnd w:id="891377430"/>
    <w:p w14:paraId="0C4FE588" w14:textId="0C12F0A7" w:rsidR="00AF763D" w:rsidRPr="00C43CA9" w:rsidRDefault="00AF763D" w:rsidP="00AF763D">
      <w:pPr>
        <w:spacing w:after="0"/>
        <w:rPr>
          <w:sz w:val="20"/>
          <w:szCs w:val="18"/>
        </w:rPr>
      </w:pPr>
      <w:r w:rsidRPr="00C43CA9">
        <w:rPr>
          <w:sz w:val="20"/>
          <w:szCs w:val="18"/>
        </w:rPr>
        <w:t>&lt;ESMA_QUESTION_ESEFEEAP_29&gt;</w:t>
      </w:r>
    </w:p>
    <w:p w14:paraId="21A2C04B" w14:textId="77777777" w:rsidR="00AF763D" w:rsidRPr="00C43CA9" w:rsidRDefault="00AF763D" w:rsidP="00AF763D">
      <w:pPr>
        <w:spacing w:after="0" w:line="240" w:lineRule="auto"/>
        <w:jc w:val="left"/>
        <w:rPr>
          <w:rFonts w:eastAsia="Times New Roman"/>
          <w:color w:val="auto"/>
          <w:szCs w:val="22"/>
          <w:lang w:eastAsia="en-GB"/>
        </w:rPr>
      </w:pPr>
    </w:p>
    <w:p w14:paraId="73F04057" w14:textId="78DE05AB" w:rsidR="00AF763D" w:rsidRPr="00C43CA9" w:rsidRDefault="00AF763D" w:rsidP="00AF763D">
      <w:pPr>
        <w:spacing w:after="0" w:line="240" w:lineRule="auto"/>
        <w:jc w:val="left"/>
        <w:rPr>
          <w:rFonts w:eastAsia="Times New Roman"/>
          <w:color w:val="auto"/>
          <w:szCs w:val="22"/>
          <w:lang w:eastAsia="en-GB"/>
        </w:rPr>
      </w:pPr>
      <w:r w:rsidRPr="00C43CA9">
        <w:rPr>
          <w:rFonts w:eastAsia="Times New Roman"/>
          <w:b/>
          <w:bCs/>
          <w:color w:val="auto"/>
          <w:szCs w:val="22"/>
          <w:lang w:eastAsia="en-GB"/>
        </w:rPr>
        <w:t>Question 30:</w:t>
      </w:r>
      <w:r w:rsidRPr="00C43CA9">
        <w:rPr>
          <w:rFonts w:eastAsia="Times New Roman"/>
          <w:color w:val="auto"/>
          <w:szCs w:val="22"/>
          <w:lang w:eastAsia="en-GB"/>
        </w:rPr>
        <w:t xml:space="preserve"> Do you agree with the above-mentioned possible costs and benefits developed by ESMA with respect to the use of a list of mandatory elements for marking up the sustainability statements? Which other types of costs or benefits (qualitative and/or quantitative) would you consider in that context? </w:t>
      </w:r>
      <w:r w:rsidRPr="00C43CA9">
        <w:rPr>
          <w:rFonts w:eastAsia="Times New Roman"/>
          <w:color w:val="auto"/>
          <w:szCs w:val="22"/>
          <w:lang w:eastAsia="en-GB"/>
        </w:rPr>
        <w:br/>
      </w:r>
    </w:p>
    <w:p w14:paraId="4146C796" w14:textId="315DDC94" w:rsidR="00AF763D" w:rsidRPr="00C43CA9" w:rsidRDefault="00AF763D" w:rsidP="00AF763D">
      <w:pPr>
        <w:spacing w:after="0"/>
        <w:rPr>
          <w:sz w:val="20"/>
          <w:szCs w:val="18"/>
        </w:rPr>
      </w:pPr>
      <w:r w:rsidRPr="00C43CA9">
        <w:rPr>
          <w:sz w:val="20"/>
          <w:szCs w:val="18"/>
        </w:rPr>
        <w:t>&lt;ESMA_QUESTION_ESEFEEAP_30&gt;</w:t>
      </w:r>
    </w:p>
    <w:p w14:paraId="53638B1A" w14:textId="77777777" w:rsidR="00AF763D" w:rsidRPr="00C43CA9" w:rsidRDefault="00AF763D" w:rsidP="00AF763D">
      <w:pPr>
        <w:spacing w:after="0"/>
        <w:rPr>
          <w:sz w:val="20"/>
          <w:szCs w:val="18"/>
        </w:rPr>
      </w:pPr>
      <w:permStart w:id="1546392288" w:edGrp="everyone"/>
      <w:r w:rsidRPr="00C43CA9">
        <w:rPr>
          <w:sz w:val="20"/>
          <w:szCs w:val="18"/>
        </w:rPr>
        <w:t>TYPE YOUR TEXT HERE</w:t>
      </w:r>
    </w:p>
    <w:permEnd w:id="1546392288"/>
    <w:p w14:paraId="2CDC3478" w14:textId="0A05F980" w:rsidR="00AF763D" w:rsidRPr="00C43CA9" w:rsidRDefault="00AF763D" w:rsidP="00AF763D">
      <w:pPr>
        <w:spacing w:after="0"/>
        <w:rPr>
          <w:sz w:val="20"/>
          <w:szCs w:val="18"/>
        </w:rPr>
      </w:pPr>
      <w:r w:rsidRPr="00C43CA9">
        <w:rPr>
          <w:sz w:val="20"/>
          <w:szCs w:val="18"/>
        </w:rPr>
        <w:t>&lt;ESMA_QUESTION_ESEFEEAP_30&gt;</w:t>
      </w:r>
    </w:p>
    <w:p w14:paraId="555EC8B3" w14:textId="77777777" w:rsidR="00AF763D" w:rsidRPr="00C43CA9" w:rsidRDefault="00AF763D" w:rsidP="00AF763D">
      <w:pPr>
        <w:spacing w:after="0" w:line="240" w:lineRule="auto"/>
        <w:jc w:val="left"/>
        <w:rPr>
          <w:rFonts w:eastAsia="Times New Roman"/>
          <w:color w:val="auto"/>
          <w:szCs w:val="22"/>
          <w:lang w:eastAsia="en-GB"/>
        </w:rPr>
      </w:pPr>
    </w:p>
    <w:p w14:paraId="0683F08A" w14:textId="20FD5EEB" w:rsidR="00AF763D" w:rsidRPr="00C43CA9" w:rsidRDefault="00AF763D" w:rsidP="00AF763D">
      <w:pPr>
        <w:spacing w:after="0" w:line="240" w:lineRule="auto"/>
        <w:jc w:val="left"/>
        <w:rPr>
          <w:rFonts w:eastAsia="Times New Roman"/>
          <w:color w:val="auto"/>
          <w:szCs w:val="22"/>
          <w:lang w:eastAsia="en-GB"/>
        </w:rPr>
      </w:pPr>
      <w:r w:rsidRPr="00C43CA9">
        <w:rPr>
          <w:rFonts w:eastAsia="Times New Roman"/>
          <w:b/>
          <w:bCs/>
          <w:color w:val="auto"/>
          <w:szCs w:val="22"/>
          <w:lang w:eastAsia="en-GB"/>
        </w:rPr>
        <w:t>Question 31:</w:t>
      </w:r>
      <w:r w:rsidRPr="00C43CA9">
        <w:rPr>
          <w:rFonts w:eastAsia="Times New Roman"/>
          <w:color w:val="auto"/>
          <w:szCs w:val="22"/>
          <w:lang w:eastAsia="en-GB"/>
        </w:rPr>
        <w:t xml:space="preserve"> Do you agree with the above-mentioned possible costs and benefits developed by ESMA with respect to defining the rules for marking up Article 8 sustainability disclosures in the sustainability statements? Which other types of costs or benefits (qualitative and/or quantitative) would you consider in that context? </w:t>
      </w:r>
      <w:r w:rsidRPr="00C43CA9">
        <w:rPr>
          <w:rFonts w:eastAsia="Times New Roman"/>
          <w:color w:val="auto"/>
          <w:szCs w:val="22"/>
          <w:lang w:eastAsia="en-GB"/>
        </w:rPr>
        <w:br/>
      </w:r>
    </w:p>
    <w:p w14:paraId="45AA5924" w14:textId="6630CB3E" w:rsidR="00AF763D" w:rsidRPr="00C43CA9" w:rsidRDefault="00AF763D" w:rsidP="00AF763D">
      <w:pPr>
        <w:spacing w:after="0"/>
        <w:rPr>
          <w:sz w:val="20"/>
          <w:szCs w:val="18"/>
        </w:rPr>
      </w:pPr>
      <w:r w:rsidRPr="00C43CA9">
        <w:rPr>
          <w:sz w:val="20"/>
          <w:szCs w:val="18"/>
        </w:rPr>
        <w:t>&lt;ESMA_QUESTION_ESEFEEAP_31&gt;</w:t>
      </w:r>
    </w:p>
    <w:p w14:paraId="332A8AC7" w14:textId="77777777" w:rsidR="00AF763D" w:rsidRPr="00C43CA9" w:rsidRDefault="00AF763D" w:rsidP="00AF763D">
      <w:pPr>
        <w:spacing w:after="0"/>
        <w:rPr>
          <w:sz w:val="20"/>
          <w:szCs w:val="18"/>
        </w:rPr>
      </w:pPr>
      <w:permStart w:id="1345008665" w:edGrp="everyone"/>
      <w:r w:rsidRPr="00C43CA9">
        <w:rPr>
          <w:sz w:val="20"/>
          <w:szCs w:val="18"/>
        </w:rPr>
        <w:t>TYPE YOUR TEXT HERE</w:t>
      </w:r>
    </w:p>
    <w:permEnd w:id="1345008665"/>
    <w:p w14:paraId="213CC9E1" w14:textId="779A1FAE" w:rsidR="00AF763D" w:rsidRPr="00C43CA9" w:rsidRDefault="00AF763D" w:rsidP="00AF763D">
      <w:pPr>
        <w:spacing w:after="0" w:line="240" w:lineRule="auto"/>
        <w:jc w:val="left"/>
        <w:rPr>
          <w:rFonts w:eastAsia="Times New Roman"/>
          <w:color w:val="auto"/>
          <w:szCs w:val="22"/>
          <w:lang w:eastAsia="en-GB"/>
        </w:rPr>
      </w:pPr>
      <w:r w:rsidRPr="00C43CA9">
        <w:rPr>
          <w:sz w:val="20"/>
          <w:szCs w:val="18"/>
        </w:rPr>
        <w:t>&lt;ESMA_QUESTION_ESEFEEAP_31&gt;</w:t>
      </w:r>
    </w:p>
    <w:p w14:paraId="16FE85A2" w14:textId="77777777" w:rsidR="00AF763D" w:rsidRPr="00C43CA9" w:rsidRDefault="00AF763D" w:rsidP="00AF763D">
      <w:pPr>
        <w:spacing w:after="0" w:line="240" w:lineRule="auto"/>
        <w:jc w:val="left"/>
        <w:rPr>
          <w:rFonts w:eastAsia="Times New Roman"/>
          <w:color w:val="auto"/>
          <w:szCs w:val="22"/>
          <w:lang w:eastAsia="en-GB"/>
        </w:rPr>
      </w:pPr>
    </w:p>
    <w:p w14:paraId="727864CB" w14:textId="40638584" w:rsidR="00AF763D" w:rsidRPr="00C43CA9" w:rsidRDefault="00AF763D" w:rsidP="00AF763D">
      <w:pPr>
        <w:spacing w:after="0" w:line="240" w:lineRule="auto"/>
        <w:jc w:val="left"/>
        <w:rPr>
          <w:rFonts w:eastAsia="Times New Roman"/>
          <w:color w:val="auto"/>
          <w:szCs w:val="22"/>
          <w:lang w:eastAsia="en-GB"/>
        </w:rPr>
      </w:pPr>
      <w:r w:rsidRPr="00C43CA9">
        <w:rPr>
          <w:rFonts w:eastAsia="Times New Roman"/>
          <w:b/>
          <w:bCs/>
          <w:color w:val="auto"/>
          <w:szCs w:val="22"/>
          <w:lang w:eastAsia="en-GB"/>
        </w:rPr>
        <w:t>Question 32</w:t>
      </w:r>
      <w:r w:rsidRPr="00C43CA9">
        <w:rPr>
          <w:rFonts w:eastAsia="Times New Roman"/>
          <w:color w:val="auto"/>
          <w:szCs w:val="22"/>
          <w:lang w:eastAsia="en-GB"/>
        </w:rPr>
        <w:t xml:space="preserve">: Do you agree with the above-mentioned possible costs and benefits developed by ESMA with respect to the review of the current marking up approach for the Notes to the IFRS consolidated financial statements? Which other types of costs or benefits (qualitative and/or quantitative) would you consider in that context? </w:t>
      </w:r>
      <w:r w:rsidRPr="00C43CA9">
        <w:rPr>
          <w:rFonts w:eastAsia="Times New Roman"/>
          <w:color w:val="auto"/>
          <w:szCs w:val="22"/>
          <w:lang w:eastAsia="en-GB"/>
        </w:rPr>
        <w:br/>
      </w:r>
    </w:p>
    <w:p w14:paraId="4847E199" w14:textId="357982A9" w:rsidR="00AF763D" w:rsidRPr="00C43CA9" w:rsidRDefault="00AF763D" w:rsidP="00AF763D">
      <w:pPr>
        <w:spacing w:after="0"/>
        <w:rPr>
          <w:sz w:val="20"/>
          <w:szCs w:val="18"/>
        </w:rPr>
      </w:pPr>
      <w:r w:rsidRPr="00C43CA9">
        <w:rPr>
          <w:sz w:val="20"/>
          <w:szCs w:val="18"/>
        </w:rPr>
        <w:t>&lt;ESMA_QUESTION_ESEFEEAP_32&gt;</w:t>
      </w:r>
    </w:p>
    <w:p w14:paraId="08A67AC2" w14:textId="77777777" w:rsidR="00AF763D" w:rsidRPr="00C43CA9" w:rsidRDefault="00AF763D" w:rsidP="00AF763D">
      <w:pPr>
        <w:spacing w:after="0"/>
        <w:rPr>
          <w:sz w:val="20"/>
          <w:szCs w:val="18"/>
        </w:rPr>
      </w:pPr>
      <w:permStart w:id="929779331" w:edGrp="everyone"/>
      <w:r w:rsidRPr="00C43CA9">
        <w:rPr>
          <w:sz w:val="20"/>
          <w:szCs w:val="18"/>
        </w:rPr>
        <w:t>TYPE YOUR TEXT HERE</w:t>
      </w:r>
    </w:p>
    <w:permEnd w:id="929779331"/>
    <w:p w14:paraId="160EBD61" w14:textId="5056EDBD" w:rsidR="00AF763D" w:rsidRPr="00C43CA9" w:rsidRDefault="00AF763D" w:rsidP="00AF763D">
      <w:pPr>
        <w:spacing w:after="0" w:line="240" w:lineRule="auto"/>
        <w:jc w:val="left"/>
        <w:rPr>
          <w:rFonts w:eastAsia="Times New Roman"/>
          <w:color w:val="auto"/>
          <w:szCs w:val="22"/>
          <w:lang w:eastAsia="en-GB"/>
        </w:rPr>
      </w:pPr>
      <w:r w:rsidRPr="00C43CA9">
        <w:rPr>
          <w:sz w:val="20"/>
          <w:szCs w:val="18"/>
        </w:rPr>
        <w:t>&lt;ESMA_QUESTION_ESEFEEAP_32&gt;</w:t>
      </w:r>
    </w:p>
    <w:p w14:paraId="0FBFB2D7" w14:textId="40C2F0E5" w:rsidR="00AF763D" w:rsidRPr="00C43CA9" w:rsidRDefault="00AF763D" w:rsidP="00AF763D">
      <w:pPr>
        <w:spacing w:after="0" w:line="240" w:lineRule="auto"/>
        <w:jc w:val="left"/>
        <w:rPr>
          <w:rFonts w:eastAsia="Times New Roman"/>
          <w:color w:val="auto"/>
          <w:szCs w:val="22"/>
          <w:lang w:eastAsia="en-GB"/>
        </w:rPr>
      </w:pPr>
    </w:p>
    <w:p w14:paraId="596B2DF8" w14:textId="18FB216A" w:rsidR="00AF763D" w:rsidRPr="00C43CA9" w:rsidRDefault="00AF763D" w:rsidP="00AF763D">
      <w:pPr>
        <w:spacing w:after="0" w:line="240" w:lineRule="auto"/>
        <w:jc w:val="left"/>
        <w:rPr>
          <w:rFonts w:eastAsia="Times New Roman"/>
          <w:color w:val="auto"/>
          <w:szCs w:val="22"/>
          <w:lang w:eastAsia="en-GB"/>
        </w:rPr>
      </w:pPr>
      <w:r w:rsidRPr="00C43CA9">
        <w:rPr>
          <w:rFonts w:eastAsia="Times New Roman"/>
          <w:b/>
          <w:bCs/>
          <w:color w:val="auto"/>
          <w:szCs w:val="22"/>
          <w:lang w:eastAsia="en-GB"/>
        </w:rPr>
        <w:t>Question 33:</w:t>
      </w:r>
      <w:r w:rsidRPr="00C43CA9">
        <w:rPr>
          <w:rFonts w:eastAsia="Times New Roman"/>
          <w:color w:val="auto"/>
          <w:szCs w:val="22"/>
          <w:lang w:eastAsia="en-GB"/>
        </w:rPr>
        <w:t xml:space="preserve"> Do you agree with the above-mentioned possible costs and benefits developed by ESMA with respect to the review of the list of mandatory elements under Annex II to RTS on ESEF? Which other types of costs or benefits (qualitative and/or quantitative) would you consider in that context? </w:t>
      </w:r>
      <w:r w:rsidRPr="00C43CA9">
        <w:rPr>
          <w:rFonts w:eastAsia="Times New Roman"/>
          <w:color w:val="auto"/>
          <w:szCs w:val="22"/>
          <w:lang w:eastAsia="en-GB"/>
        </w:rPr>
        <w:br/>
      </w:r>
    </w:p>
    <w:p w14:paraId="498A60B4" w14:textId="66068DE0" w:rsidR="00AF763D" w:rsidRPr="00C43CA9" w:rsidRDefault="00AF763D" w:rsidP="00AF763D">
      <w:pPr>
        <w:spacing w:after="0"/>
        <w:rPr>
          <w:sz w:val="20"/>
          <w:szCs w:val="18"/>
        </w:rPr>
      </w:pPr>
      <w:r w:rsidRPr="00C43CA9">
        <w:rPr>
          <w:sz w:val="20"/>
          <w:szCs w:val="18"/>
        </w:rPr>
        <w:t>&lt;ESMA_QUESTION_ESEFEEAP_33&gt;</w:t>
      </w:r>
    </w:p>
    <w:p w14:paraId="5CACA67E" w14:textId="77777777" w:rsidR="00AF763D" w:rsidRPr="00C43CA9" w:rsidRDefault="00AF763D" w:rsidP="00AF763D">
      <w:pPr>
        <w:spacing w:after="0"/>
        <w:rPr>
          <w:sz w:val="20"/>
          <w:szCs w:val="18"/>
        </w:rPr>
      </w:pPr>
      <w:permStart w:id="701313514" w:edGrp="everyone"/>
      <w:r w:rsidRPr="00C43CA9">
        <w:rPr>
          <w:sz w:val="20"/>
          <w:szCs w:val="18"/>
        </w:rPr>
        <w:t>TYPE YOUR TEXT HERE</w:t>
      </w:r>
    </w:p>
    <w:permEnd w:id="701313514"/>
    <w:p w14:paraId="0B1361AC" w14:textId="2E52468A" w:rsidR="00AF763D" w:rsidRPr="00C43CA9" w:rsidRDefault="00AF763D" w:rsidP="00AF763D">
      <w:pPr>
        <w:rPr>
          <w:sz w:val="20"/>
          <w:szCs w:val="18"/>
        </w:rPr>
      </w:pPr>
      <w:r w:rsidRPr="00C43CA9">
        <w:rPr>
          <w:sz w:val="20"/>
          <w:szCs w:val="18"/>
        </w:rPr>
        <w:t>&lt;ESMA_QUESTION_ESEFEEAP_33&gt;</w:t>
      </w:r>
      <w:r w:rsidR="00206B4F" w:rsidRPr="00C43CA9">
        <w:rPr>
          <w:rFonts w:eastAsia="Times New Roman"/>
          <w:color w:val="auto"/>
          <w:szCs w:val="22"/>
          <w:lang w:eastAsia="en-GB"/>
        </w:rPr>
        <w:pict w14:anchorId="7FB9E0B7">
          <v:rect id="_x0000_i1031" style="width:0;height:1.5pt" o:hralign="center" o:hrstd="t" o:hr="t" fillcolor="#a0a0a0" stroked="f"/>
        </w:pict>
      </w:r>
    </w:p>
    <w:p w14:paraId="4AF92460" w14:textId="77777777" w:rsidR="00AF763D" w:rsidRPr="00C43CA9" w:rsidRDefault="00AF763D" w:rsidP="00AF763D">
      <w:pPr>
        <w:pStyle w:val="aNEW-Level1"/>
        <w:ind w:left="431" w:hanging="431"/>
        <w:rPr>
          <w:rFonts w:eastAsia="Times New Roman"/>
          <w:color w:val="00379F" w:themeColor="text1"/>
          <w:lang w:eastAsia="en-GB"/>
        </w:rPr>
      </w:pPr>
      <w:r w:rsidRPr="00C43CA9">
        <w:rPr>
          <w:rFonts w:eastAsia="Times New Roman"/>
          <w:color w:val="00379F" w:themeColor="text1"/>
          <w:lang w:eastAsia="en-GB"/>
        </w:rPr>
        <w:t>Annex III. Draft Cost/Benefit Analysis relating to the amendment to the RTS on the EEAP</w:t>
      </w:r>
    </w:p>
    <w:p w14:paraId="52F54B2B" w14:textId="07ECFADF" w:rsidR="00AF763D" w:rsidRPr="00C43CA9" w:rsidRDefault="00AF763D" w:rsidP="00AF763D">
      <w:pPr>
        <w:spacing w:after="0" w:line="240" w:lineRule="auto"/>
        <w:jc w:val="left"/>
        <w:rPr>
          <w:rFonts w:eastAsia="Times New Roman"/>
          <w:color w:val="auto"/>
          <w:szCs w:val="22"/>
          <w:lang w:eastAsia="en-GB"/>
        </w:rPr>
      </w:pPr>
      <w:r w:rsidRPr="00C43CA9">
        <w:rPr>
          <w:rFonts w:eastAsia="Times New Roman"/>
          <w:b/>
          <w:bCs/>
          <w:color w:val="auto"/>
          <w:szCs w:val="22"/>
          <w:lang w:eastAsia="en-GB"/>
        </w:rPr>
        <w:t>Question 34:</w:t>
      </w:r>
      <w:r w:rsidRPr="00C43CA9">
        <w:rPr>
          <w:rFonts w:eastAsia="Times New Roman"/>
          <w:color w:val="auto"/>
          <w:szCs w:val="22"/>
          <w:lang w:eastAsia="en-GB"/>
        </w:rPr>
        <w:t xml:space="preserve"> Do you agree with the assessment of costs and benefits developed by ESMA with respect to the review of the RTS on EEAP? </w:t>
      </w:r>
      <w:r w:rsidRPr="00C43CA9">
        <w:rPr>
          <w:rFonts w:eastAsia="Times New Roman"/>
          <w:color w:val="auto"/>
          <w:szCs w:val="22"/>
          <w:lang w:eastAsia="en-GB"/>
        </w:rPr>
        <w:br/>
      </w:r>
    </w:p>
    <w:p w14:paraId="76EFDA46" w14:textId="4497EA17" w:rsidR="00AF763D" w:rsidRPr="00C43CA9" w:rsidRDefault="00AF763D" w:rsidP="00AF763D">
      <w:pPr>
        <w:spacing w:after="0"/>
        <w:rPr>
          <w:sz w:val="20"/>
          <w:szCs w:val="18"/>
        </w:rPr>
      </w:pPr>
      <w:r w:rsidRPr="00C43CA9">
        <w:rPr>
          <w:sz w:val="20"/>
          <w:szCs w:val="18"/>
        </w:rPr>
        <w:t>&lt;ESMA_QUESTION_ESEFEEAP_34&gt;</w:t>
      </w:r>
    </w:p>
    <w:p w14:paraId="6A95AAB0" w14:textId="77777777" w:rsidR="00AF763D" w:rsidRPr="00C43CA9" w:rsidRDefault="00AF763D" w:rsidP="00AF763D">
      <w:pPr>
        <w:spacing w:after="0"/>
        <w:rPr>
          <w:sz w:val="20"/>
          <w:szCs w:val="18"/>
        </w:rPr>
      </w:pPr>
      <w:permStart w:id="35338580" w:edGrp="everyone"/>
      <w:r w:rsidRPr="00C43CA9">
        <w:rPr>
          <w:sz w:val="20"/>
          <w:szCs w:val="18"/>
        </w:rPr>
        <w:t>TYPE YOUR TEXT HERE</w:t>
      </w:r>
    </w:p>
    <w:permEnd w:id="35338580"/>
    <w:p w14:paraId="0AC20B11" w14:textId="74704469" w:rsidR="00AF763D" w:rsidRPr="00C43CA9" w:rsidRDefault="00AF763D" w:rsidP="00AF763D">
      <w:pPr>
        <w:rPr>
          <w:sz w:val="20"/>
          <w:szCs w:val="18"/>
        </w:rPr>
      </w:pPr>
      <w:r w:rsidRPr="00C43CA9">
        <w:rPr>
          <w:sz w:val="20"/>
          <w:szCs w:val="18"/>
        </w:rPr>
        <w:t>&lt;ESMA_QUESTION_ESEFEEAP_34&gt;</w:t>
      </w:r>
    </w:p>
    <w:p w14:paraId="54159B13" w14:textId="5A640553" w:rsidR="00AF763D" w:rsidRPr="00C43CA9" w:rsidRDefault="00206B4F" w:rsidP="00AF763D">
      <w:pPr>
        <w:rPr>
          <w:sz w:val="20"/>
          <w:szCs w:val="18"/>
        </w:rPr>
      </w:pPr>
      <w:r w:rsidRPr="00C43CA9">
        <w:rPr>
          <w:rFonts w:eastAsia="Times New Roman"/>
          <w:color w:val="auto"/>
          <w:szCs w:val="22"/>
          <w:lang w:eastAsia="en-GB"/>
        </w:rPr>
        <w:pict w14:anchorId="7A7E4D2F">
          <v:rect id="_x0000_i1032" style="width:0;height:1.5pt" o:hralign="center" o:hrstd="t" o:hr="t" fillcolor="#a0a0a0" stroked="f"/>
        </w:pict>
      </w:r>
    </w:p>
    <w:p w14:paraId="60D8E3CF" w14:textId="77777777" w:rsidR="00AF763D" w:rsidRPr="00C43CA9" w:rsidRDefault="00AF763D" w:rsidP="00AF763D">
      <w:pPr>
        <w:pStyle w:val="aNEW-Level1"/>
        <w:ind w:left="431" w:hanging="431"/>
        <w:rPr>
          <w:rFonts w:eastAsia="Times New Roman"/>
          <w:color w:val="00379F" w:themeColor="text1"/>
          <w:lang w:eastAsia="en-GB"/>
        </w:rPr>
      </w:pPr>
      <w:r w:rsidRPr="00C43CA9">
        <w:rPr>
          <w:rFonts w:eastAsia="Times New Roman"/>
          <w:color w:val="00379F" w:themeColor="text1"/>
          <w:lang w:eastAsia="en-GB"/>
        </w:rPr>
        <w:lastRenderedPageBreak/>
        <w:t>Annex IV. Legal text RTS on ESEF</w:t>
      </w:r>
    </w:p>
    <w:p w14:paraId="2CC004FC" w14:textId="77777777" w:rsidR="00AF763D" w:rsidRPr="00C43CA9" w:rsidRDefault="00AF763D" w:rsidP="00AF763D">
      <w:pPr>
        <w:spacing w:after="0" w:line="240" w:lineRule="auto"/>
        <w:jc w:val="left"/>
        <w:rPr>
          <w:rFonts w:eastAsia="Times New Roman"/>
          <w:color w:val="auto"/>
          <w:szCs w:val="22"/>
          <w:lang w:eastAsia="en-GB"/>
        </w:rPr>
      </w:pPr>
      <w:r w:rsidRPr="00C43CA9">
        <w:rPr>
          <w:rFonts w:eastAsia="Times New Roman"/>
          <w:b/>
          <w:bCs/>
          <w:color w:val="auto"/>
          <w:szCs w:val="22"/>
          <w:lang w:eastAsia="en-GB"/>
        </w:rPr>
        <w:t>Question 35:</w:t>
      </w:r>
      <w:r w:rsidRPr="00C43CA9">
        <w:rPr>
          <w:rFonts w:eastAsia="Times New Roman"/>
          <w:color w:val="auto"/>
          <w:szCs w:val="22"/>
          <w:lang w:eastAsia="en-GB"/>
        </w:rPr>
        <w:t xml:space="preserve"> Do you agree with the proposed drafting amendments to the RTS on ESEF? If not, please explain your reasons and suggest alternatives. In your response, reference specific sections and paragraphs of the RTS on ESEF (i.e., Annex III, paragraph 1). </w:t>
      </w:r>
    </w:p>
    <w:p w14:paraId="5E00341E" w14:textId="77777777" w:rsidR="00AF763D" w:rsidRPr="00C43CA9" w:rsidRDefault="00AF763D" w:rsidP="00AF763D">
      <w:pPr>
        <w:spacing w:after="0" w:line="240" w:lineRule="auto"/>
        <w:jc w:val="left"/>
        <w:rPr>
          <w:rFonts w:eastAsia="Times New Roman"/>
          <w:color w:val="auto"/>
          <w:szCs w:val="22"/>
          <w:lang w:eastAsia="en-GB"/>
        </w:rPr>
      </w:pPr>
    </w:p>
    <w:p w14:paraId="04B588F1" w14:textId="427FB42E" w:rsidR="00AF763D" w:rsidRPr="00C43CA9" w:rsidRDefault="00AF763D" w:rsidP="00AF763D">
      <w:pPr>
        <w:spacing w:after="0"/>
        <w:rPr>
          <w:sz w:val="20"/>
          <w:szCs w:val="18"/>
        </w:rPr>
      </w:pPr>
      <w:r w:rsidRPr="00C43CA9">
        <w:rPr>
          <w:sz w:val="20"/>
          <w:szCs w:val="18"/>
        </w:rPr>
        <w:t>&lt;ESMA_QUESTION_ESEFEEAP_35&gt;</w:t>
      </w:r>
    </w:p>
    <w:p w14:paraId="43533248" w14:textId="77777777" w:rsidR="00AF763D" w:rsidRPr="00C43CA9" w:rsidRDefault="00AF763D" w:rsidP="00AF763D">
      <w:pPr>
        <w:spacing w:after="0"/>
        <w:rPr>
          <w:sz w:val="20"/>
          <w:szCs w:val="18"/>
        </w:rPr>
      </w:pPr>
      <w:permStart w:id="1504529308" w:edGrp="everyone"/>
      <w:r w:rsidRPr="00C43CA9">
        <w:rPr>
          <w:sz w:val="20"/>
          <w:szCs w:val="18"/>
        </w:rPr>
        <w:t>TYPE YOUR TEXT HERE</w:t>
      </w:r>
    </w:p>
    <w:permEnd w:id="1504529308"/>
    <w:p w14:paraId="7BA8598E" w14:textId="44BEABDF" w:rsidR="00AF763D" w:rsidRPr="00C43CA9" w:rsidRDefault="00AF763D" w:rsidP="00AF763D">
      <w:pPr>
        <w:rPr>
          <w:sz w:val="20"/>
          <w:szCs w:val="18"/>
        </w:rPr>
      </w:pPr>
      <w:r w:rsidRPr="00C43CA9">
        <w:rPr>
          <w:sz w:val="20"/>
          <w:szCs w:val="18"/>
        </w:rPr>
        <w:t>&lt;ESMA_QUESTION_ESEFEEAP_35&gt;</w:t>
      </w:r>
    </w:p>
    <w:p w14:paraId="463AD780" w14:textId="77777777" w:rsidR="00AF763D" w:rsidRPr="00C43CA9" w:rsidRDefault="00AF763D" w:rsidP="00AF763D">
      <w:pPr>
        <w:spacing w:after="0" w:line="240" w:lineRule="auto"/>
        <w:jc w:val="left"/>
        <w:rPr>
          <w:rFonts w:eastAsia="Times New Roman"/>
          <w:color w:val="auto"/>
          <w:szCs w:val="22"/>
          <w:lang w:eastAsia="en-GB"/>
        </w:rPr>
      </w:pPr>
      <w:r w:rsidRPr="00C43CA9">
        <w:rPr>
          <w:rFonts w:eastAsia="Times New Roman"/>
          <w:b/>
          <w:bCs/>
          <w:color w:val="auto"/>
          <w:szCs w:val="22"/>
          <w:lang w:eastAsia="en-GB"/>
        </w:rPr>
        <w:t>Question 36:</w:t>
      </w:r>
      <w:r w:rsidRPr="00C43CA9">
        <w:rPr>
          <w:rFonts w:eastAsia="Times New Roman"/>
          <w:color w:val="auto"/>
          <w:szCs w:val="22"/>
          <w:lang w:eastAsia="en-GB"/>
        </w:rPr>
        <w:t xml:space="preserve"> Are there any additional drafting amendments that could be brought to the RTS on ESEF which are not considered in this draft legal text? If yes, please provide additional comments, providing specific references to the RTS on ESEF, underlying reasoning and concrete wording suggestions for ESMA to take into consideration. </w:t>
      </w:r>
    </w:p>
    <w:p w14:paraId="36F13A39" w14:textId="77777777" w:rsidR="00AF763D" w:rsidRPr="00C43CA9" w:rsidRDefault="00AF763D" w:rsidP="00AF763D">
      <w:pPr>
        <w:spacing w:after="0" w:line="240" w:lineRule="auto"/>
        <w:jc w:val="left"/>
        <w:rPr>
          <w:rFonts w:eastAsia="Times New Roman"/>
          <w:color w:val="auto"/>
          <w:szCs w:val="22"/>
          <w:lang w:eastAsia="en-GB"/>
        </w:rPr>
      </w:pPr>
    </w:p>
    <w:p w14:paraId="4A2C3F5C" w14:textId="4CF04AD9" w:rsidR="00AF763D" w:rsidRPr="00C43CA9" w:rsidRDefault="00AF763D" w:rsidP="00AF763D">
      <w:pPr>
        <w:spacing w:after="0"/>
        <w:rPr>
          <w:sz w:val="20"/>
          <w:szCs w:val="18"/>
        </w:rPr>
      </w:pPr>
      <w:r w:rsidRPr="00C43CA9">
        <w:rPr>
          <w:sz w:val="20"/>
          <w:szCs w:val="18"/>
        </w:rPr>
        <w:t>&lt;ESMA_QUESTION_ESEFEEAP_36&gt;</w:t>
      </w:r>
    </w:p>
    <w:p w14:paraId="1E879027" w14:textId="77777777" w:rsidR="00AF763D" w:rsidRPr="00C43CA9" w:rsidRDefault="00AF763D" w:rsidP="00AF763D">
      <w:pPr>
        <w:spacing w:after="0"/>
        <w:rPr>
          <w:sz w:val="20"/>
          <w:szCs w:val="18"/>
        </w:rPr>
      </w:pPr>
      <w:permStart w:id="655372848" w:edGrp="everyone"/>
      <w:r w:rsidRPr="00C43CA9">
        <w:rPr>
          <w:sz w:val="20"/>
          <w:szCs w:val="18"/>
        </w:rPr>
        <w:t>TYPE YOUR TEXT HERE</w:t>
      </w:r>
    </w:p>
    <w:permEnd w:id="655372848"/>
    <w:p w14:paraId="51B1F8F1" w14:textId="3B01A23F" w:rsidR="00AF763D" w:rsidRPr="00AF763D" w:rsidRDefault="00AF763D" w:rsidP="00AF763D">
      <w:pPr>
        <w:rPr>
          <w:sz w:val="20"/>
          <w:szCs w:val="18"/>
        </w:rPr>
      </w:pPr>
      <w:r w:rsidRPr="00C43CA9">
        <w:rPr>
          <w:sz w:val="20"/>
          <w:szCs w:val="18"/>
        </w:rPr>
        <w:t>&lt;ESMA_QUESTION_ESEFEEAP_36&gt;</w:t>
      </w:r>
    </w:p>
    <w:p w14:paraId="0480A93B" w14:textId="5A6A3146"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color w:val="auto"/>
          <w:szCs w:val="22"/>
          <w:lang w:eastAsia="en-GB"/>
        </w:rPr>
        <w:br/>
      </w:r>
    </w:p>
    <w:p w14:paraId="00D9A414" w14:textId="77777777" w:rsidR="00AF763D" w:rsidRPr="00AF763D" w:rsidRDefault="00AF763D" w:rsidP="005D3762">
      <w:pPr>
        <w:rPr>
          <w:sz w:val="20"/>
          <w:szCs w:val="18"/>
        </w:rPr>
      </w:pPr>
    </w:p>
    <w:sectPr w:rsidR="00AF763D" w:rsidRPr="00AF763D" w:rsidSect="00AF763D">
      <w:headerReference w:type="first" r:id="rId13"/>
      <w:footerReference w:type="first" r:id="rId14"/>
      <w:pgSz w:w="11906" w:h="16838" w:code="9"/>
      <w:pgMar w:top="1276"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0726CB" w14:textId="77777777" w:rsidR="00206B4F" w:rsidRDefault="00206B4F" w:rsidP="00F716D4">
      <w:r>
        <w:separator/>
      </w:r>
    </w:p>
    <w:p w14:paraId="63681229" w14:textId="77777777" w:rsidR="00206B4F" w:rsidRDefault="00206B4F" w:rsidP="00F716D4"/>
  </w:endnote>
  <w:endnote w:type="continuationSeparator" w:id="0">
    <w:p w14:paraId="14B1CFBA" w14:textId="77777777" w:rsidR="00206B4F" w:rsidRDefault="00206B4F" w:rsidP="00F716D4">
      <w:r>
        <w:continuationSeparator/>
      </w:r>
    </w:p>
    <w:p w14:paraId="047AD9AE" w14:textId="77777777" w:rsidR="00206B4F" w:rsidRDefault="00206B4F" w:rsidP="00F716D4"/>
  </w:endnote>
  <w:endnote w:type="continuationNotice" w:id="1">
    <w:p w14:paraId="597547A6" w14:textId="77777777" w:rsidR="00206B4F" w:rsidRDefault="00206B4F"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50197" w14:textId="739D30BB"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proofErr w:type="spellStart"/>
      <w:r w:rsidRPr="00A8626B">
        <w:rPr>
          <w:rStyle w:val="Hyperlink"/>
          <w:sz w:val="15"/>
          <w:szCs w:val="15"/>
          <w:lang w:val="fr-BE"/>
        </w:rPr>
        <w:t>europa</w:t>
      </w:r>
      <w:proofErr w:type="spellEnd"/>
      <w:r w:rsidRPr="00A8626B">
        <w:rPr>
          <w:rStyle w:val="Hyperlink"/>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43CA9">
          <w:rPr>
            <w:noProof/>
            <w:color w:val="001B4F"/>
            <w:sz w:val="15"/>
            <w:szCs w:val="15"/>
            <w:lang w:val="fr-FR"/>
          </w:rPr>
          <w:t>1</w:t>
        </w:r>
        <w:r w:rsidR="00C54034"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204D22" w14:textId="77777777" w:rsidR="00206B4F" w:rsidRDefault="00206B4F" w:rsidP="00F716D4">
      <w:r>
        <w:separator/>
      </w:r>
    </w:p>
    <w:p w14:paraId="7E3C0410" w14:textId="77777777" w:rsidR="00206B4F" w:rsidRDefault="00206B4F" w:rsidP="00F716D4"/>
  </w:footnote>
  <w:footnote w:type="continuationSeparator" w:id="0">
    <w:p w14:paraId="216696FF" w14:textId="77777777" w:rsidR="00206B4F" w:rsidRDefault="00206B4F" w:rsidP="00F716D4">
      <w:r>
        <w:continuationSeparator/>
      </w:r>
    </w:p>
    <w:p w14:paraId="77BB68A2" w14:textId="77777777" w:rsidR="00206B4F" w:rsidRDefault="00206B4F" w:rsidP="00F716D4"/>
  </w:footnote>
  <w:footnote w:type="continuationNotice" w:id="1">
    <w:p w14:paraId="766699F3" w14:textId="77777777" w:rsidR="00206B4F" w:rsidRDefault="00206B4F" w:rsidP="00F716D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6A690643" w14:textId="77777777" w:rsidR="00F87468" w:rsidRDefault="00F87468" w:rsidP="00AF763D">
    <w:pPr>
      <w:pStyle w:val="HeaderFoot"/>
      <w:jc w:val="both"/>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1B4F" w:themeColor="text1" w:themeShade="80"/>
        <w:sz w:val="16"/>
        <w:lang w:val="en-US"/>
      </w:rPr>
      <w:drawing>
        <wp:anchor distT="0" distB="0" distL="114300" distR="114300" simplePos="0" relativeHeight="251658240"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408482399" name="Picture 408482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F915E11"/>
    <w:multiLevelType w:val="multilevel"/>
    <w:tmpl w:val="DEC242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79A0416"/>
    <w:multiLevelType w:val="hybridMultilevel"/>
    <w:tmpl w:val="FB6CF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52232B"/>
    <w:multiLevelType w:val="hybridMultilevel"/>
    <w:tmpl w:val="46D0EB70"/>
    <w:lvl w:ilvl="0" w:tplc="CEE81F64">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4"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6"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8"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15:restartNumberingAfterBreak="0">
    <w:nsid w:val="451A3C02"/>
    <w:multiLevelType w:val="hybridMultilevel"/>
    <w:tmpl w:val="9B0497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F8537E"/>
    <w:multiLevelType w:val="multilevel"/>
    <w:tmpl w:val="A5B6B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4"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3"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5"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8"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9" w15:restartNumberingAfterBreak="0">
    <w:nsid w:val="7FEF56C0"/>
    <w:multiLevelType w:val="hybridMultilevel"/>
    <w:tmpl w:val="3CD65192"/>
    <w:lvl w:ilvl="0" w:tplc="E674947E">
      <w:start w:val="1"/>
      <w:numFmt w:val="decimal"/>
      <w:pStyle w:val="Heading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18"/>
  </w:num>
  <w:num w:numId="3">
    <w:abstractNumId w:val="11"/>
  </w:num>
  <w:num w:numId="4">
    <w:abstractNumId w:val="25"/>
  </w:num>
  <w:num w:numId="5">
    <w:abstractNumId w:val="0"/>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31"/>
  </w:num>
  <w:num w:numId="13">
    <w:abstractNumId w:val="24"/>
  </w:num>
  <w:num w:numId="14">
    <w:abstractNumId w:val="10"/>
  </w:num>
  <w:num w:numId="15">
    <w:abstractNumId w:val="1"/>
  </w:num>
  <w:num w:numId="16">
    <w:abstractNumId w:val="14"/>
  </w:num>
  <w:num w:numId="17">
    <w:abstractNumId w:val="15"/>
  </w:num>
  <w:num w:numId="18">
    <w:abstractNumId w:val="17"/>
  </w:num>
  <w:num w:numId="19">
    <w:abstractNumId w:val="27"/>
  </w:num>
  <w:num w:numId="20">
    <w:abstractNumId w:val="36"/>
  </w:num>
  <w:num w:numId="21">
    <w:abstractNumId w:val="26"/>
  </w:num>
  <w:num w:numId="22">
    <w:abstractNumId w:val="9"/>
  </w:num>
  <w:num w:numId="23">
    <w:abstractNumId w:val="30"/>
  </w:num>
  <w:num w:numId="24">
    <w:abstractNumId w:val="29"/>
  </w:num>
  <w:num w:numId="25">
    <w:abstractNumId w:val="20"/>
  </w:num>
  <w:num w:numId="26">
    <w:abstractNumId w:val="33"/>
  </w:num>
  <w:num w:numId="27">
    <w:abstractNumId w:val="38"/>
  </w:num>
  <w:num w:numId="28">
    <w:abstractNumId w:val="6"/>
  </w:num>
  <w:num w:numId="29">
    <w:abstractNumId w:val="3"/>
  </w:num>
  <w:num w:numId="30">
    <w:abstractNumId w:val="23"/>
  </w:num>
  <w:num w:numId="31">
    <w:abstractNumId w:val="21"/>
  </w:num>
  <w:num w:numId="32">
    <w:abstractNumId w:val="35"/>
  </w:num>
  <w:num w:numId="33">
    <w:abstractNumId w:val="34"/>
  </w:num>
  <w:num w:numId="34">
    <w:abstractNumId w:val="12"/>
  </w:num>
  <w:num w:numId="35">
    <w:abstractNumId w:val="39"/>
  </w:num>
  <w:num w:numId="36">
    <w:abstractNumId w:val="19"/>
  </w:num>
  <w:num w:numId="37">
    <w:abstractNumId w:val="8"/>
  </w:num>
  <w:num w:numId="38">
    <w:abstractNumId w:val="22"/>
  </w:num>
  <w:num w:numId="39">
    <w:abstractNumId w:val="2"/>
    <w:lvlOverride w:ilvl="1">
      <w:lvl w:ilvl="1">
        <w:numFmt w:val="lowerLetter"/>
        <w:lvlText w:val="%2."/>
        <w:lvlJc w:val="left"/>
      </w:lvl>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hideSpellingErrors/>
  <w:hideGrammaticalErrors/>
  <w:activeWritingStyle w:appName="MSWord" w:lang="fr-FR" w:vendorID="64" w:dllVersion="131078" w:nlCheck="1" w:checkStyle="0"/>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C96"/>
    <w:rsid w:val="00021E83"/>
    <w:rsid w:val="00023713"/>
    <w:rsid w:val="00023C4D"/>
    <w:rsid w:val="00025E71"/>
    <w:rsid w:val="00026226"/>
    <w:rsid w:val="00026269"/>
    <w:rsid w:val="00027154"/>
    <w:rsid w:val="00027ECF"/>
    <w:rsid w:val="000303BE"/>
    <w:rsid w:val="00033A94"/>
    <w:rsid w:val="000344D6"/>
    <w:rsid w:val="00034960"/>
    <w:rsid w:val="00035397"/>
    <w:rsid w:val="00036FAE"/>
    <w:rsid w:val="00041858"/>
    <w:rsid w:val="0004389E"/>
    <w:rsid w:val="00045CA6"/>
    <w:rsid w:val="000463A6"/>
    <w:rsid w:val="00046CC9"/>
    <w:rsid w:val="00046E91"/>
    <w:rsid w:val="000477F4"/>
    <w:rsid w:val="000502FE"/>
    <w:rsid w:val="0005126D"/>
    <w:rsid w:val="00051992"/>
    <w:rsid w:val="00051E9A"/>
    <w:rsid w:val="000521A7"/>
    <w:rsid w:val="00052F47"/>
    <w:rsid w:val="0005340B"/>
    <w:rsid w:val="000537BB"/>
    <w:rsid w:val="0005399B"/>
    <w:rsid w:val="00054DE6"/>
    <w:rsid w:val="000569D7"/>
    <w:rsid w:val="000576D7"/>
    <w:rsid w:val="00060F72"/>
    <w:rsid w:val="000615D4"/>
    <w:rsid w:val="00062592"/>
    <w:rsid w:val="000636A1"/>
    <w:rsid w:val="000649D9"/>
    <w:rsid w:val="000652BE"/>
    <w:rsid w:val="000653A9"/>
    <w:rsid w:val="00066479"/>
    <w:rsid w:val="0006723C"/>
    <w:rsid w:val="00070376"/>
    <w:rsid w:val="00070630"/>
    <w:rsid w:val="00070974"/>
    <w:rsid w:val="000710C1"/>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2C7D"/>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3A2B"/>
    <w:rsid w:val="000A43CC"/>
    <w:rsid w:val="000A7314"/>
    <w:rsid w:val="000A7B53"/>
    <w:rsid w:val="000A7B64"/>
    <w:rsid w:val="000B1586"/>
    <w:rsid w:val="000B275C"/>
    <w:rsid w:val="000B2C3D"/>
    <w:rsid w:val="000B55C0"/>
    <w:rsid w:val="000B5DF2"/>
    <w:rsid w:val="000C06C9"/>
    <w:rsid w:val="000C1DCC"/>
    <w:rsid w:val="000C1FBC"/>
    <w:rsid w:val="000C2B6A"/>
    <w:rsid w:val="000C2F88"/>
    <w:rsid w:val="000C55C8"/>
    <w:rsid w:val="000C57C4"/>
    <w:rsid w:val="000C5FD3"/>
    <w:rsid w:val="000C701D"/>
    <w:rsid w:val="000C773C"/>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337"/>
    <w:rsid w:val="000E7C65"/>
    <w:rsid w:val="000F04D2"/>
    <w:rsid w:val="000F55B7"/>
    <w:rsid w:val="000F604F"/>
    <w:rsid w:val="000F7399"/>
    <w:rsid w:val="00101BF1"/>
    <w:rsid w:val="001027F1"/>
    <w:rsid w:val="00104E00"/>
    <w:rsid w:val="00104F2E"/>
    <w:rsid w:val="001072DD"/>
    <w:rsid w:val="001101E8"/>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2ECE"/>
    <w:rsid w:val="001431AE"/>
    <w:rsid w:val="00143B87"/>
    <w:rsid w:val="001459E3"/>
    <w:rsid w:val="00146A0B"/>
    <w:rsid w:val="0014761E"/>
    <w:rsid w:val="0015061C"/>
    <w:rsid w:val="00151907"/>
    <w:rsid w:val="001544C8"/>
    <w:rsid w:val="00155318"/>
    <w:rsid w:val="00155FAB"/>
    <w:rsid w:val="001567A1"/>
    <w:rsid w:val="00156857"/>
    <w:rsid w:val="00157BC9"/>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701C"/>
    <w:rsid w:val="00181264"/>
    <w:rsid w:val="00181BD1"/>
    <w:rsid w:val="0018204A"/>
    <w:rsid w:val="00182F7C"/>
    <w:rsid w:val="00183493"/>
    <w:rsid w:val="001843B5"/>
    <w:rsid w:val="001853CB"/>
    <w:rsid w:val="00186829"/>
    <w:rsid w:val="001868CA"/>
    <w:rsid w:val="00187304"/>
    <w:rsid w:val="001875BE"/>
    <w:rsid w:val="0019017A"/>
    <w:rsid w:val="00190B8C"/>
    <w:rsid w:val="00190FF8"/>
    <w:rsid w:val="0019311A"/>
    <w:rsid w:val="0019508A"/>
    <w:rsid w:val="00195E30"/>
    <w:rsid w:val="001960D8"/>
    <w:rsid w:val="001A1642"/>
    <w:rsid w:val="001A371B"/>
    <w:rsid w:val="001A4766"/>
    <w:rsid w:val="001A6A0D"/>
    <w:rsid w:val="001A6C51"/>
    <w:rsid w:val="001A6FAA"/>
    <w:rsid w:val="001A7D73"/>
    <w:rsid w:val="001B0363"/>
    <w:rsid w:val="001B1355"/>
    <w:rsid w:val="001B2FC9"/>
    <w:rsid w:val="001B3138"/>
    <w:rsid w:val="001B4160"/>
    <w:rsid w:val="001B4E4B"/>
    <w:rsid w:val="001B50AC"/>
    <w:rsid w:val="001B5E05"/>
    <w:rsid w:val="001B6D68"/>
    <w:rsid w:val="001B6F2E"/>
    <w:rsid w:val="001C0344"/>
    <w:rsid w:val="001C0F2A"/>
    <w:rsid w:val="001C1A59"/>
    <w:rsid w:val="001C270F"/>
    <w:rsid w:val="001C4679"/>
    <w:rsid w:val="001C4C0E"/>
    <w:rsid w:val="001C5770"/>
    <w:rsid w:val="001C6195"/>
    <w:rsid w:val="001D000A"/>
    <w:rsid w:val="001D0883"/>
    <w:rsid w:val="001D2205"/>
    <w:rsid w:val="001D2751"/>
    <w:rsid w:val="001D3A1F"/>
    <w:rsid w:val="001D3FB6"/>
    <w:rsid w:val="001D4550"/>
    <w:rsid w:val="001D5498"/>
    <w:rsid w:val="001D5BAF"/>
    <w:rsid w:val="001D6401"/>
    <w:rsid w:val="001D66C9"/>
    <w:rsid w:val="001D722A"/>
    <w:rsid w:val="001E04FC"/>
    <w:rsid w:val="001E407D"/>
    <w:rsid w:val="001E40FB"/>
    <w:rsid w:val="001E66EC"/>
    <w:rsid w:val="001E68C5"/>
    <w:rsid w:val="001E6BFC"/>
    <w:rsid w:val="001F0F63"/>
    <w:rsid w:val="001F3996"/>
    <w:rsid w:val="001F44A4"/>
    <w:rsid w:val="001F4F2F"/>
    <w:rsid w:val="001F579D"/>
    <w:rsid w:val="001F65EF"/>
    <w:rsid w:val="001F697B"/>
    <w:rsid w:val="002005A6"/>
    <w:rsid w:val="00204CBC"/>
    <w:rsid w:val="002051F1"/>
    <w:rsid w:val="002067BA"/>
    <w:rsid w:val="00206B4F"/>
    <w:rsid w:val="0021058D"/>
    <w:rsid w:val="002117E3"/>
    <w:rsid w:val="00211E2F"/>
    <w:rsid w:val="00211E9E"/>
    <w:rsid w:val="00214FB4"/>
    <w:rsid w:val="00215940"/>
    <w:rsid w:val="00215B20"/>
    <w:rsid w:val="00217C23"/>
    <w:rsid w:val="00220561"/>
    <w:rsid w:val="00220CE4"/>
    <w:rsid w:val="00222D9B"/>
    <w:rsid w:val="00223788"/>
    <w:rsid w:val="00223D11"/>
    <w:rsid w:val="002242D3"/>
    <w:rsid w:val="00227C1A"/>
    <w:rsid w:val="002301E6"/>
    <w:rsid w:val="00232555"/>
    <w:rsid w:val="00232F90"/>
    <w:rsid w:val="00233B08"/>
    <w:rsid w:val="00233C3B"/>
    <w:rsid w:val="0023499C"/>
    <w:rsid w:val="00235CE3"/>
    <w:rsid w:val="00235D1B"/>
    <w:rsid w:val="0023636A"/>
    <w:rsid w:val="00236F34"/>
    <w:rsid w:val="002372F7"/>
    <w:rsid w:val="00237775"/>
    <w:rsid w:val="00237FA3"/>
    <w:rsid w:val="00240532"/>
    <w:rsid w:val="00240651"/>
    <w:rsid w:val="00240803"/>
    <w:rsid w:val="00242BDE"/>
    <w:rsid w:val="0024426D"/>
    <w:rsid w:val="00244F1D"/>
    <w:rsid w:val="00245004"/>
    <w:rsid w:val="00245FB4"/>
    <w:rsid w:val="00250898"/>
    <w:rsid w:val="00251EA9"/>
    <w:rsid w:val="00252843"/>
    <w:rsid w:val="0025388A"/>
    <w:rsid w:val="002543F8"/>
    <w:rsid w:val="002551A4"/>
    <w:rsid w:val="002559F3"/>
    <w:rsid w:val="00256C4A"/>
    <w:rsid w:val="00256DFE"/>
    <w:rsid w:val="00261D56"/>
    <w:rsid w:val="00261FD3"/>
    <w:rsid w:val="00263505"/>
    <w:rsid w:val="00264077"/>
    <w:rsid w:val="00266B9A"/>
    <w:rsid w:val="00270E54"/>
    <w:rsid w:val="00273633"/>
    <w:rsid w:val="00273681"/>
    <w:rsid w:val="00275176"/>
    <w:rsid w:val="002754B5"/>
    <w:rsid w:val="002764C5"/>
    <w:rsid w:val="00276A5A"/>
    <w:rsid w:val="002772AE"/>
    <w:rsid w:val="00280613"/>
    <w:rsid w:val="002819C4"/>
    <w:rsid w:val="0028273B"/>
    <w:rsid w:val="0028274D"/>
    <w:rsid w:val="00282B96"/>
    <w:rsid w:val="002833D6"/>
    <w:rsid w:val="00283F51"/>
    <w:rsid w:val="00286064"/>
    <w:rsid w:val="002867B1"/>
    <w:rsid w:val="002868FC"/>
    <w:rsid w:val="00287577"/>
    <w:rsid w:val="00287BBB"/>
    <w:rsid w:val="00287E3B"/>
    <w:rsid w:val="00290638"/>
    <w:rsid w:val="00291763"/>
    <w:rsid w:val="00291D80"/>
    <w:rsid w:val="00292E82"/>
    <w:rsid w:val="00293156"/>
    <w:rsid w:val="00293BE7"/>
    <w:rsid w:val="00293D78"/>
    <w:rsid w:val="002946DC"/>
    <w:rsid w:val="0029493B"/>
    <w:rsid w:val="002A0C82"/>
    <w:rsid w:val="002A0CD8"/>
    <w:rsid w:val="002A13EB"/>
    <w:rsid w:val="002A35EF"/>
    <w:rsid w:val="002A3DE0"/>
    <w:rsid w:val="002A40EA"/>
    <w:rsid w:val="002A41CA"/>
    <w:rsid w:val="002A46E8"/>
    <w:rsid w:val="002A491C"/>
    <w:rsid w:val="002A4C8E"/>
    <w:rsid w:val="002B1FEF"/>
    <w:rsid w:val="002B2DF8"/>
    <w:rsid w:val="002B3473"/>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A3"/>
    <w:rsid w:val="002D36C2"/>
    <w:rsid w:val="002D3FCB"/>
    <w:rsid w:val="002D4FEF"/>
    <w:rsid w:val="002D502D"/>
    <w:rsid w:val="002D63F5"/>
    <w:rsid w:val="002D6E1A"/>
    <w:rsid w:val="002E036D"/>
    <w:rsid w:val="002E10A5"/>
    <w:rsid w:val="002E1517"/>
    <w:rsid w:val="002E1760"/>
    <w:rsid w:val="002E1B22"/>
    <w:rsid w:val="002E2DC6"/>
    <w:rsid w:val="002E387F"/>
    <w:rsid w:val="002E76FC"/>
    <w:rsid w:val="002E7F4B"/>
    <w:rsid w:val="002F0C91"/>
    <w:rsid w:val="002F0E3E"/>
    <w:rsid w:val="002F1683"/>
    <w:rsid w:val="002F1B19"/>
    <w:rsid w:val="002F1FBF"/>
    <w:rsid w:val="002F22C4"/>
    <w:rsid w:val="002F4139"/>
    <w:rsid w:val="00300624"/>
    <w:rsid w:val="00300F56"/>
    <w:rsid w:val="00301006"/>
    <w:rsid w:val="0030108F"/>
    <w:rsid w:val="00301C2B"/>
    <w:rsid w:val="00304A71"/>
    <w:rsid w:val="003066C8"/>
    <w:rsid w:val="0030739D"/>
    <w:rsid w:val="00307AFB"/>
    <w:rsid w:val="00311184"/>
    <w:rsid w:val="00311E05"/>
    <w:rsid w:val="00312675"/>
    <w:rsid w:val="00313F3D"/>
    <w:rsid w:val="00314013"/>
    <w:rsid w:val="00314945"/>
    <w:rsid w:val="00315389"/>
    <w:rsid w:val="00315746"/>
    <w:rsid w:val="00315B14"/>
    <w:rsid w:val="00315E96"/>
    <w:rsid w:val="00317FC8"/>
    <w:rsid w:val="003223D7"/>
    <w:rsid w:val="003226DE"/>
    <w:rsid w:val="00323D9F"/>
    <w:rsid w:val="00324FDB"/>
    <w:rsid w:val="0032560C"/>
    <w:rsid w:val="00325F48"/>
    <w:rsid w:val="0033129F"/>
    <w:rsid w:val="0033194F"/>
    <w:rsid w:val="00332304"/>
    <w:rsid w:val="00332406"/>
    <w:rsid w:val="00332D8D"/>
    <w:rsid w:val="00334B1D"/>
    <w:rsid w:val="00336B56"/>
    <w:rsid w:val="00341B25"/>
    <w:rsid w:val="00341EC0"/>
    <w:rsid w:val="0034240C"/>
    <w:rsid w:val="0034374F"/>
    <w:rsid w:val="00344496"/>
    <w:rsid w:val="00345968"/>
    <w:rsid w:val="00347667"/>
    <w:rsid w:val="003507E2"/>
    <w:rsid w:val="00350FEC"/>
    <w:rsid w:val="003522B2"/>
    <w:rsid w:val="0035455E"/>
    <w:rsid w:val="00354A6F"/>
    <w:rsid w:val="00354B48"/>
    <w:rsid w:val="00355789"/>
    <w:rsid w:val="003609B6"/>
    <w:rsid w:val="00361119"/>
    <w:rsid w:val="0036538D"/>
    <w:rsid w:val="00365D12"/>
    <w:rsid w:val="00366E20"/>
    <w:rsid w:val="003674A9"/>
    <w:rsid w:val="003678BA"/>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712"/>
    <w:rsid w:val="00384CCE"/>
    <w:rsid w:val="003865E5"/>
    <w:rsid w:val="003926C1"/>
    <w:rsid w:val="00392900"/>
    <w:rsid w:val="00393357"/>
    <w:rsid w:val="00395008"/>
    <w:rsid w:val="00395E7B"/>
    <w:rsid w:val="00395F4C"/>
    <w:rsid w:val="003A0511"/>
    <w:rsid w:val="003A51C5"/>
    <w:rsid w:val="003A5A73"/>
    <w:rsid w:val="003A5DAC"/>
    <w:rsid w:val="003A6591"/>
    <w:rsid w:val="003A6E9A"/>
    <w:rsid w:val="003B08C8"/>
    <w:rsid w:val="003B2567"/>
    <w:rsid w:val="003B381A"/>
    <w:rsid w:val="003B46CC"/>
    <w:rsid w:val="003B4976"/>
    <w:rsid w:val="003B4B3F"/>
    <w:rsid w:val="003B6258"/>
    <w:rsid w:val="003B7A99"/>
    <w:rsid w:val="003C0343"/>
    <w:rsid w:val="003C1C32"/>
    <w:rsid w:val="003C40DA"/>
    <w:rsid w:val="003C42BA"/>
    <w:rsid w:val="003C462F"/>
    <w:rsid w:val="003C46F7"/>
    <w:rsid w:val="003C4A02"/>
    <w:rsid w:val="003C4F05"/>
    <w:rsid w:val="003C6191"/>
    <w:rsid w:val="003C6E49"/>
    <w:rsid w:val="003C7D69"/>
    <w:rsid w:val="003D0CBF"/>
    <w:rsid w:val="003D0DD6"/>
    <w:rsid w:val="003D4B73"/>
    <w:rsid w:val="003D503B"/>
    <w:rsid w:val="003D605E"/>
    <w:rsid w:val="003D61D1"/>
    <w:rsid w:val="003D6780"/>
    <w:rsid w:val="003D6FCB"/>
    <w:rsid w:val="003E0F84"/>
    <w:rsid w:val="003E1FF3"/>
    <w:rsid w:val="003E3ACA"/>
    <w:rsid w:val="003E50EA"/>
    <w:rsid w:val="003E68C7"/>
    <w:rsid w:val="003E7313"/>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0396"/>
    <w:rsid w:val="00412253"/>
    <w:rsid w:val="0041255B"/>
    <w:rsid w:val="004142ED"/>
    <w:rsid w:val="0041634D"/>
    <w:rsid w:val="00416ABC"/>
    <w:rsid w:val="00417EF7"/>
    <w:rsid w:val="00422A7D"/>
    <w:rsid w:val="00422BFC"/>
    <w:rsid w:val="00422EEE"/>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50F4"/>
    <w:rsid w:val="00437929"/>
    <w:rsid w:val="00437A4A"/>
    <w:rsid w:val="00440541"/>
    <w:rsid w:val="0044162D"/>
    <w:rsid w:val="0044277A"/>
    <w:rsid w:val="004434EF"/>
    <w:rsid w:val="00443ACF"/>
    <w:rsid w:val="004456DC"/>
    <w:rsid w:val="004463D2"/>
    <w:rsid w:val="00447FBE"/>
    <w:rsid w:val="0045021A"/>
    <w:rsid w:val="0045035E"/>
    <w:rsid w:val="0045175A"/>
    <w:rsid w:val="00451ED9"/>
    <w:rsid w:val="00452180"/>
    <w:rsid w:val="00453072"/>
    <w:rsid w:val="004539F8"/>
    <w:rsid w:val="00453F26"/>
    <w:rsid w:val="0045503F"/>
    <w:rsid w:val="00455273"/>
    <w:rsid w:val="00457858"/>
    <w:rsid w:val="00460905"/>
    <w:rsid w:val="00461E35"/>
    <w:rsid w:val="004621DB"/>
    <w:rsid w:val="004634A7"/>
    <w:rsid w:val="00463787"/>
    <w:rsid w:val="00466926"/>
    <w:rsid w:val="00466BB5"/>
    <w:rsid w:val="00466FDA"/>
    <w:rsid w:val="004671D0"/>
    <w:rsid w:val="004674D1"/>
    <w:rsid w:val="00470773"/>
    <w:rsid w:val="00471FF9"/>
    <w:rsid w:val="00472FC5"/>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BA"/>
    <w:rsid w:val="004934E9"/>
    <w:rsid w:val="00494737"/>
    <w:rsid w:val="00494D5C"/>
    <w:rsid w:val="00495A6A"/>
    <w:rsid w:val="004964F6"/>
    <w:rsid w:val="00496821"/>
    <w:rsid w:val="00497750"/>
    <w:rsid w:val="00497B44"/>
    <w:rsid w:val="004A00E5"/>
    <w:rsid w:val="004A01A7"/>
    <w:rsid w:val="004A0D09"/>
    <w:rsid w:val="004A0ED5"/>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8D5"/>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0D2"/>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1CAD"/>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26F8F"/>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4C56"/>
    <w:rsid w:val="00555849"/>
    <w:rsid w:val="005559A8"/>
    <w:rsid w:val="00557048"/>
    <w:rsid w:val="00557FB5"/>
    <w:rsid w:val="00561AED"/>
    <w:rsid w:val="005647FC"/>
    <w:rsid w:val="005648A8"/>
    <w:rsid w:val="00564DE3"/>
    <w:rsid w:val="00564E44"/>
    <w:rsid w:val="00566C6A"/>
    <w:rsid w:val="00566CE5"/>
    <w:rsid w:val="00566D36"/>
    <w:rsid w:val="00566DD1"/>
    <w:rsid w:val="0057163A"/>
    <w:rsid w:val="0057174D"/>
    <w:rsid w:val="00573569"/>
    <w:rsid w:val="00573871"/>
    <w:rsid w:val="0057389E"/>
    <w:rsid w:val="00574A6C"/>
    <w:rsid w:val="00575A31"/>
    <w:rsid w:val="005765C0"/>
    <w:rsid w:val="005778DE"/>
    <w:rsid w:val="00580B3F"/>
    <w:rsid w:val="005825F2"/>
    <w:rsid w:val="0058344D"/>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533"/>
    <w:rsid w:val="005A4B18"/>
    <w:rsid w:val="005A537E"/>
    <w:rsid w:val="005A6F43"/>
    <w:rsid w:val="005A767D"/>
    <w:rsid w:val="005A775C"/>
    <w:rsid w:val="005B00F1"/>
    <w:rsid w:val="005B0C13"/>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56D3"/>
    <w:rsid w:val="005C663C"/>
    <w:rsid w:val="005D0750"/>
    <w:rsid w:val="005D1023"/>
    <w:rsid w:val="005D148F"/>
    <w:rsid w:val="005D14C5"/>
    <w:rsid w:val="005D2AD2"/>
    <w:rsid w:val="005D3762"/>
    <w:rsid w:val="005D4A86"/>
    <w:rsid w:val="005D4F78"/>
    <w:rsid w:val="005D5EB1"/>
    <w:rsid w:val="005D6A29"/>
    <w:rsid w:val="005E0481"/>
    <w:rsid w:val="005E10BF"/>
    <w:rsid w:val="005E1834"/>
    <w:rsid w:val="005E49E5"/>
    <w:rsid w:val="005E4E00"/>
    <w:rsid w:val="005E5481"/>
    <w:rsid w:val="005E55E4"/>
    <w:rsid w:val="005E6C5F"/>
    <w:rsid w:val="005E7636"/>
    <w:rsid w:val="005F028E"/>
    <w:rsid w:val="005F04B4"/>
    <w:rsid w:val="005F11A4"/>
    <w:rsid w:val="005F19F8"/>
    <w:rsid w:val="005F3FB1"/>
    <w:rsid w:val="005F4C33"/>
    <w:rsid w:val="005F4D29"/>
    <w:rsid w:val="005F5ACF"/>
    <w:rsid w:val="005F60DC"/>
    <w:rsid w:val="005F791A"/>
    <w:rsid w:val="005F7979"/>
    <w:rsid w:val="006000DD"/>
    <w:rsid w:val="00600F63"/>
    <w:rsid w:val="006012E1"/>
    <w:rsid w:val="00602253"/>
    <w:rsid w:val="006023E1"/>
    <w:rsid w:val="00605531"/>
    <w:rsid w:val="00605748"/>
    <w:rsid w:val="006057C5"/>
    <w:rsid w:val="00606240"/>
    <w:rsid w:val="0060674A"/>
    <w:rsid w:val="00606F77"/>
    <w:rsid w:val="00607237"/>
    <w:rsid w:val="00607832"/>
    <w:rsid w:val="0060784B"/>
    <w:rsid w:val="00610254"/>
    <w:rsid w:val="006105FB"/>
    <w:rsid w:val="00610F94"/>
    <w:rsid w:val="00611293"/>
    <w:rsid w:val="0061135E"/>
    <w:rsid w:val="0061263A"/>
    <w:rsid w:val="00612C41"/>
    <w:rsid w:val="00613629"/>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E0"/>
    <w:rsid w:val="006476F7"/>
    <w:rsid w:val="0064779E"/>
    <w:rsid w:val="006501FA"/>
    <w:rsid w:val="006509B0"/>
    <w:rsid w:val="006521F3"/>
    <w:rsid w:val="006524D5"/>
    <w:rsid w:val="00652BBD"/>
    <w:rsid w:val="00653633"/>
    <w:rsid w:val="00653F69"/>
    <w:rsid w:val="00654936"/>
    <w:rsid w:val="00654F7D"/>
    <w:rsid w:val="00655485"/>
    <w:rsid w:val="006558B3"/>
    <w:rsid w:val="00660BF0"/>
    <w:rsid w:val="0066189C"/>
    <w:rsid w:val="006630CF"/>
    <w:rsid w:val="00663EFF"/>
    <w:rsid w:val="00664FFB"/>
    <w:rsid w:val="00666F74"/>
    <w:rsid w:val="00667027"/>
    <w:rsid w:val="00667FEA"/>
    <w:rsid w:val="006710D2"/>
    <w:rsid w:val="00671A8B"/>
    <w:rsid w:val="00671F53"/>
    <w:rsid w:val="006725A0"/>
    <w:rsid w:val="00674628"/>
    <w:rsid w:val="0067555E"/>
    <w:rsid w:val="0067738D"/>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2ADF"/>
    <w:rsid w:val="006945EE"/>
    <w:rsid w:val="00694B73"/>
    <w:rsid w:val="00694DF2"/>
    <w:rsid w:val="006951CC"/>
    <w:rsid w:val="00695F80"/>
    <w:rsid w:val="006966CD"/>
    <w:rsid w:val="00696735"/>
    <w:rsid w:val="0069780E"/>
    <w:rsid w:val="006A2CA2"/>
    <w:rsid w:val="006A64ED"/>
    <w:rsid w:val="006A73EA"/>
    <w:rsid w:val="006B2D40"/>
    <w:rsid w:val="006B34DF"/>
    <w:rsid w:val="006B39B2"/>
    <w:rsid w:val="006B3AF9"/>
    <w:rsid w:val="006B43A5"/>
    <w:rsid w:val="006B45A0"/>
    <w:rsid w:val="006B5668"/>
    <w:rsid w:val="006B5DF1"/>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2E7"/>
    <w:rsid w:val="006E35E5"/>
    <w:rsid w:val="006E3C72"/>
    <w:rsid w:val="006E4F20"/>
    <w:rsid w:val="006E649A"/>
    <w:rsid w:val="006F03D1"/>
    <w:rsid w:val="006F08DC"/>
    <w:rsid w:val="006F2A24"/>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2624"/>
    <w:rsid w:val="007033A8"/>
    <w:rsid w:val="00703C53"/>
    <w:rsid w:val="0070421B"/>
    <w:rsid w:val="00704380"/>
    <w:rsid w:val="007043F0"/>
    <w:rsid w:val="0070482E"/>
    <w:rsid w:val="00704D25"/>
    <w:rsid w:val="00710519"/>
    <w:rsid w:val="00710F6E"/>
    <w:rsid w:val="00711663"/>
    <w:rsid w:val="007116B4"/>
    <w:rsid w:val="007121FB"/>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598"/>
    <w:rsid w:val="00730705"/>
    <w:rsid w:val="00730944"/>
    <w:rsid w:val="00731475"/>
    <w:rsid w:val="0073248E"/>
    <w:rsid w:val="00733EE9"/>
    <w:rsid w:val="00735B8E"/>
    <w:rsid w:val="00736651"/>
    <w:rsid w:val="0073673C"/>
    <w:rsid w:val="00736935"/>
    <w:rsid w:val="007378EC"/>
    <w:rsid w:val="00737DD9"/>
    <w:rsid w:val="00743C13"/>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8646D"/>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4F6C"/>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5BD5"/>
    <w:rsid w:val="007C7233"/>
    <w:rsid w:val="007D10EE"/>
    <w:rsid w:val="007D1193"/>
    <w:rsid w:val="007D21D5"/>
    <w:rsid w:val="007D301C"/>
    <w:rsid w:val="007D3E8D"/>
    <w:rsid w:val="007D4F05"/>
    <w:rsid w:val="007D5915"/>
    <w:rsid w:val="007D5B4F"/>
    <w:rsid w:val="007D5C30"/>
    <w:rsid w:val="007E0660"/>
    <w:rsid w:val="007E0A54"/>
    <w:rsid w:val="007E1411"/>
    <w:rsid w:val="007E1882"/>
    <w:rsid w:val="007E1BB4"/>
    <w:rsid w:val="007E2077"/>
    <w:rsid w:val="007E3514"/>
    <w:rsid w:val="007E4207"/>
    <w:rsid w:val="007E4AAA"/>
    <w:rsid w:val="007E4BD2"/>
    <w:rsid w:val="007E4C29"/>
    <w:rsid w:val="007E5E44"/>
    <w:rsid w:val="007F0DDA"/>
    <w:rsid w:val="007F1939"/>
    <w:rsid w:val="007F365C"/>
    <w:rsid w:val="007F5066"/>
    <w:rsid w:val="007F621C"/>
    <w:rsid w:val="007F7155"/>
    <w:rsid w:val="0080025A"/>
    <w:rsid w:val="00800C28"/>
    <w:rsid w:val="0080245E"/>
    <w:rsid w:val="00802E10"/>
    <w:rsid w:val="00803480"/>
    <w:rsid w:val="0080359C"/>
    <w:rsid w:val="008037AE"/>
    <w:rsid w:val="008037F6"/>
    <w:rsid w:val="008043F4"/>
    <w:rsid w:val="00804BB4"/>
    <w:rsid w:val="00805D9F"/>
    <w:rsid w:val="00807A4D"/>
    <w:rsid w:val="00807F30"/>
    <w:rsid w:val="00810377"/>
    <w:rsid w:val="008103DC"/>
    <w:rsid w:val="0081119F"/>
    <w:rsid w:val="0081134D"/>
    <w:rsid w:val="00811EDA"/>
    <w:rsid w:val="00812403"/>
    <w:rsid w:val="00812FD7"/>
    <w:rsid w:val="008203B2"/>
    <w:rsid w:val="00820623"/>
    <w:rsid w:val="00821747"/>
    <w:rsid w:val="008229A3"/>
    <w:rsid w:val="00822DFB"/>
    <w:rsid w:val="00822F64"/>
    <w:rsid w:val="008253A6"/>
    <w:rsid w:val="00825A6B"/>
    <w:rsid w:val="00825C50"/>
    <w:rsid w:val="00826577"/>
    <w:rsid w:val="00827439"/>
    <w:rsid w:val="00827C79"/>
    <w:rsid w:val="00827C9D"/>
    <w:rsid w:val="0083003F"/>
    <w:rsid w:val="00831077"/>
    <w:rsid w:val="00831A4A"/>
    <w:rsid w:val="00832134"/>
    <w:rsid w:val="0083219E"/>
    <w:rsid w:val="008324B3"/>
    <w:rsid w:val="0083497C"/>
    <w:rsid w:val="008352A6"/>
    <w:rsid w:val="00835B5B"/>
    <w:rsid w:val="00835CC2"/>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5B6"/>
    <w:rsid w:val="008519E8"/>
    <w:rsid w:val="008525FF"/>
    <w:rsid w:val="0085278F"/>
    <w:rsid w:val="00852C03"/>
    <w:rsid w:val="0085590C"/>
    <w:rsid w:val="008575EB"/>
    <w:rsid w:val="00862DDD"/>
    <w:rsid w:val="0086312D"/>
    <w:rsid w:val="0086326D"/>
    <w:rsid w:val="00863CC1"/>
    <w:rsid w:val="00865B01"/>
    <w:rsid w:val="00866D7A"/>
    <w:rsid w:val="00866EE3"/>
    <w:rsid w:val="00871F04"/>
    <w:rsid w:val="008746C1"/>
    <w:rsid w:val="0087759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0BE"/>
    <w:rsid w:val="008A51AA"/>
    <w:rsid w:val="008A6A12"/>
    <w:rsid w:val="008B0DC6"/>
    <w:rsid w:val="008B2B9E"/>
    <w:rsid w:val="008B31F5"/>
    <w:rsid w:val="008B4C79"/>
    <w:rsid w:val="008B5B52"/>
    <w:rsid w:val="008B5D2D"/>
    <w:rsid w:val="008B6361"/>
    <w:rsid w:val="008C0320"/>
    <w:rsid w:val="008C2A81"/>
    <w:rsid w:val="008C3863"/>
    <w:rsid w:val="008C3B6B"/>
    <w:rsid w:val="008C4BDC"/>
    <w:rsid w:val="008C50FF"/>
    <w:rsid w:val="008C53FA"/>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42CB"/>
    <w:rsid w:val="00915EBA"/>
    <w:rsid w:val="00917093"/>
    <w:rsid w:val="0092030E"/>
    <w:rsid w:val="009217B1"/>
    <w:rsid w:val="00921A42"/>
    <w:rsid w:val="009223BB"/>
    <w:rsid w:val="00922491"/>
    <w:rsid w:val="00923BCF"/>
    <w:rsid w:val="00925AEC"/>
    <w:rsid w:val="0092723C"/>
    <w:rsid w:val="0092751A"/>
    <w:rsid w:val="009305C4"/>
    <w:rsid w:val="00931FAF"/>
    <w:rsid w:val="00932478"/>
    <w:rsid w:val="009360F6"/>
    <w:rsid w:val="009371DC"/>
    <w:rsid w:val="0093759D"/>
    <w:rsid w:val="00937BE8"/>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0B57"/>
    <w:rsid w:val="00962CEF"/>
    <w:rsid w:val="00963766"/>
    <w:rsid w:val="00963FDF"/>
    <w:rsid w:val="00964C32"/>
    <w:rsid w:val="0096528F"/>
    <w:rsid w:val="009653F2"/>
    <w:rsid w:val="009661DF"/>
    <w:rsid w:val="009667BD"/>
    <w:rsid w:val="00967C2B"/>
    <w:rsid w:val="00967CE2"/>
    <w:rsid w:val="009706A7"/>
    <w:rsid w:val="00971DA3"/>
    <w:rsid w:val="00972161"/>
    <w:rsid w:val="0097261B"/>
    <w:rsid w:val="00974881"/>
    <w:rsid w:val="0097606C"/>
    <w:rsid w:val="009771D1"/>
    <w:rsid w:val="00977B96"/>
    <w:rsid w:val="0098012D"/>
    <w:rsid w:val="00980845"/>
    <w:rsid w:val="00981BD9"/>
    <w:rsid w:val="0098225F"/>
    <w:rsid w:val="009838B0"/>
    <w:rsid w:val="00983A3C"/>
    <w:rsid w:val="00983EFA"/>
    <w:rsid w:val="00984C15"/>
    <w:rsid w:val="00986486"/>
    <w:rsid w:val="00987829"/>
    <w:rsid w:val="00987F7A"/>
    <w:rsid w:val="00991276"/>
    <w:rsid w:val="009923E7"/>
    <w:rsid w:val="00992697"/>
    <w:rsid w:val="00992D4E"/>
    <w:rsid w:val="009934BB"/>
    <w:rsid w:val="00994621"/>
    <w:rsid w:val="009947FF"/>
    <w:rsid w:val="0099544B"/>
    <w:rsid w:val="009A07A6"/>
    <w:rsid w:val="009A0D56"/>
    <w:rsid w:val="009A2F9C"/>
    <w:rsid w:val="009A31B9"/>
    <w:rsid w:val="009A4D4F"/>
    <w:rsid w:val="009A53D8"/>
    <w:rsid w:val="009A597F"/>
    <w:rsid w:val="009A7B72"/>
    <w:rsid w:val="009A7F49"/>
    <w:rsid w:val="009B03C4"/>
    <w:rsid w:val="009B0AA2"/>
    <w:rsid w:val="009B1D02"/>
    <w:rsid w:val="009B54C1"/>
    <w:rsid w:val="009B7133"/>
    <w:rsid w:val="009B7658"/>
    <w:rsid w:val="009B7CD1"/>
    <w:rsid w:val="009B7E22"/>
    <w:rsid w:val="009B7E78"/>
    <w:rsid w:val="009C048D"/>
    <w:rsid w:val="009C10FE"/>
    <w:rsid w:val="009C13BC"/>
    <w:rsid w:val="009C1CA4"/>
    <w:rsid w:val="009C2532"/>
    <w:rsid w:val="009C2BA4"/>
    <w:rsid w:val="009C6091"/>
    <w:rsid w:val="009C634F"/>
    <w:rsid w:val="009D0219"/>
    <w:rsid w:val="009D0D55"/>
    <w:rsid w:val="009D2295"/>
    <w:rsid w:val="009D2511"/>
    <w:rsid w:val="009D3E7C"/>
    <w:rsid w:val="009D55CA"/>
    <w:rsid w:val="009D5661"/>
    <w:rsid w:val="009D5EF0"/>
    <w:rsid w:val="009D6401"/>
    <w:rsid w:val="009D6E99"/>
    <w:rsid w:val="009E0711"/>
    <w:rsid w:val="009E085F"/>
    <w:rsid w:val="009E1917"/>
    <w:rsid w:val="009E1C55"/>
    <w:rsid w:val="009E3594"/>
    <w:rsid w:val="009E4E02"/>
    <w:rsid w:val="009E6B77"/>
    <w:rsid w:val="009E7724"/>
    <w:rsid w:val="009E7D1F"/>
    <w:rsid w:val="009F1D82"/>
    <w:rsid w:val="009F1E3A"/>
    <w:rsid w:val="009F37AA"/>
    <w:rsid w:val="009F544C"/>
    <w:rsid w:val="009F5731"/>
    <w:rsid w:val="009F58FA"/>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F6D"/>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66B"/>
    <w:rsid w:val="00A35728"/>
    <w:rsid w:val="00A36EE3"/>
    <w:rsid w:val="00A37435"/>
    <w:rsid w:val="00A4173D"/>
    <w:rsid w:val="00A41A95"/>
    <w:rsid w:val="00A4248B"/>
    <w:rsid w:val="00A4376E"/>
    <w:rsid w:val="00A43B02"/>
    <w:rsid w:val="00A4572B"/>
    <w:rsid w:val="00A46246"/>
    <w:rsid w:val="00A46349"/>
    <w:rsid w:val="00A46D5E"/>
    <w:rsid w:val="00A472FD"/>
    <w:rsid w:val="00A507F4"/>
    <w:rsid w:val="00A50847"/>
    <w:rsid w:val="00A512C7"/>
    <w:rsid w:val="00A52EBB"/>
    <w:rsid w:val="00A54BFF"/>
    <w:rsid w:val="00A54C63"/>
    <w:rsid w:val="00A54EA6"/>
    <w:rsid w:val="00A54FBB"/>
    <w:rsid w:val="00A55BB1"/>
    <w:rsid w:val="00A55D71"/>
    <w:rsid w:val="00A55FD6"/>
    <w:rsid w:val="00A5619C"/>
    <w:rsid w:val="00A564CD"/>
    <w:rsid w:val="00A564CE"/>
    <w:rsid w:val="00A5675F"/>
    <w:rsid w:val="00A5743D"/>
    <w:rsid w:val="00A60D6F"/>
    <w:rsid w:val="00A61009"/>
    <w:rsid w:val="00A61762"/>
    <w:rsid w:val="00A61938"/>
    <w:rsid w:val="00A61CFD"/>
    <w:rsid w:val="00A62B86"/>
    <w:rsid w:val="00A63C96"/>
    <w:rsid w:val="00A65805"/>
    <w:rsid w:val="00A66BEE"/>
    <w:rsid w:val="00A671C9"/>
    <w:rsid w:val="00A67DFD"/>
    <w:rsid w:val="00A74736"/>
    <w:rsid w:val="00A74F9F"/>
    <w:rsid w:val="00A750B3"/>
    <w:rsid w:val="00A75559"/>
    <w:rsid w:val="00A7623D"/>
    <w:rsid w:val="00A805CB"/>
    <w:rsid w:val="00A81A50"/>
    <w:rsid w:val="00A8217C"/>
    <w:rsid w:val="00A824A7"/>
    <w:rsid w:val="00A83644"/>
    <w:rsid w:val="00A83C07"/>
    <w:rsid w:val="00A83F40"/>
    <w:rsid w:val="00A84945"/>
    <w:rsid w:val="00A85543"/>
    <w:rsid w:val="00A85A11"/>
    <w:rsid w:val="00A86EDD"/>
    <w:rsid w:val="00A8728B"/>
    <w:rsid w:val="00A904D5"/>
    <w:rsid w:val="00A90A11"/>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276"/>
    <w:rsid w:val="00AA6711"/>
    <w:rsid w:val="00AB2AEC"/>
    <w:rsid w:val="00AB2DC1"/>
    <w:rsid w:val="00AB3102"/>
    <w:rsid w:val="00AB3D9A"/>
    <w:rsid w:val="00AB4824"/>
    <w:rsid w:val="00AB4B1D"/>
    <w:rsid w:val="00AB6B5E"/>
    <w:rsid w:val="00AC0376"/>
    <w:rsid w:val="00AC047F"/>
    <w:rsid w:val="00AC0DB2"/>
    <w:rsid w:val="00AC3934"/>
    <w:rsid w:val="00AC50C8"/>
    <w:rsid w:val="00AC5581"/>
    <w:rsid w:val="00AC56AD"/>
    <w:rsid w:val="00AC61BE"/>
    <w:rsid w:val="00AC7E8A"/>
    <w:rsid w:val="00AD0C8A"/>
    <w:rsid w:val="00AD0CB4"/>
    <w:rsid w:val="00AD1D48"/>
    <w:rsid w:val="00AD1FF2"/>
    <w:rsid w:val="00AD2A21"/>
    <w:rsid w:val="00AD3B43"/>
    <w:rsid w:val="00AD4FF2"/>
    <w:rsid w:val="00AD506C"/>
    <w:rsid w:val="00AD6BE5"/>
    <w:rsid w:val="00AD6D3A"/>
    <w:rsid w:val="00AD783E"/>
    <w:rsid w:val="00AE1393"/>
    <w:rsid w:val="00AE2A0A"/>
    <w:rsid w:val="00AE39A8"/>
    <w:rsid w:val="00AE3BC6"/>
    <w:rsid w:val="00AE3E97"/>
    <w:rsid w:val="00AE4D4F"/>
    <w:rsid w:val="00AE627C"/>
    <w:rsid w:val="00AE62B0"/>
    <w:rsid w:val="00AE68A2"/>
    <w:rsid w:val="00AF0029"/>
    <w:rsid w:val="00AF0354"/>
    <w:rsid w:val="00AF1236"/>
    <w:rsid w:val="00AF3C29"/>
    <w:rsid w:val="00AF4401"/>
    <w:rsid w:val="00AF4463"/>
    <w:rsid w:val="00AF502B"/>
    <w:rsid w:val="00AF53CB"/>
    <w:rsid w:val="00AF6513"/>
    <w:rsid w:val="00AF65C5"/>
    <w:rsid w:val="00AF763D"/>
    <w:rsid w:val="00B03BEE"/>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5E0D"/>
    <w:rsid w:val="00B2659C"/>
    <w:rsid w:val="00B26B13"/>
    <w:rsid w:val="00B26BD2"/>
    <w:rsid w:val="00B26FD7"/>
    <w:rsid w:val="00B270AB"/>
    <w:rsid w:val="00B2725B"/>
    <w:rsid w:val="00B306FC"/>
    <w:rsid w:val="00B309D2"/>
    <w:rsid w:val="00B30E4F"/>
    <w:rsid w:val="00B3124F"/>
    <w:rsid w:val="00B32975"/>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8A2"/>
    <w:rsid w:val="00B65E71"/>
    <w:rsid w:val="00B66A38"/>
    <w:rsid w:val="00B66C26"/>
    <w:rsid w:val="00B67829"/>
    <w:rsid w:val="00B70885"/>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0C16"/>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1973"/>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D73AA"/>
    <w:rsid w:val="00BE02A2"/>
    <w:rsid w:val="00BE19EF"/>
    <w:rsid w:val="00BE2896"/>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140"/>
    <w:rsid w:val="00C025B9"/>
    <w:rsid w:val="00C044B4"/>
    <w:rsid w:val="00C05105"/>
    <w:rsid w:val="00C05202"/>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51E"/>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CA9"/>
    <w:rsid w:val="00C43D33"/>
    <w:rsid w:val="00C44407"/>
    <w:rsid w:val="00C456E8"/>
    <w:rsid w:val="00C46630"/>
    <w:rsid w:val="00C47A2F"/>
    <w:rsid w:val="00C50D18"/>
    <w:rsid w:val="00C51179"/>
    <w:rsid w:val="00C5282C"/>
    <w:rsid w:val="00C52FBE"/>
    <w:rsid w:val="00C5355E"/>
    <w:rsid w:val="00C535E2"/>
    <w:rsid w:val="00C53FC1"/>
    <w:rsid w:val="00C54034"/>
    <w:rsid w:val="00C551D2"/>
    <w:rsid w:val="00C56438"/>
    <w:rsid w:val="00C570B3"/>
    <w:rsid w:val="00C57114"/>
    <w:rsid w:val="00C6009F"/>
    <w:rsid w:val="00C60417"/>
    <w:rsid w:val="00C6046F"/>
    <w:rsid w:val="00C638C2"/>
    <w:rsid w:val="00C6415A"/>
    <w:rsid w:val="00C651D4"/>
    <w:rsid w:val="00C6669E"/>
    <w:rsid w:val="00C672B0"/>
    <w:rsid w:val="00C729C7"/>
    <w:rsid w:val="00C76420"/>
    <w:rsid w:val="00C777AD"/>
    <w:rsid w:val="00C80C53"/>
    <w:rsid w:val="00C81195"/>
    <w:rsid w:val="00C81798"/>
    <w:rsid w:val="00C85387"/>
    <w:rsid w:val="00C85E52"/>
    <w:rsid w:val="00C86471"/>
    <w:rsid w:val="00C8677B"/>
    <w:rsid w:val="00C86F96"/>
    <w:rsid w:val="00C909C6"/>
    <w:rsid w:val="00C923B7"/>
    <w:rsid w:val="00C94D4C"/>
    <w:rsid w:val="00C957E6"/>
    <w:rsid w:val="00C96C1E"/>
    <w:rsid w:val="00C96CA4"/>
    <w:rsid w:val="00CA012C"/>
    <w:rsid w:val="00CA0AA6"/>
    <w:rsid w:val="00CA2897"/>
    <w:rsid w:val="00CA44F3"/>
    <w:rsid w:val="00CA582C"/>
    <w:rsid w:val="00CA6077"/>
    <w:rsid w:val="00CA715B"/>
    <w:rsid w:val="00CA7988"/>
    <w:rsid w:val="00CA7BA2"/>
    <w:rsid w:val="00CB0B78"/>
    <w:rsid w:val="00CB12A5"/>
    <w:rsid w:val="00CB16C5"/>
    <w:rsid w:val="00CB17FA"/>
    <w:rsid w:val="00CB23D8"/>
    <w:rsid w:val="00CB2ED9"/>
    <w:rsid w:val="00CB36A5"/>
    <w:rsid w:val="00CB56B4"/>
    <w:rsid w:val="00CB7286"/>
    <w:rsid w:val="00CB7947"/>
    <w:rsid w:val="00CC1783"/>
    <w:rsid w:val="00CC3B46"/>
    <w:rsid w:val="00CC3C6D"/>
    <w:rsid w:val="00CC3D8B"/>
    <w:rsid w:val="00CC4E27"/>
    <w:rsid w:val="00CC570C"/>
    <w:rsid w:val="00CC59BB"/>
    <w:rsid w:val="00CC62B6"/>
    <w:rsid w:val="00CC76AA"/>
    <w:rsid w:val="00CC7CD2"/>
    <w:rsid w:val="00CD05CF"/>
    <w:rsid w:val="00CD1FAE"/>
    <w:rsid w:val="00CD232F"/>
    <w:rsid w:val="00CD2439"/>
    <w:rsid w:val="00CD279E"/>
    <w:rsid w:val="00CD2F92"/>
    <w:rsid w:val="00CD4EB0"/>
    <w:rsid w:val="00CD512D"/>
    <w:rsid w:val="00CD5831"/>
    <w:rsid w:val="00CD6F6E"/>
    <w:rsid w:val="00CE157F"/>
    <w:rsid w:val="00CE1966"/>
    <w:rsid w:val="00CE1ED4"/>
    <w:rsid w:val="00CE2216"/>
    <w:rsid w:val="00CE3014"/>
    <w:rsid w:val="00CE30E5"/>
    <w:rsid w:val="00CE438D"/>
    <w:rsid w:val="00CE6FC6"/>
    <w:rsid w:val="00CF2056"/>
    <w:rsid w:val="00CF4471"/>
    <w:rsid w:val="00CF51C0"/>
    <w:rsid w:val="00CF5B2A"/>
    <w:rsid w:val="00CF5F57"/>
    <w:rsid w:val="00CF64A7"/>
    <w:rsid w:val="00CF6730"/>
    <w:rsid w:val="00CF70E5"/>
    <w:rsid w:val="00CF78A3"/>
    <w:rsid w:val="00CF7CEC"/>
    <w:rsid w:val="00D00B0F"/>
    <w:rsid w:val="00D01BF4"/>
    <w:rsid w:val="00D0272C"/>
    <w:rsid w:val="00D045CE"/>
    <w:rsid w:val="00D05082"/>
    <w:rsid w:val="00D06163"/>
    <w:rsid w:val="00D06937"/>
    <w:rsid w:val="00D07AFD"/>
    <w:rsid w:val="00D11749"/>
    <w:rsid w:val="00D117B4"/>
    <w:rsid w:val="00D12A7D"/>
    <w:rsid w:val="00D13AB0"/>
    <w:rsid w:val="00D1519E"/>
    <w:rsid w:val="00D152B7"/>
    <w:rsid w:val="00D163DB"/>
    <w:rsid w:val="00D16EDC"/>
    <w:rsid w:val="00D17FDE"/>
    <w:rsid w:val="00D201CB"/>
    <w:rsid w:val="00D218C4"/>
    <w:rsid w:val="00D22786"/>
    <w:rsid w:val="00D228B4"/>
    <w:rsid w:val="00D25AC4"/>
    <w:rsid w:val="00D305F6"/>
    <w:rsid w:val="00D30B23"/>
    <w:rsid w:val="00D30B25"/>
    <w:rsid w:val="00D3175A"/>
    <w:rsid w:val="00D31A00"/>
    <w:rsid w:val="00D323E4"/>
    <w:rsid w:val="00D32871"/>
    <w:rsid w:val="00D329F6"/>
    <w:rsid w:val="00D33881"/>
    <w:rsid w:val="00D34282"/>
    <w:rsid w:val="00D352BF"/>
    <w:rsid w:val="00D366B1"/>
    <w:rsid w:val="00D37AE0"/>
    <w:rsid w:val="00D416A8"/>
    <w:rsid w:val="00D4217D"/>
    <w:rsid w:val="00D4257C"/>
    <w:rsid w:val="00D425AC"/>
    <w:rsid w:val="00D42823"/>
    <w:rsid w:val="00D42D5E"/>
    <w:rsid w:val="00D43F14"/>
    <w:rsid w:val="00D44C18"/>
    <w:rsid w:val="00D4503C"/>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5434"/>
    <w:rsid w:val="00D67101"/>
    <w:rsid w:val="00D7157C"/>
    <w:rsid w:val="00D71B45"/>
    <w:rsid w:val="00D71F8A"/>
    <w:rsid w:val="00D75603"/>
    <w:rsid w:val="00D75FEE"/>
    <w:rsid w:val="00D76933"/>
    <w:rsid w:val="00D76D88"/>
    <w:rsid w:val="00D77CC9"/>
    <w:rsid w:val="00D83D4B"/>
    <w:rsid w:val="00D85E64"/>
    <w:rsid w:val="00D871C6"/>
    <w:rsid w:val="00D91010"/>
    <w:rsid w:val="00D9143D"/>
    <w:rsid w:val="00D914F9"/>
    <w:rsid w:val="00D920D1"/>
    <w:rsid w:val="00D9439D"/>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8C1"/>
    <w:rsid w:val="00DC7A18"/>
    <w:rsid w:val="00DC7AF1"/>
    <w:rsid w:val="00DD2CDA"/>
    <w:rsid w:val="00DD2D92"/>
    <w:rsid w:val="00DD3026"/>
    <w:rsid w:val="00DD33DC"/>
    <w:rsid w:val="00DD3BB0"/>
    <w:rsid w:val="00DD61F5"/>
    <w:rsid w:val="00DD7418"/>
    <w:rsid w:val="00DE432B"/>
    <w:rsid w:val="00DE64A6"/>
    <w:rsid w:val="00DE66EB"/>
    <w:rsid w:val="00DE7035"/>
    <w:rsid w:val="00DF0947"/>
    <w:rsid w:val="00DF12E3"/>
    <w:rsid w:val="00DF1FCE"/>
    <w:rsid w:val="00DF2A20"/>
    <w:rsid w:val="00DF3551"/>
    <w:rsid w:val="00DF3F1D"/>
    <w:rsid w:val="00DF595C"/>
    <w:rsid w:val="00DF7EA7"/>
    <w:rsid w:val="00E04548"/>
    <w:rsid w:val="00E0484E"/>
    <w:rsid w:val="00E063F8"/>
    <w:rsid w:val="00E114D6"/>
    <w:rsid w:val="00E1166E"/>
    <w:rsid w:val="00E11DBD"/>
    <w:rsid w:val="00E13211"/>
    <w:rsid w:val="00E16FB5"/>
    <w:rsid w:val="00E179D6"/>
    <w:rsid w:val="00E21407"/>
    <w:rsid w:val="00E216D6"/>
    <w:rsid w:val="00E22668"/>
    <w:rsid w:val="00E227D3"/>
    <w:rsid w:val="00E22BFF"/>
    <w:rsid w:val="00E22CB0"/>
    <w:rsid w:val="00E22E72"/>
    <w:rsid w:val="00E23798"/>
    <w:rsid w:val="00E2585D"/>
    <w:rsid w:val="00E25DBD"/>
    <w:rsid w:val="00E25FA2"/>
    <w:rsid w:val="00E2723D"/>
    <w:rsid w:val="00E27C77"/>
    <w:rsid w:val="00E3179E"/>
    <w:rsid w:val="00E32AC9"/>
    <w:rsid w:val="00E354DA"/>
    <w:rsid w:val="00E354F5"/>
    <w:rsid w:val="00E3687E"/>
    <w:rsid w:val="00E36A4D"/>
    <w:rsid w:val="00E40974"/>
    <w:rsid w:val="00E40AAB"/>
    <w:rsid w:val="00E41205"/>
    <w:rsid w:val="00E41F32"/>
    <w:rsid w:val="00E42608"/>
    <w:rsid w:val="00E43387"/>
    <w:rsid w:val="00E43536"/>
    <w:rsid w:val="00E43DA3"/>
    <w:rsid w:val="00E44B80"/>
    <w:rsid w:val="00E45938"/>
    <w:rsid w:val="00E47430"/>
    <w:rsid w:val="00E474BD"/>
    <w:rsid w:val="00E50FB7"/>
    <w:rsid w:val="00E5199F"/>
    <w:rsid w:val="00E526DF"/>
    <w:rsid w:val="00E53C15"/>
    <w:rsid w:val="00E54596"/>
    <w:rsid w:val="00E54EE6"/>
    <w:rsid w:val="00E55C90"/>
    <w:rsid w:val="00E56715"/>
    <w:rsid w:val="00E56C2C"/>
    <w:rsid w:val="00E57F8E"/>
    <w:rsid w:val="00E611C8"/>
    <w:rsid w:val="00E619AB"/>
    <w:rsid w:val="00E6344A"/>
    <w:rsid w:val="00E64E69"/>
    <w:rsid w:val="00E64FB7"/>
    <w:rsid w:val="00E669A1"/>
    <w:rsid w:val="00E679BA"/>
    <w:rsid w:val="00E70243"/>
    <w:rsid w:val="00E70E2E"/>
    <w:rsid w:val="00E72CC6"/>
    <w:rsid w:val="00E73D44"/>
    <w:rsid w:val="00E7494A"/>
    <w:rsid w:val="00E74BE2"/>
    <w:rsid w:val="00E74C66"/>
    <w:rsid w:val="00E75933"/>
    <w:rsid w:val="00E77A1B"/>
    <w:rsid w:val="00E808BE"/>
    <w:rsid w:val="00E80BCD"/>
    <w:rsid w:val="00E81DA0"/>
    <w:rsid w:val="00E81E36"/>
    <w:rsid w:val="00E81E40"/>
    <w:rsid w:val="00E82ECE"/>
    <w:rsid w:val="00E8441D"/>
    <w:rsid w:val="00E85ADD"/>
    <w:rsid w:val="00E8713B"/>
    <w:rsid w:val="00E90774"/>
    <w:rsid w:val="00E90C61"/>
    <w:rsid w:val="00E92A82"/>
    <w:rsid w:val="00E92AA8"/>
    <w:rsid w:val="00E9344E"/>
    <w:rsid w:val="00E93E39"/>
    <w:rsid w:val="00E94391"/>
    <w:rsid w:val="00E97E2B"/>
    <w:rsid w:val="00EA08CA"/>
    <w:rsid w:val="00EA0C0C"/>
    <w:rsid w:val="00EA0D24"/>
    <w:rsid w:val="00EA2AEA"/>
    <w:rsid w:val="00EA332B"/>
    <w:rsid w:val="00EA3D36"/>
    <w:rsid w:val="00EA40AA"/>
    <w:rsid w:val="00EA57E2"/>
    <w:rsid w:val="00EA7186"/>
    <w:rsid w:val="00EA7FA6"/>
    <w:rsid w:val="00EB018B"/>
    <w:rsid w:val="00EB1003"/>
    <w:rsid w:val="00EB167E"/>
    <w:rsid w:val="00EB24ED"/>
    <w:rsid w:val="00EB2A00"/>
    <w:rsid w:val="00EB309B"/>
    <w:rsid w:val="00EB3AA2"/>
    <w:rsid w:val="00EB4763"/>
    <w:rsid w:val="00EB6CB7"/>
    <w:rsid w:val="00EC078B"/>
    <w:rsid w:val="00EC07A0"/>
    <w:rsid w:val="00EC08E4"/>
    <w:rsid w:val="00EC3086"/>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1399"/>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233"/>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1B95"/>
    <w:rsid w:val="00F22232"/>
    <w:rsid w:val="00F2228E"/>
    <w:rsid w:val="00F22D3C"/>
    <w:rsid w:val="00F23D66"/>
    <w:rsid w:val="00F24E6F"/>
    <w:rsid w:val="00F26069"/>
    <w:rsid w:val="00F265F4"/>
    <w:rsid w:val="00F26B7E"/>
    <w:rsid w:val="00F27D7D"/>
    <w:rsid w:val="00F3002B"/>
    <w:rsid w:val="00F30BC9"/>
    <w:rsid w:val="00F32462"/>
    <w:rsid w:val="00F32FF7"/>
    <w:rsid w:val="00F33EDE"/>
    <w:rsid w:val="00F341A7"/>
    <w:rsid w:val="00F3568B"/>
    <w:rsid w:val="00F377CD"/>
    <w:rsid w:val="00F40C3B"/>
    <w:rsid w:val="00F40CE0"/>
    <w:rsid w:val="00F42DBC"/>
    <w:rsid w:val="00F4308D"/>
    <w:rsid w:val="00F44012"/>
    <w:rsid w:val="00F44947"/>
    <w:rsid w:val="00F452FC"/>
    <w:rsid w:val="00F458EF"/>
    <w:rsid w:val="00F469F8"/>
    <w:rsid w:val="00F47121"/>
    <w:rsid w:val="00F472F4"/>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6D4"/>
    <w:rsid w:val="00F71AC2"/>
    <w:rsid w:val="00F723BD"/>
    <w:rsid w:val="00F739D4"/>
    <w:rsid w:val="00F75F89"/>
    <w:rsid w:val="00F77D43"/>
    <w:rsid w:val="00F80953"/>
    <w:rsid w:val="00F80B5C"/>
    <w:rsid w:val="00F81312"/>
    <w:rsid w:val="00F81B90"/>
    <w:rsid w:val="00F81E6F"/>
    <w:rsid w:val="00F82FF3"/>
    <w:rsid w:val="00F83468"/>
    <w:rsid w:val="00F8453C"/>
    <w:rsid w:val="00F84D4C"/>
    <w:rsid w:val="00F8657D"/>
    <w:rsid w:val="00F8730F"/>
    <w:rsid w:val="00F87468"/>
    <w:rsid w:val="00F87897"/>
    <w:rsid w:val="00F87DA3"/>
    <w:rsid w:val="00F90004"/>
    <w:rsid w:val="00F9001F"/>
    <w:rsid w:val="00F90EF4"/>
    <w:rsid w:val="00F917BF"/>
    <w:rsid w:val="00F920B4"/>
    <w:rsid w:val="00F9260D"/>
    <w:rsid w:val="00F92727"/>
    <w:rsid w:val="00F93646"/>
    <w:rsid w:val="00F93CCF"/>
    <w:rsid w:val="00F94307"/>
    <w:rsid w:val="00F9580B"/>
    <w:rsid w:val="00F95F15"/>
    <w:rsid w:val="00F97547"/>
    <w:rsid w:val="00F975CA"/>
    <w:rsid w:val="00FA0B60"/>
    <w:rsid w:val="00FA2528"/>
    <w:rsid w:val="00FA4100"/>
    <w:rsid w:val="00FA4F90"/>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2E4C"/>
    <w:rsid w:val="00FD5EC4"/>
    <w:rsid w:val="00FD7858"/>
    <w:rsid w:val="00FD7A8D"/>
    <w:rsid w:val="00FE11A0"/>
    <w:rsid w:val="00FE1330"/>
    <w:rsid w:val="00FE1CE5"/>
    <w:rsid w:val="00FE2832"/>
    <w:rsid w:val="00FE2D38"/>
    <w:rsid w:val="00FE3929"/>
    <w:rsid w:val="00FE3E32"/>
    <w:rsid w:val="00FF097B"/>
    <w:rsid w:val="00FF0B6E"/>
    <w:rsid w:val="00FF1C1B"/>
    <w:rsid w:val="00FF2067"/>
    <w:rsid w:val="00FF2C54"/>
    <w:rsid w:val="00FF3BC4"/>
    <w:rsid w:val="00FF4B66"/>
    <w:rsid w:val="00FF5939"/>
    <w:rsid w:val="00FF688E"/>
    <w:rsid w:val="7E5A43E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4:docId w14:val="58C3B7DE"/>
  <w15:docId w15:val="{B32FE6AA-C89D-44E6-AC54-923796DB2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23C"/>
    <w:pPr>
      <w:spacing w:after="250" w:line="276" w:lineRule="auto"/>
      <w:jc w:val="both"/>
    </w:pPr>
    <w:rPr>
      <w:rFonts w:ascii="Arial" w:eastAsiaTheme="minorEastAsia" w:hAnsi="Arial" w:cs="Arial"/>
      <w:color w:val="181818" w:themeColor="background1" w:themeShade="1A"/>
      <w:sz w:val="22"/>
      <w:lang w:eastAsia="en-US"/>
    </w:rPr>
  </w:style>
  <w:style w:type="paragraph" w:styleId="Heading1">
    <w:name w:val="heading 1"/>
    <w:basedOn w:val="Normal"/>
    <w:next w:val="Normal"/>
    <w:link w:val="Heading1Char"/>
    <w:qFormat/>
    <w:locked/>
    <w:rsid w:val="00BB1973"/>
    <w:pPr>
      <w:keepNext/>
      <w:numPr>
        <w:numId w:val="35"/>
      </w:numPr>
      <w:spacing w:before="240" w:after="60" w:line="360" w:lineRule="auto"/>
      <w:outlineLvl w:val="0"/>
    </w:pPr>
    <w:rPr>
      <w:b/>
      <w:bCs/>
      <w:color w:val="00379F"/>
      <w:kern w:val="32"/>
      <w:sz w:val="28"/>
      <w:szCs w:val="28"/>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2"/>
      </w:numPr>
      <w:spacing w:before="200"/>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Normal Nivel 1,List Paragraph Main,List first level,List Paragraph_Sections"/>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81818"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styleId="TOC4">
    <w:name w:val="toc 4"/>
    <w:basedOn w:val="Normal"/>
    <w:next w:val="Normal"/>
    <w:autoRedefine/>
    <w:uiPriority w:val="39"/>
    <w:unhideWhenUsed/>
    <w:locked/>
    <w:rsid w:val="00F377CD"/>
    <w:pPr>
      <w:spacing w:after="100"/>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uiPriority w:val="99"/>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7"/>
      </w:numPr>
      <w:spacing w:after="240"/>
    </w:pPr>
    <w:rPr>
      <w:rFonts w:ascii="Times New Roman" w:hAnsi="Times New Roman"/>
      <w:sz w:val="24"/>
      <w:lang w:eastAsia="en-GB"/>
    </w:rPr>
  </w:style>
  <w:style w:type="character" w:customStyle="1" w:styleId="BodyTextChar">
    <w:name w:val="Body Text Char"/>
    <w:link w:val="BodyText"/>
    <w:rsid w:val="00AA016B"/>
    <w:rPr>
      <w:rFonts w:eastAsiaTheme="minorEastAsia" w:cs="Arial"/>
      <w:color w:val="181818" w:themeColor="background1" w:themeShade="1A"/>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uiPriority w:val="22"/>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rFonts w:eastAsiaTheme="minorEastAsia" w:cs="Arial"/>
      <w:b/>
      <w:bCs/>
      <w:color w:val="181818" w:themeColor="background1" w:themeShade="1A"/>
      <w:sz w:val="22"/>
      <w:szCs w:val="22"/>
      <w:lang w:eastAsia="en-US"/>
    </w:rPr>
  </w:style>
  <w:style w:type="character" w:customStyle="1" w:styleId="Heading8Char">
    <w:name w:val="Heading 8 Char"/>
    <w:link w:val="Heading8"/>
    <w:rsid w:val="002D6E1A"/>
    <w:rPr>
      <w:rFonts w:eastAsiaTheme="minorEastAsia" w:cs="Arial"/>
      <w:i/>
      <w:iCs/>
      <w:color w:val="181818" w:themeColor="background1" w:themeShade="1A"/>
      <w:sz w:val="22"/>
      <w:lang w:eastAsia="en-US"/>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8"/>
      </w:numPr>
      <w:spacing w:before="120" w:after="120"/>
      <w:ind w:left="360" w:hanging="360"/>
    </w:pPr>
    <w:rPr>
      <w:rFonts w:ascii="Times New Roman" w:hAnsi="Times New Roman"/>
      <w:sz w:val="24"/>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pPr>
    <w:rPr>
      <w:rFonts w:eastAsia="Calibri"/>
      <w:lang w:eastAsia="en-GB"/>
    </w:rPr>
  </w:style>
  <w:style w:type="paragraph" w:customStyle="1" w:styleId="Tiret1">
    <w:name w:val="Tiret 1"/>
    <w:basedOn w:val="Normal"/>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pPr>
    <w:rPr>
      <w:b/>
      <w:u w:val="single"/>
    </w:rPr>
  </w:style>
  <w:style w:type="paragraph" w:customStyle="1" w:styleId="Bullet">
    <w:name w:val="Bullet"/>
    <w:basedOn w:val="Normal"/>
    <w:locked/>
    <w:rsid w:val="002D6E1A"/>
    <w:pPr>
      <w:numPr>
        <w:numId w:val="10"/>
      </w:numPr>
      <w:tabs>
        <w:tab w:val="left" w:pos="708"/>
      </w:tabs>
      <w:spacing w:before="120" w:after="120"/>
    </w:pPr>
    <w:rPr>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eastAsiaTheme="minorEastAsia" w:hAnsi="Arial" w:cs="Arial"/>
      <w:b/>
      <w:color w:val="181818" w:themeColor="background1" w:themeShade="1A"/>
      <w:sz w:val="22"/>
      <w:lang w:eastAsia="en-US"/>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line="340" w:lineRule="exact"/>
      <w:ind w:left="397" w:hanging="397"/>
    </w:pPr>
    <w:rPr>
      <w:b/>
      <w:caps/>
      <w:color w:val="2D4190"/>
      <w:sz w:val="28"/>
      <w:lang w:val="de-DE"/>
    </w:rPr>
  </w:style>
  <w:style w:type="paragraph" w:customStyle="1" w:styleId="04RunningText">
    <w:name w:val="04_Running Text"/>
    <w:basedOn w:val="Normal"/>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ind w:left="284" w:hanging="284"/>
    </w:pPr>
    <w:rPr>
      <w:rFonts w:eastAsia="Calibri"/>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lang w:val="de-DE"/>
    </w:rPr>
  </w:style>
  <w:style w:type="paragraph" w:customStyle="1" w:styleId="Considrant">
    <w:name w:val="Considérant"/>
    <w:basedOn w:val="Normal"/>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Normal"/>
    <w:next w:val="Normal"/>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Normal"/>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Normal"/>
    <w:rsid w:val="000D2D0B"/>
  </w:style>
  <w:style w:type="paragraph" w:customStyle="1" w:styleId="Sbuchead">
    <w:name w:val="Sbuchead"/>
    <w:basedOn w:val="Normal"/>
    <w:locked/>
    <w:rsid w:val="000D2D0B"/>
    <w:pPr>
      <w:spacing w:after="360"/>
    </w:pPr>
    <w:rPr>
      <w:rFonts w:ascii="Times New Roman" w:hAnsi="Times New Roman"/>
      <w:b/>
      <w:caps/>
      <w:sz w:val="24"/>
      <w:lang w:eastAsia="en-GB"/>
    </w:rPr>
  </w:style>
  <w:style w:type="paragraph" w:customStyle="1" w:styleId="Applicationdirecte">
    <w:name w:val="Application directe"/>
    <w:basedOn w:val="Normal"/>
    <w:next w:val="Fait"/>
    <w:locked/>
    <w:rsid w:val="000D2D0B"/>
    <w:pPr>
      <w:spacing w:before="480" w:after="120"/>
    </w:pPr>
    <w:rPr>
      <w:rFonts w:ascii="Times New Roman" w:hAnsi="Times New Roman"/>
      <w:sz w:val="24"/>
    </w:rPr>
  </w:style>
  <w:style w:type="paragraph" w:customStyle="1" w:styleId="Fait">
    <w:name w:val="Fait à"/>
    <w:basedOn w:val="Normal"/>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Normal"/>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rPr>
  </w:style>
  <w:style w:type="paragraph" w:customStyle="1" w:styleId="HeaderLandscape">
    <w:name w:val="HeaderLandscape"/>
    <w:basedOn w:val="Normal"/>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Normal"/>
    <w:locked/>
    <w:rsid w:val="000D2D0B"/>
    <w:pPr>
      <w:spacing w:before="120" w:after="120"/>
      <w:ind w:left="850"/>
    </w:pPr>
    <w:rPr>
      <w:rFonts w:ascii="Times New Roman" w:hAnsi="Times New Roman"/>
      <w:sz w:val="24"/>
    </w:rPr>
  </w:style>
  <w:style w:type="paragraph" w:customStyle="1" w:styleId="Text2">
    <w:name w:val="Text 2"/>
    <w:basedOn w:val="Normal"/>
    <w:locked/>
    <w:rsid w:val="000D2D0B"/>
    <w:pPr>
      <w:spacing w:before="120" w:after="120"/>
      <w:ind w:left="1417"/>
    </w:pPr>
    <w:rPr>
      <w:rFonts w:ascii="Times New Roman" w:hAnsi="Times New Roman"/>
      <w:sz w:val="24"/>
    </w:rPr>
  </w:style>
  <w:style w:type="paragraph" w:customStyle="1" w:styleId="Text3">
    <w:name w:val="Text 3"/>
    <w:basedOn w:val="Normal"/>
    <w:locked/>
    <w:rsid w:val="000D2D0B"/>
    <w:pPr>
      <w:spacing w:before="120" w:after="120"/>
      <w:ind w:left="1984"/>
    </w:pPr>
    <w:rPr>
      <w:rFonts w:ascii="Times New Roman" w:hAnsi="Times New Roman"/>
      <w:sz w:val="24"/>
    </w:rPr>
  </w:style>
  <w:style w:type="paragraph" w:customStyle="1" w:styleId="Text4">
    <w:name w:val="Text 4"/>
    <w:basedOn w:val="Normal"/>
    <w:locked/>
    <w:rsid w:val="000D2D0B"/>
    <w:pPr>
      <w:spacing w:before="120" w:after="120"/>
      <w:ind w:left="2551"/>
    </w:pPr>
    <w:rPr>
      <w:rFonts w:ascii="Times New Roman" w:hAnsi="Times New Roman"/>
      <w:sz w:val="24"/>
    </w:rPr>
  </w:style>
  <w:style w:type="paragraph" w:customStyle="1" w:styleId="NormalCentered">
    <w:name w:val="Normal Centered"/>
    <w:basedOn w:val="Normal"/>
    <w:rsid w:val="000D2D0B"/>
    <w:pPr>
      <w:spacing w:before="120" w:after="120"/>
      <w:jc w:val="center"/>
    </w:pPr>
    <w:rPr>
      <w:rFonts w:ascii="Times New Roman" w:hAnsi="Times New Roman"/>
      <w:sz w:val="24"/>
    </w:rPr>
  </w:style>
  <w:style w:type="paragraph" w:customStyle="1" w:styleId="NormalLeft">
    <w:name w:val="Normal Left"/>
    <w:basedOn w:val="Normal"/>
    <w:rsid w:val="000D2D0B"/>
    <w:pPr>
      <w:spacing w:before="120" w:after="120"/>
    </w:pPr>
    <w:rPr>
      <w:rFonts w:ascii="Times New Roman" w:hAnsi="Times New Roman"/>
      <w:sz w:val="24"/>
    </w:rPr>
  </w:style>
  <w:style w:type="paragraph" w:customStyle="1" w:styleId="NormalRight">
    <w:name w:val="Normal Right"/>
    <w:basedOn w:val="Normal"/>
    <w:rsid w:val="000D2D0B"/>
    <w:pPr>
      <w:spacing w:before="120" w:after="120"/>
      <w:jc w:val="right"/>
    </w:pPr>
    <w:rPr>
      <w:rFonts w:ascii="Times New Roman" w:hAnsi="Times New Roman"/>
      <w:sz w:val="24"/>
    </w:rPr>
  </w:style>
  <w:style w:type="paragraph" w:customStyle="1" w:styleId="QuotedText">
    <w:name w:val="Quoted Text"/>
    <w:basedOn w:val="Normal"/>
    <w:locked/>
    <w:rsid w:val="000D2D0B"/>
    <w:pPr>
      <w:spacing w:before="120" w:after="120"/>
      <w:ind w:left="1417"/>
    </w:pPr>
    <w:rPr>
      <w:rFonts w:ascii="Times New Roman" w:hAnsi="Times New Roman"/>
      <w:sz w:val="24"/>
    </w:rPr>
  </w:style>
  <w:style w:type="paragraph" w:customStyle="1" w:styleId="Point0">
    <w:name w:val="Point 0"/>
    <w:basedOn w:val="Normal"/>
    <w:locked/>
    <w:rsid w:val="000D2D0B"/>
    <w:pPr>
      <w:spacing w:before="120" w:after="120"/>
      <w:ind w:left="850" w:hanging="850"/>
    </w:pPr>
    <w:rPr>
      <w:rFonts w:ascii="Times New Roman" w:hAnsi="Times New Roman"/>
      <w:sz w:val="24"/>
    </w:rPr>
  </w:style>
  <w:style w:type="paragraph" w:customStyle="1" w:styleId="Point1">
    <w:name w:val="Point 1"/>
    <w:basedOn w:val="Normal"/>
    <w:locked/>
    <w:rsid w:val="000D2D0B"/>
    <w:pPr>
      <w:spacing w:before="120" w:after="120"/>
      <w:ind w:left="1417" w:hanging="567"/>
    </w:pPr>
    <w:rPr>
      <w:rFonts w:ascii="Times New Roman" w:hAnsi="Times New Roman"/>
      <w:sz w:val="24"/>
    </w:rPr>
  </w:style>
  <w:style w:type="paragraph" w:customStyle="1" w:styleId="Point2">
    <w:name w:val="Point 2"/>
    <w:basedOn w:val="Normal"/>
    <w:locked/>
    <w:rsid w:val="000D2D0B"/>
    <w:pPr>
      <w:spacing w:before="120" w:after="120"/>
      <w:ind w:left="1984" w:hanging="567"/>
    </w:pPr>
    <w:rPr>
      <w:rFonts w:ascii="Times New Roman" w:hAnsi="Times New Roman"/>
      <w:sz w:val="24"/>
    </w:rPr>
  </w:style>
  <w:style w:type="paragraph" w:customStyle="1" w:styleId="Point3">
    <w:name w:val="Point 3"/>
    <w:basedOn w:val="Normal"/>
    <w:locked/>
    <w:rsid w:val="000D2D0B"/>
    <w:pPr>
      <w:spacing w:before="120" w:after="120"/>
      <w:ind w:left="2551" w:hanging="567"/>
    </w:pPr>
    <w:rPr>
      <w:rFonts w:ascii="Times New Roman" w:hAnsi="Times New Roman"/>
      <w:sz w:val="24"/>
    </w:rPr>
  </w:style>
  <w:style w:type="paragraph" w:customStyle="1" w:styleId="Point4">
    <w:name w:val="Point 4"/>
    <w:basedOn w:val="Normal"/>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Normal"/>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Normal"/>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Normal"/>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Normal"/>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Normal"/>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Normal"/>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Normal"/>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Normal"/>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Normal"/>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Normal"/>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Normal"/>
    <w:next w:val="Text1"/>
    <w:locked/>
    <w:rsid w:val="000D2D0B"/>
    <w:pPr>
      <w:numPr>
        <w:numId w:val="20"/>
      </w:numPr>
      <w:spacing w:before="120" w:after="120"/>
    </w:pPr>
    <w:rPr>
      <w:rFonts w:ascii="Times New Roman" w:hAnsi="Times New Roman"/>
      <w:sz w:val="24"/>
    </w:rPr>
  </w:style>
  <w:style w:type="paragraph" w:customStyle="1" w:styleId="NumPar2">
    <w:name w:val="NumPar 2"/>
    <w:basedOn w:val="Normal"/>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Normal"/>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Normal"/>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Normal"/>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Normal"/>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Normal"/>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Normal"/>
    <w:locked/>
    <w:rsid w:val="000D2D0B"/>
    <w:pPr>
      <w:spacing w:before="120" w:after="120"/>
      <w:ind w:left="1417" w:hanging="567"/>
    </w:pPr>
    <w:rPr>
      <w:rFonts w:ascii="Times New Roman" w:hAnsi="Times New Roman"/>
      <w:sz w:val="24"/>
    </w:rPr>
  </w:style>
  <w:style w:type="paragraph" w:customStyle="1" w:styleId="ManualHeading1">
    <w:name w:val="Manual Heading 1"/>
    <w:basedOn w:val="Normal"/>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Normal"/>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Normal"/>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Normal"/>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7"/>
      </w:numPr>
      <w:spacing w:before="120" w:after="120"/>
    </w:pPr>
    <w:rPr>
      <w:rFonts w:ascii="Times New Roman" w:hAnsi="Times New Roman"/>
      <w:sz w:val="24"/>
    </w:rPr>
  </w:style>
  <w:style w:type="paragraph" w:customStyle="1" w:styleId="Point1number">
    <w:name w:val="Point 1 (number)"/>
    <w:basedOn w:val="Normal"/>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Normal"/>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Normal"/>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Normal"/>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Normal"/>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Normal"/>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Normal"/>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Normal"/>
    <w:locked/>
    <w:rsid w:val="000D2D0B"/>
    <w:pPr>
      <w:numPr>
        <w:ilvl w:val="8"/>
        <w:numId w:val="27"/>
      </w:numPr>
      <w:spacing w:before="120" w:after="120"/>
    </w:pPr>
    <w:rPr>
      <w:rFonts w:ascii="Times New Roman" w:hAnsi="Times New Roman"/>
      <w:sz w:val="24"/>
    </w:rPr>
  </w:style>
  <w:style w:type="paragraph" w:customStyle="1" w:styleId="Bullet0">
    <w:name w:val="Bullet 0"/>
    <w:basedOn w:val="Normal"/>
    <w:locked/>
    <w:rsid w:val="000D2D0B"/>
    <w:pPr>
      <w:numPr>
        <w:numId w:val="21"/>
      </w:numPr>
      <w:spacing w:before="120" w:after="120"/>
    </w:pPr>
    <w:rPr>
      <w:rFonts w:ascii="Times New Roman" w:hAnsi="Times New Roman"/>
      <w:sz w:val="24"/>
    </w:rPr>
  </w:style>
  <w:style w:type="paragraph" w:customStyle="1" w:styleId="Bullet1">
    <w:name w:val="Bullet 1"/>
    <w:basedOn w:val="Normal"/>
    <w:locked/>
    <w:rsid w:val="000D2D0B"/>
    <w:pPr>
      <w:numPr>
        <w:numId w:val="22"/>
      </w:numPr>
      <w:spacing w:before="120" w:after="120"/>
    </w:pPr>
    <w:rPr>
      <w:rFonts w:ascii="Times New Roman" w:hAnsi="Times New Roman"/>
      <w:sz w:val="24"/>
    </w:rPr>
  </w:style>
  <w:style w:type="paragraph" w:customStyle="1" w:styleId="Bullet2">
    <w:name w:val="Bullet 2"/>
    <w:basedOn w:val="Normal"/>
    <w:locked/>
    <w:rsid w:val="000D2D0B"/>
    <w:pPr>
      <w:numPr>
        <w:numId w:val="23"/>
      </w:numPr>
      <w:spacing w:before="120" w:after="120"/>
    </w:pPr>
    <w:rPr>
      <w:rFonts w:ascii="Times New Roman" w:hAnsi="Times New Roman"/>
      <w:sz w:val="24"/>
    </w:rPr>
  </w:style>
  <w:style w:type="paragraph" w:customStyle="1" w:styleId="Bullet3">
    <w:name w:val="Bullet 3"/>
    <w:basedOn w:val="Normal"/>
    <w:locked/>
    <w:rsid w:val="000D2D0B"/>
    <w:pPr>
      <w:numPr>
        <w:numId w:val="24"/>
      </w:numPr>
      <w:spacing w:before="120" w:after="120"/>
    </w:pPr>
    <w:rPr>
      <w:rFonts w:ascii="Times New Roman" w:hAnsi="Times New Roman"/>
      <w:sz w:val="24"/>
    </w:rPr>
  </w:style>
  <w:style w:type="paragraph" w:customStyle="1" w:styleId="Bullet4">
    <w:name w:val="Bullet 4"/>
    <w:basedOn w:val="Normal"/>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Normal"/>
    <w:next w:val="Normal"/>
    <w:locked/>
    <w:rsid w:val="000D2D0B"/>
    <w:pPr>
      <w:keepNext/>
      <w:spacing w:before="480" w:after="120"/>
    </w:pPr>
    <w:rPr>
      <w:rFonts w:ascii="Times New Roman" w:hAnsi="Times New Roman"/>
      <w:sz w:val="24"/>
      <w:u w:val="single"/>
    </w:rPr>
  </w:style>
  <w:style w:type="paragraph" w:customStyle="1" w:styleId="Confidence">
    <w:name w:val="Confidence"/>
    <w:basedOn w:val="Normal"/>
    <w:next w:val="Normal"/>
    <w:locked/>
    <w:rsid w:val="000D2D0B"/>
    <w:pPr>
      <w:spacing w:before="360" w:after="120"/>
      <w:jc w:val="center"/>
    </w:pPr>
    <w:rPr>
      <w:rFonts w:ascii="Times New Roman" w:hAnsi="Times New Roman"/>
      <w:sz w:val="24"/>
    </w:rPr>
  </w:style>
  <w:style w:type="paragraph" w:customStyle="1" w:styleId="Confidentialit">
    <w:name w:val="Confidentialité"/>
    <w:basedOn w:val="Normal"/>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Normal"/>
    <w:next w:val="Normal"/>
    <w:locked/>
    <w:rsid w:val="000D2D0B"/>
    <w:pPr>
      <w:spacing w:after="240"/>
    </w:pPr>
    <w:rPr>
      <w:rFonts w:ascii="Times New Roman" w:hAnsi="Times New Roman"/>
      <w:sz w:val="24"/>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rPr>
  </w:style>
  <w:style w:type="paragraph" w:customStyle="1" w:styleId="Emission">
    <w:name w:val="Emission"/>
    <w:basedOn w:val="Normal"/>
    <w:next w:val="Rfrenceinstitutionnelle"/>
    <w:locked/>
    <w:rsid w:val="000D2D0B"/>
    <w:pPr>
      <w:ind w:left="5103"/>
    </w:pPr>
    <w:rPr>
      <w:rFonts w:ascii="Times New Roman" w:hAnsi="Times New Roman"/>
      <w:sz w:val="24"/>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Normal"/>
    <w:next w:val="Normal"/>
    <w:locked/>
    <w:rsid w:val="000D2D0B"/>
    <w:pPr>
      <w:keepNext/>
      <w:spacing w:before="600" w:after="120"/>
    </w:pPr>
    <w:rPr>
      <w:rFonts w:ascii="Times New Roman" w:hAnsi="Times New Roman"/>
      <w:sz w:val="24"/>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Normal"/>
    <w:locked/>
    <w:rsid w:val="000D2D0B"/>
    <w:pPr>
      <w:spacing w:before="120" w:after="120"/>
      <w:ind w:left="709" w:hanging="709"/>
    </w:pPr>
    <w:rPr>
      <w:rFonts w:ascii="Times New Roman" w:hAnsi="Times New Roman"/>
      <w:sz w:val="24"/>
    </w:rPr>
  </w:style>
  <w:style w:type="paragraph" w:customStyle="1" w:styleId="Nomdelinstitution">
    <w:name w:val="Nom de l'institution"/>
    <w:basedOn w:val="Normal"/>
    <w:next w:val="Emission"/>
    <w:locked/>
    <w:rsid w:val="000D2D0B"/>
    <w:rPr>
      <w:sz w:val="24"/>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rPr>
  </w:style>
  <w:style w:type="paragraph" w:customStyle="1" w:styleId="Sous-titreobjet">
    <w:name w:val="Sous-titre objet"/>
    <w:basedOn w:val="Normal"/>
    <w:locked/>
    <w:rsid w:val="000D2D0B"/>
    <w:pPr>
      <w:jc w:val="center"/>
    </w:pPr>
    <w:rPr>
      <w:rFonts w:ascii="Times New Roman" w:hAnsi="Times New Roman"/>
      <w:b/>
      <w:sz w:val="24"/>
    </w:rPr>
  </w:style>
  <w:style w:type="paragraph" w:customStyle="1" w:styleId="Statut">
    <w:name w:val="Statut"/>
    <w:basedOn w:val="Normal"/>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locked/>
    <w:rsid w:val="000D2D0B"/>
    <w:pPr>
      <w:spacing w:before="120" w:after="120"/>
    </w:pPr>
    <w:rPr>
      <w:rFonts w:ascii="Times New Roman" w:hAnsi="Times New Roman"/>
      <w:i/>
      <w:caps/>
      <w:sz w:val="24"/>
    </w:rPr>
  </w:style>
  <w:style w:type="paragraph" w:customStyle="1" w:styleId="Pagedecouverture">
    <w:name w:val="Page de couverture"/>
    <w:basedOn w:val="Normal"/>
    <w:next w:val="Normal"/>
    <w:locked/>
    <w:rsid w:val="000D2D0B"/>
    <w:pPr>
      <w:spacing w:before="120" w:after="120"/>
    </w:pPr>
    <w:rPr>
      <w:rFonts w:ascii="Times New Roman" w:hAnsi="Times New Roman"/>
      <w:sz w:val="24"/>
    </w:rPr>
  </w:style>
  <w:style w:type="paragraph" w:customStyle="1" w:styleId="Supertitre">
    <w:name w:val="Supertitre"/>
    <w:basedOn w:val="Normal"/>
    <w:next w:val="Normal"/>
    <w:locked/>
    <w:rsid w:val="000D2D0B"/>
    <w:pPr>
      <w:spacing w:after="600"/>
      <w:jc w:val="center"/>
    </w:pPr>
    <w:rPr>
      <w:rFonts w:ascii="Times New Roman" w:hAnsi="Times New Roman"/>
      <w:b/>
      <w:sz w:val="24"/>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rPr>
  </w:style>
  <w:style w:type="paragraph" w:customStyle="1" w:styleId="Rfrencecroise">
    <w:name w:val="Référence croisée"/>
    <w:basedOn w:val="Normal"/>
    <w:locked/>
    <w:rsid w:val="000D2D0B"/>
    <w:pPr>
      <w:jc w:val="center"/>
    </w:pPr>
    <w:rPr>
      <w:rFonts w:ascii="Times New Roman" w:hAnsi="Times New Roman"/>
      <w:sz w:val="24"/>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rPr>
  </w:style>
  <w:style w:type="paragraph" w:styleId="ListNumber2">
    <w:name w:val="List Number 2"/>
    <w:basedOn w:val="Normal"/>
    <w:locked/>
    <w:rsid w:val="000D2D0B"/>
    <w:pPr>
      <w:tabs>
        <w:tab w:val="num" w:pos="643"/>
      </w:tabs>
      <w:spacing w:before="120" w:after="120"/>
      <w:ind w:left="643" w:hanging="360"/>
    </w:pPr>
    <w:rPr>
      <w:rFonts w:ascii="Times New Roman" w:hAnsi="Times New Roman"/>
      <w:sz w:val="24"/>
    </w:rPr>
  </w:style>
  <w:style w:type="paragraph" w:styleId="ListNumber3">
    <w:name w:val="List Number 3"/>
    <w:basedOn w:val="Normal"/>
    <w:locked/>
    <w:rsid w:val="000D2D0B"/>
    <w:pPr>
      <w:tabs>
        <w:tab w:val="num" w:pos="926"/>
      </w:tabs>
      <w:spacing w:before="120" w:after="120"/>
      <w:ind w:left="926" w:hanging="360"/>
    </w:pPr>
    <w:rPr>
      <w:rFonts w:ascii="Times New Roman" w:hAnsi="Times New Roman"/>
      <w:sz w:val="24"/>
    </w:rPr>
  </w:style>
  <w:style w:type="paragraph" w:styleId="ListNumber4">
    <w:name w:val="List Number 4"/>
    <w:basedOn w:val="Normal"/>
    <w:locked/>
    <w:rsid w:val="000D2D0B"/>
    <w:pPr>
      <w:tabs>
        <w:tab w:val="num" w:pos="1209"/>
        <w:tab w:val="num" w:pos="1417"/>
      </w:tabs>
      <w:spacing w:before="120" w:after="120"/>
      <w:ind w:left="1209" w:hanging="360"/>
    </w:pPr>
    <w:rPr>
      <w:rFonts w:ascii="Times New Roman" w:hAnsi="Times New Roman"/>
      <w:sz w:val="24"/>
    </w:rPr>
  </w:style>
  <w:style w:type="paragraph" w:styleId="ListBullet">
    <w:name w:val="List Bullet"/>
    <w:basedOn w:val="Normal"/>
    <w:locked/>
    <w:rsid w:val="000D2D0B"/>
    <w:pPr>
      <w:numPr>
        <w:numId w:val="13"/>
      </w:numPr>
      <w:tabs>
        <w:tab w:val="num" w:pos="360"/>
      </w:tabs>
      <w:spacing w:before="120" w:after="120"/>
      <w:ind w:left="360" w:hanging="360"/>
    </w:pPr>
    <w:rPr>
      <w:rFonts w:ascii="Times New Roman" w:hAnsi="Times New Roman"/>
      <w:sz w:val="24"/>
    </w:rPr>
  </w:style>
  <w:style w:type="paragraph" w:styleId="ListBullet2">
    <w:name w:val="List Bullet 2"/>
    <w:basedOn w:val="Normal"/>
    <w:locked/>
    <w:rsid w:val="000D2D0B"/>
    <w:pPr>
      <w:tabs>
        <w:tab w:val="num" w:pos="643"/>
        <w:tab w:val="num" w:pos="851"/>
      </w:tabs>
      <w:spacing w:before="120" w:after="120"/>
      <w:ind w:left="643" w:hanging="360"/>
    </w:pPr>
    <w:rPr>
      <w:rFonts w:ascii="Times New Roman" w:hAnsi="Times New Roman"/>
      <w:sz w:val="24"/>
    </w:rPr>
  </w:style>
  <w:style w:type="paragraph" w:styleId="ListBullet3">
    <w:name w:val="List Bullet 3"/>
    <w:basedOn w:val="Normal"/>
    <w:locked/>
    <w:rsid w:val="000D2D0B"/>
    <w:pPr>
      <w:numPr>
        <w:numId w:val="15"/>
      </w:numPr>
      <w:tabs>
        <w:tab w:val="num" w:pos="926"/>
      </w:tabs>
      <w:spacing w:before="120" w:after="120"/>
      <w:ind w:left="926"/>
    </w:pPr>
    <w:rPr>
      <w:rFonts w:ascii="Times New Roman" w:hAnsi="Times New Roman"/>
      <w:sz w:val="24"/>
    </w:rPr>
  </w:style>
  <w:style w:type="paragraph" w:styleId="ListBullet4">
    <w:name w:val="List Bullet 4"/>
    <w:basedOn w:val="Normal"/>
    <w:locked/>
    <w:rsid w:val="000D2D0B"/>
    <w:pPr>
      <w:numPr>
        <w:numId w:val="16"/>
      </w:numPr>
      <w:tabs>
        <w:tab w:val="num" w:pos="1209"/>
      </w:tabs>
      <w:spacing w:before="120" w:after="120"/>
      <w:ind w:left="1209"/>
    </w:pPr>
    <w:rPr>
      <w:rFonts w:ascii="Times New Roman" w:hAnsi="Times New Roman"/>
      <w:sz w:val="24"/>
    </w:rPr>
  </w:style>
  <w:style w:type="paragraph" w:styleId="TableofFigures">
    <w:name w:val="table of figures"/>
    <w:basedOn w:val="Normal"/>
    <w:next w:val="Normal"/>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Normal"/>
    <w:uiPriority w:val="99"/>
    <w:locked/>
    <w:rsid w:val="000D2D0B"/>
    <w:pPr>
      <w:ind w:left="720"/>
      <w:contextualSpacing/>
    </w:pPr>
    <w:rPr>
      <w:rFonts w:ascii="Cambria" w:hAnsi="Cambria"/>
      <w:sz w:val="24"/>
      <w:lang w:val="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81818" w:themeColor="background1" w:themeShade="1A"/>
      <w:sz w:val="22"/>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pPr>
    <w:rPr>
      <w:rFonts w:ascii="Myriad Pro Light" w:hAnsi="Myriad Pro Light"/>
      <w:b/>
      <w:sz w:val="21"/>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ind w:left="284" w:hanging="284"/>
    </w:p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Normal"/>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81818"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81818" w:themeColor="background1" w:themeShade="1A"/>
      <w:sz w:val="22"/>
      <w:lang w:eastAsia="en-US"/>
    </w:rPr>
  </w:style>
  <w:style w:type="paragraph" w:customStyle="1" w:styleId="NEW-Level0">
    <w:name w:val="NEW-Level0"/>
    <w:basedOn w:val="Normal"/>
    <w:locked/>
    <w:rsid w:val="003A6E9A"/>
    <w:pPr>
      <w:keepNext/>
      <w:numPr>
        <w:numId w:val="29"/>
      </w:numPr>
      <w:spacing w:before="240"/>
      <w:outlineLvl w:val="0"/>
    </w:pPr>
    <w:rPr>
      <w:b/>
      <w:bCs/>
      <w:kern w:val="32"/>
      <w:sz w:val="28"/>
      <w:szCs w:val="28"/>
    </w:rPr>
  </w:style>
  <w:style w:type="paragraph" w:customStyle="1" w:styleId="NEW-Level1">
    <w:name w:val="NEW-Level1"/>
    <w:basedOn w:val="Normal"/>
    <w:locked/>
    <w:rsid w:val="003A6E9A"/>
    <w:pPr>
      <w:keepNext/>
      <w:numPr>
        <w:ilvl w:val="1"/>
        <w:numId w:val="29"/>
      </w:numPr>
      <w:spacing w:before="240"/>
      <w:outlineLvl w:val="0"/>
    </w:pPr>
    <w:rPr>
      <w:b/>
      <w:bCs/>
      <w:kern w:val="32"/>
      <w:sz w:val="24"/>
      <w:szCs w:val="32"/>
    </w:rPr>
  </w:style>
  <w:style w:type="paragraph" w:customStyle="1" w:styleId="NEW-Level2">
    <w:name w:val="NEW-Level2"/>
    <w:basedOn w:val="Normal"/>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pPr>
  </w:style>
  <w:style w:type="character" w:customStyle="1" w:styleId="aNEW-Level0Char">
    <w:name w:val="aNEW-Level0 Char"/>
    <w:link w:val="aNEW-Level0"/>
    <w:rsid w:val="004E76A1"/>
    <w:rPr>
      <w:rFonts w:ascii="Arial" w:eastAsiaTheme="minorEastAsia" w:hAnsi="Arial" w:cs="Arial"/>
      <w:b/>
      <w:bCs/>
      <w:color w:val="181818"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81818"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81818"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81818" w:themeColor="background1" w:themeShade="1A"/>
      <w:sz w:val="22"/>
      <w:lang w:eastAsia="en-US"/>
    </w:rPr>
  </w:style>
  <w:style w:type="paragraph" w:customStyle="1" w:styleId="aNew-Level33">
    <w:name w:val="aNew-Level33"/>
    <w:basedOn w:val="Normal"/>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81818"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81818"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81818" w:themeColor="background1" w:themeShade="1A"/>
      <w:sz w:val="22"/>
      <w:lang w:eastAsia="en-US"/>
    </w:rPr>
  </w:style>
  <w:style w:type="paragraph" w:customStyle="1" w:styleId="aNew-Level5">
    <w:name w:val="aNew-Level5"/>
    <w:basedOn w:val="Normal"/>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1"/>
      </w:numPr>
      <w:spacing w:before="250"/>
    </w:pPr>
    <w:rPr>
      <w:rFonts w:cstheme="minorBidi"/>
      <w:b/>
    </w:rPr>
  </w:style>
  <w:style w:type="character" w:customStyle="1" w:styleId="CPQuestionsChar">
    <w:name w:val="CP_Questions Char"/>
    <w:basedOn w:val="DefaultParagraphFont"/>
    <w:link w:val="CPQuestions"/>
    <w:rsid w:val="00EF0769"/>
    <w:rPr>
      <w:rFonts w:ascii="Arial" w:eastAsiaTheme="minorEastAsia" w:hAnsi="Arial" w:cstheme="minorBidi"/>
      <w:b/>
      <w:color w:val="181818"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81818" w:themeColor="background1" w:themeShade="1A"/>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Heading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Normal"/>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Normal"/>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Normal"/>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Normal"/>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Normal"/>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Normal"/>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Normal"/>
    <w:next w:val="Normal"/>
    <w:link w:val="QuestionstyleChar"/>
    <w:autoRedefine/>
    <w:qFormat/>
    <w:rsid w:val="006B5DF1"/>
    <w:pPr>
      <w:numPr>
        <w:numId w:val="34"/>
      </w:numPr>
      <w:spacing w:after="240" w:line="259" w:lineRule="auto"/>
      <w:ind w:left="851" w:hanging="851"/>
    </w:pPr>
    <w:rPr>
      <w:b/>
      <w:szCs w:val="22"/>
    </w:rPr>
  </w:style>
  <w:style w:type="character" w:customStyle="1" w:styleId="QuestionstyleChar">
    <w:name w:val="Question style Char"/>
    <w:basedOn w:val="DefaultParagraphFont"/>
    <w:link w:val="Questionstyle"/>
    <w:rsid w:val="006B5DF1"/>
    <w:rPr>
      <w:rFonts w:ascii="Arial" w:eastAsiaTheme="minorEastAsia" w:hAnsi="Arial" w:cs="Arial"/>
      <w:b/>
      <w:color w:val="181818" w:themeColor="background1" w:themeShade="1A"/>
      <w:sz w:val="22"/>
      <w:szCs w:val="22"/>
      <w:lang w:eastAsia="en-US"/>
    </w:rPr>
  </w:style>
  <w:style w:type="character" w:customStyle="1" w:styleId="ESMAConfidentialRestricted">
    <w:name w:val="ESMA Confidential/Restricted"/>
    <w:basedOn w:val="Strong"/>
    <w:uiPriority w:val="1"/>
    <w:qFormat/>
    <w:rsid w:val="00F87468"/>
    <w:rPr>
      <w:b w:val="0"/>
      <w:bCs/>
      <w:caps/>
      <w:smallCaps w:val="0"/>
      <w:color w:val="FF0000" w:themeColor="accent6"/>
      <w:sz w:val="22"/>
    </w:rPr>
  </w:style>
  <w:style w:type="paragraph" w:styleId="Subtitle">
    <w:name w:val="Subtitle"/>
    <w:basedOn w:val="Normal"/>
    <w:next w:val="Normal"/>
    <w:link w:val="SubtitleChar"/>
    <w:uiPriority w:val="11"/>
    <w:qFormat/>
    <w:locked/>
    <w:rsid w:val="00E70E2E"/>
    <w:pPr>
      <w:numPr>
        <w:ilvl w:val="1"/>
      </w:numPr>
    </w:pPr>
    <w:rPr>
      <w:rFonts w:eastAsiaTheme="majorEastAsia"/>
      <w:b/>
      <w:bCs/>
      <w:sz w:val="28"/>
    </w:rPr>
  </w:style>
  <w:style w:type="character" w:customStyle="1" w:styleId="SubtitleChar">
    <w:name w:val="Subtitle Char"/>
    <w:basedOn w:val="DefaultParagraphFont"/>
    <w:link w:val="Subtitle"/>
    <w:uiPriority w:val="11"/>
    <w:rsid w:val="00E70E2E"/>
    <w:rPr>
      <w:rFonts w:ascii="Arial" w:eastAsiaTheme="majorEastAsia" w:hAnsi="Arial" w:cs="Arial"/>
      <w:b/>
      <w:bCs/>
      <w:color w:val="181818"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007EFF" w:themeColor="text2"/>
      <w:sz w:val="22"/>
    </w:rPr>
  </w:style>
  <w:style w:type="paragraph" w:customStyle="1" w:styleId="HeaderFoot">
    <w:name w:val="HeaderFoot"/>
    <w:basedOn w:val="Normal"/>
    <w:link w:val="HeaderFootChar"/>
    <w:qFormat/>
    <w:rsid w:val="00F716D4"/>
    <w:pPr>
      <w:spacing w:after="0"/>
      <w:jc w:val="right"/>
    </w:pPr>
    <w:rPr>
      <w:color w:val="001B4F"/>
      <w:sz w:val="16"/>
      <w:szCs w:val="16"/>
    </w:rPr>
  </w:style>
  <w:style w:type="character" w:customStyle="1" w:styleId="UnresolvedMention">
    <w:name w:val="Unresolved Mention"/>
    <w:basedOn w:val="DefaultParagraphFont"/>
    <w:uiPriority w:val="99"/>
    <w:semiHidden/>
    <w:unhideWhenUsed/>
    <w:rsid w:val="0034374F"/>
    <w:rPr>
      <w:color w:val="605E5C"/>
      <w:shd w:val="clear" w:color="auto" w:fill="E1DFDD"/>
    </w:rPr>
  </w:style>
  <w:style w:type="character" w:customStyle="1" w:styleId="HeaderFootChar">
    <w:name w:val="HeaderFoot Char"/>
    <w:basedOn w:val="DefaultParagraphFon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Normal"/>
    <w:link w:val="SectionreplyformChar"/>
    <w:qFormat/>
    <w:rsid w:val="00BB1973"/>
    <w:pPr>
      <w:spacing w:after="120" w:line="264" w:lineRule="auto"/>
    </w:pPr>
    <w:rPr>
      <w:b/>
      <w:color w:val="00379F" w:themeColor="text1"/>
      <w:sz w:val="24"/>
      <w:szCs w:val="24"/>
      <w:u w:val="single"/>
      <w:lang w:val="en-US"/>
    </w:rPr>
  </w:style>
  <w:style w:type="character" w:customStyle="1" w:styleId="SectionreplyformChar">
    <w:name w:val="Section reply form Char"/>
    <w:basedOn w:val="DefaultParagraphFont"/>
    <w:link w:val="Sectionreplyform"/>
    <w:rsid w:val="00BB1973"/>
    <w:rPr>
      <w:rFonts w:ascii="Arial" w:eastAsiaTheme="minorEastAsia" w:hAnsi="Arial" w:cs="Arial"/>
      <w:b/>
      <w:color w:val="00379F" w:themeColor="text1"/>
      <w:sz w:val="24"/>
      <w:szCs w:val="24"/>
      <w:u w:val="single"/>
      <w:lang w:val="en-US" w:eastAsia="en-US"/>
    </w:rPr>
  </w:style>
  <w:style w:type="character" w:customStyle="1" w:styleId="normaltextrun">
    <w:name w:val="normaltextrun"/>
    <w:basedOn w:val="DefaultParagraphFont"/>
    <w:rsid w:val="004E60D2"/>
  </w:style>
  <w:style w:type="character" w:customStyle="1" w:styleId="mandatory">
    <w:name w:val="mandatory"/>
    <w:basedOn w:val="DefaultParagraphFont"/>
    <w:rsid w:val="00E54596"/>
  </w:style>
  <w:style w:type="character" w:customStyle="1" w:styleId="screen-reader-only">
    <w:name w:val="screen-reader-only"/>
    <w:basedOn w:val="DefaultParagraphFont"/>
    <w:rsid w:val="00E54596"/>
  </w:style>
  <w:style w:type="paragraph" w:styleId="NoSpacing">
    <w:name w:val="No Spacing"/>
    <w:uiPriority w:val="1"/>
    <w:qFormat/>
    <w:locked/>
    <w:rsid w:val="000B1586"/>
    <w:pPr>
      <w:jc w:val="both"/>
    </w:pPr>
    <w:rPr>
      <w:rFonts w:ascii="Arial" w:eastAsiaTheme="minorEastAsia" w:hAnsi="Arial" w:cs="Arial"/>
      <w:color w:val="181818" w:themeColor="background1" w:themeShade="1A"/>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57940445">
      <w:bodyDiv w:val="1"/>
      <w:marLeft w:val="0"/>
      <w:marRight w:val="0"/>
      <w:marTop w:val="0"/>
      <w:marBottom w:val="0"/>
      <w:divBdr>
        <w:top w:val="none" w:sz="0" w:space="0" w:color="auto"/>
        <w:left w:val="none" w:sz="0" w:space="0" w:color="auto"/>
        <w:bottom w:val="none" w:sz="0" w:space="0" w:color="auto"/>
        <w:right w:val="none" w:sz="0" w:space="0" w:color="auto"/>
      </w:divBdr>
      <w:divsChild>
        <w:div w:id="392244311">
          <w:marLeft w:val="0"/>
          <w:marRight w:val="0"/>
          <w:marTop w:val="0"/>
          <w:marBottom w:val="0"/>
          <w:divBdr>
            <w:top w:val="none" w:sz="0" w:space="0" w:color="auto"/>
            <w:left w:val="none" w:sz="0" w:space="0" w:color="auto"/>
            <w:bottom w:val="none" w:sz="0" w:space="0" w:color="auto"/>
            <w:right w:val="none" w:sz="0" w:space="0" w:color="auto"/>
          </w:divBdr>
          <w:divsChild>
            <w:div w:id="23944478">
              <w:marLeft w:val="0"/>
              <w:marRight w:val="0"/>
              <w:marTop w:val="0"/>
              <w:marBottom w:val="0"/>
              <w:divBdr>
                <w:top w:val="none" w:sz="0" w:space="0" w:color="auto"/>
                <w:left w:val="none" w:sz="0" w:space="0" w:color="auto"/>
                <w:bottom w:val="none" w:sz="0" w:space="0" w:color="auto"/>
                <w:right w:val="none" w:sz="0" w:space="0" w:color="auto"/>
              </w:divBdr>
              <w:divsChild>
                <w:div w:id="89200028">
                  <w:marLeft w:val="0"/>
                  <w:marRight w:val="0"/>
                  <w:marTop w:val="0"/>
                  <w:marBottom w:val="0"/>
                  <w:divBdr>
                    <w:top w:val="none" w:sz="0" w:space="0" w:color="auto"/>
                    <w:left w:val="none" w:sz="0" w:space="0" w:color="auto"/>
                    <w:bottom w:val="none" w:sz="0" w:space="0" w:color="auto"/>
                    <w:right w:val="none" w:sz="0" w:space="0" w:color="auto"/>
                  </w:divBdr>
                  <w:divsChild>
                    <w:div w:id="196550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795860">
              <w:marLeft w:val="0"/>
              <w:marRight w:val="0"/>
              <w:marTop w:val="0"/>
              <w:marBottom w:val="0"/>
              <w:divBdr>
                <w:top w:val="none" w:sz="0" w:space="0" w:color="auto"/>
                <w:left w:val="none" w:sz="0" w:space="0" w:color="auto"/>
                <w:bottom w:val="none" w:sz="0" w:space="0" w:color="auto"/>
                <w:right w:val="none" w:sz="0" w:space="0" w:color="auto"/>
              </w:divBdr>
              <w:divsChild>
                <w:div w:id="2119177936">
                  <w:marLeft w:val="0"/>
                  <w:marRight w:val="0"/>
                  <w:marTop w:val="0"/>
                  <w:marBottom w:val="0"/>
                  <w:divBdr>
                    <w:top w:val="none" w:sz="0" w:space="0" w:color="auto"/>
                    <w:left w:val="none" w:sz="0" w:space="0" w:color="auto"/>
                    <w:bottom w:val="none" w:sz="0" w:space="0" w:color="auto"/>
                    <w:right w:val="none" w:sz="0" w:space="0" w:color="auto"/>
                  </w:divBdr>
                  <w:divsChild>
                    <w:div w:id="209258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19208">
              <w:marLeft w:val="0"/>
              <w:marRight w:val="0"/>
              <w:marTop w:val="0"/>
              <w:marBottom w:val="0"/>
              <w:divBdr>
                <w:top w:val="none" w:sz="0" w:space="0" w:color="auto"/>
                <w:left w:val="none" w:sz="0" w:space="0" w:color="auto"/>
                <w:bottom w:val="none" w:sz="0" w:space="0" w:color="auto"/>
                <w:right w:val="none" w:sz="0" w:space="0" w:color="auto"/>
              </w:divBdr>
              <w:divsChild>
                <w:div w:id="708065774">
                  <w:marLeft w:val="0"/>
                  <w:marRight w:val="0"/>
                  <w:marTop w:val="0"/>
                  <w:marBottom w:val="0"/>
                  <w:divBdr>
                    <w:top w:val="none" w:sz="0" w:space="0" w:color="auto"/>
                    <w:left w:val="none" w:sz="0" w:space="0" w:color="auto"/>
                    <w:bottom w:val="none" w:sz="0" w:space="0" w:color="auto"/>
                    <w:right w:val="none" w:sz="0" w:space="0" w:color="auto"/>
                  </w:divBdr>
                  <w:divsChild>
                    <w:div w:id="1621843018">
                      <w:marLeft w:val="0"/>
                      <w:marRight w:val="0"/>
                      <w:marTop w:val="0"/>
                      <w:marBottom w:val="0"/>
                      <w:divBdr>
                        <w:top w:val="none" w:sz="0" w:space="0" w:color="auto"/>
                        <w:left w:val="none" w:sz="0" w:space="0" w:color="auto"/>
                        <w:bottom w:val="none" w:sz="0" w:space="0" w:color="auto"/>
                        <w:right w:val="none" w:sz="0" w:space="0" w:color="auto"/>
                      </w:divBdr>
                      <w:divsChild>
                        <w:div w:id="90741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485281">
          <w:marLeft w:val="0"/>
          <w:marRight w:val="0"/>
          <w:marTop w:val="0"/>
          <w:marBottom w:val="0"/>
          <w:divBdr>
            <w:top w:val="none" w:sz="0" w:space="0" w:color="auto"/>
            <w:left w:val="none" w:sz="0" w:space="0" w:color="auto"/>
            <w:bottom w:val="none" w:sz="0" w:space="0" w:color="auto"/>
            <w:right w:val="none" w:sz="0" w:space="0" w:color="auto"/>
          </w:divBdr>
        </w:div>
      </w:divsChild>
    </w:div>
    <w:div w:id="124543973">
      <w:bodyDiv w:val="1"/>
      <w:marLeft w:val="0"/>
      <w:marRight w:val="0"/>
      <w:marTop w:val="0"/>
      <w:marBottom w:val="0"/>
      <w:divBdr>
        <w:top w:val="none" w:sz="0" w:space="0" w:color="auto"/>
        <w:left w:val="none" w:sz="0" w:space="0" w:color="auto"/>
        <w:bottom w:val="none" w:sz="0" w:space="0" w:color="auto"/>
        <w:right w:val="none" w:sz="0" w:space="0" w:color="auto"/>
      </w:divBdr>
      <w:divsChild>
        <w:div w:id="56830403">
          <w:marLeft w:val="0"/>
          <w:marRight w:val="0"/>
          <w:marTop w:val="0"/>
          <w:marBottom w:val="0"/>
          <w:divBdr>
            <w:top w:val="none" w:sz="0" w:space="0" w:color="auto"/>
            <w:left w:val="none" w:sz="0" w:space="0" w:color="auto"/>
            <w:bottom w:val="none" w:sz="0" w:space="0" w:color="auto"/>
            <w:right w:val="none" w:sz="0" w:space="0" w:color="auto"/>
          </w:divBdr>
          <w:divsChild>
            <w:div w:id="926352965">
              <w:marLeft w:val="0"/>
              <w:marRight w:val="0"/>
              <w:marTop w:val="0"/>
              <w:marBottom w:val="0"/>
              <w:divBdr>
                <w:top w:val="none" w:sz="0" w:space="0" w:color="auto"/>
                <w:left w:val="none" w:sz="0" w:space="0" w:color="auto"/>
                <w:bottom w:val="none" w:sz="0" w:space="0" w:color="auto"/>
                <w:right w:val="none" w:sz="0" w:space="0" w:color="auto"/>
              </w:divBdr>
              <w:divsChild>
                <w:div w:id="1791588832">
                  <w:marLeft w:val="0"/>
                  <w:marRight w:val="0"/>
                  <w:marTop w:val="0"/>
                  <w:marBottom w:val="0"/>
                  <w:divBdr>
                    <w:top w:val="none" w:sz="0" w:space="0" w:color="auto"/>
                    <w:left w:val="none" w:sz="0" w:space="0" w:color="auto"/>
                    <w:bottom w:val="none" w:sz="0" w:space="0" w:color="auto"/>
                    <w:right w:val="none" w:sz="0" w:space="0" w:color="auto"/>
                  </w:divBdr>
                  <w:divsChild>
                    <w:div w:id="44993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60659">
          <w:marLeft w:val="0"/>
          <w:marRight w:val="0"/>
          <w:marTop w:val="0"/>
          <w:marBottom w:val="0"/>
          <w:divBdr>
            <w:top w:val="none" w:sz="0" w:space="0" w:color="auto"/>
            <w:left w:val="none" w:sz="0" w:space="0" w:color="auto"/>
            <w:bottom w:val="none" w:sz="0" w:space="0" w:color="auto"/>
            <w:right w:val="none" w:sz="0" w:space="0" w:color="auto"/>
          </w:divBdr>
          <w:divsChild>
            <w:div w:id="703286231">
              <w:marLeft w:val="0"/>
              <w:marRight w:val="0"/>
              <w:marTop w:val="0"/>
              <w:marBottom w:val="0"/>
              <w:divBdr>
                <w:top w:val="none" w:sz="0" w:space="0" w:color="auto"/>
                <w:left w:val="none" w:sz="0" w:space="0" w:color="auto"/>
                <w:bottom w:val="none" w:sz="0" w:space="0" w:color="auto"/>
                <w:right w:val="none" w:sz="0" w:space="0" w:color="auto"/>
              </w:divBdr>
              <w:divsChild>
                <w:div w:id="2047948751">
                  <w:marLeft w:val="0"/>
                  <w:marRight w:val="0"/>
                  <w:marTop w:val="0"/>
                  <w:marBottom w:val="0"/>
                  <w:divBdr>
                    <w:top w:val="none" w:sz="0" w:space="0" w:color="auto"/>
                    <w:left w:val="none" w:sz="0" w:space="0" w:color="auto"/>
                    <w:bottom w:val="none" w:sz="0" w:space="0" w:color="auto"/>
                    <w:right w:val="none" w:sz="0" w:space="0" w:color="auto"/>
                  </w:divBdr>
                  <w:divsChild>
                    <w:div w:id="6935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981205">
          <w:marLeft w:val="0"/>
          <w:marRight w:val="0"/>
          <w:marTop w:val="0"/>
          <w:marBottom w:val="0"/>
          <w:divBdr>
            <w:top w:val="none" w:sz="0" w:space="0" w:color="auto"/>
            <w:left w:val="none" w:sz="0" w:space="0" w:color="auto"/>
            <w:bottom w:val="none" w:sz="0" w:space="0" w:color="auto"/>
            <w:right w:val="none" w:sz="0" w:space="0" w:color="auto"/>
          </w:divBdr>
          <w:divsChild>
            <w:div w:id="1832788441">
              <w:marLeft w:val="0"/>
              <w:marRight w:val="0"/>
              <w:marTop w:val="0"/>
              <w:marBottom w:val="0"/>
              <w:divBdr>
                <w:top w:val="none" w:sz="0" w:space="0" w:color="auto"/>
                <w:left w:val="none" w:sz="0" w:space="0" w:color="auto"/>
                <w:bottom w:val="none" w:sz="0" w:space="0" w:color="auto"/>
                <w:right w:val="none" w:sz="0" w:space="0" w:color="auto"/>
              </w:divBdr>
              <w:divsChild>
                <w:div w:id="93382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98032">
          <w:marLeft w:val="0"/>
          <w:marRight w:val="0"/>
          <w:marTop w:val="0"/>
          <w:marBottom w:val="0"/>
          <w:divBdr>
            <w:top w:val="none" w:sz="0" w:space="0" w:color="auto"/>
            <w:left w:val="none" w:sz="0" w:space="0" w:color="auto"/>
            <w:bottom w:val="none" w:sz="0" w:space="0" w:color="auto"/>
            <w:right w:val="none" w:sz="0" w:space="0" w:color="auto"/>
          </w:divBdr>
          <w:divsChild>
            <w:div w:id="304509807">
              <w:marLeft w:val="0"/>
              <w:marRight w:val="0"/>
              <w:marTop w:val="0"/>
              <w:marBottom w:val="0"/>
              <w:divBdr>
                <w:top w:val="none" w:sz="0" w:space="0" w:color="auto"/>
                <w:left w:val="none" w:sz="0" w:space="0" w:color="auto"/>
                <w:bottom w:val="none" w:sz="0" w:space="0" w:color="auto"/>
                <w:right w:val="none" w:sz="0" w:space="0" w:color="auto"/>
              </w:divBdr>
              <w:divsChild>
                <w:div w:id="57809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641933">
          <w:marLeft w:val="0"/>
          <w:marRight w:val="0"/>
          <w:marTop w:val="0"/>
          <w:marBottom w:val="0"/>
          <w:divBdr>
            <w:top w:val="none" w:sz="0" w:space="0" w:color="auto"/>
            <w:left w:val="none" w:sz="0" w:space="0" w:color="auto"/>
            <w:bottom w:val="none" w:sz="0" w:space="0" w:color="auto"/>
            <w:right w:val="none" w:sz="0" w:space="0" w:color="auto"/>
          </w:divBdr>
          <w:divsChild>
            <w:div w:id="1510635582">
              <w:marLeft w:val="0"/>
              <w:marRight w:val="0"/>
              <w:marTop w:val="0"/>
              <w:marBottom w:val="0"/>
              <w:divBdr>
                <w:top w:val="none" w:sz="0" w:space="0" w:color="auto"/>
                <w:left w:val="none" w:sz="0" w:space="0" w:color="auto"/>
                <w:bottom w:val="none" w:sz="0" w:space="0" w:color="auto"/>
                <w:right w:val="none" w:sz="0" w:space="0" w:color="auto"/>
              </w:divBdr>
              <w:divsChild>
                <w:div w:id="87747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09295">
          <w:marLeft w:val="0"/>
          <w:marRight w:val="0"/>
          <w:marTop w:val="0"/>
          <w:marBottom w:val="0"/>
          <w:divBdr>
            <w:top w:val="none" w:sz="0" w:space="0" w:color="auto"/>
            <w:left w:val="none" w:sz="0" w:space="0" w:color="auto"/>
            <w:bottom w:val="none" w:sz="0" w:space="0" w:color="auto"/>
            <w:right w:val="none" w:sz="0" w:space="0" w:color="auto"/>
          </w:divBdr>
          <w:divsChild>
            <w:div w:id="2140225961">
              <w:marLeft w:val="0"/>
              <w:marRight w:val="0"/>
              <w:marTop w:val="0"/>
              <w:marBottom w:val="0"/>
              <w:divBdr>
                <w:top w:val="none" w:sz="0" w:space="0" w:color="auto"/>
                <w:left w:val="none" w:sz="0" w:space="0" w:color="auto"/>
                <w:bottom w:val="none" w:sz="0" w:space="0" w:color="auto"/>
                <w:right w:val="none" w:sz="0" w:space="0" w:color="auto"/>
              </w:divBdr>
              <w:divsChild>
                <w:div w:id="57837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52736">
          <w:marLeft w:val="0"/>
          <w:marRight w:val="0"/>
          <w:marTop w:val="0"/>
          <w:marBottom w:val="0"/>
          <w:divBdr>
            <w:top w:val="none" w:sz="0" w:space="0" w:color="auto"/>
            <w:left w:val="none" w:sz="0" w:space="0" w:color="auto"/>
            <w:bottom w:val="none" w:sz="0" w:space="0" w:color="auto"/>
            <w:right w:val="none" w:sz="0" w:space="0" w:color="auto"/>
          </w:divBdr>
          <w:divsChild>
            <w:div w:id="475489381">
              <w:marLeft w:val="0"/>
              <w:marRight w:val="0"/>
              <w:marTop w:val="0"/>
              <w:marBottom w:val="0"/>
              <w:divBdr>
                <w:top w:val="none" w:sz="0" w:space="0" w:color="auto"/>
                <w:left w:val="none" w:sz="0" w:space="0" w:color="auto"/>
                <w:bottom w:val="none" w:sz="0" w:space="0" w:color="auto"/>
                <w:right w:val="none" w:sz="0" w:space="0" w:color="auto"/>
              </w:divBdr>
              <w:divsChild>
                <w:div w:id="200936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641777">
          <w:marLeft w:val="0"/>
          <w:marRight w:val="0"/>
          <w:marTop w:val="0"/>
          <w:marBottom w:val="0"/>
          <w:divBdr>
            <w:top w:val="none" w:sz="0" w:space="0" w:color="auto"/>
            <w:left w:val="none" w:sz="0" w:space="0" w:color="auto"/>
            <w:bottom w:val="none" w:sz="0" w:space="0" w:color="auto"/>
            <w:right w:val="none" w:sz="0" w:space="0" w:color="auto"/>
          </w:divBdr>
          <w:divsChild>
            <w:div w:id="1272587838">
              <w:marLeft w:val="0"/>
              <w:marRight w:val="0"/>
              <w:marTop w:val="0"/>
              <w:marBottom w:val="0"/>
              <w:divBdr>
                <w:top w:val="none" w:sz="0" w:space="0" w:color="auto"/>
                <w:left w:val="none" w:sz="0" w:space="0" w:color="auto"/>
                <w:bottom w:val="none" w:sz="0" w:space="0" w:color="auto"/>
                <w:right w:val="none" w:sz="0" w:space="0" w:color="auto"/>
              </w:divBdr>
              <w:divsChild>
                <w:div w:id="121099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18352">
          <w:marLeft w:val="0"/>
          <w:marRight w:val="0"/>
          <w:marTop w:val="0"/>
          <w:marBottom w:val="0"/>
          <w:divBdr>
            <w:top w:val="none" w:sz="0" w:space="0" w:color="auto"/>
            <w:left w:val="none" w:sz="0" w:space="0" w:color="auto"/>
            <w:bottom w:val="none" w:sz="0" w:space="0" w:color="auto"/>
            <w:right w:val="none" w:sz="0" w:space="0" w:color="auto"/>
          </w:divBdr>
          <w:divsChild>
            <w:div w:id="271281020">
              <w:marLeft w:val="0"/>
              <w:marRight w:val="0"/>
              <w:marTop w:val="0"/>
              <w:marBottom w:val="0"/>
              <w:divBdr>
                <w:top w:val="none" w:sz="0" w:space="0" w:color="auto"/>
                <w:left w:val="none" w:sz="0" w:space="0" w:color="auto"/>
                <w:bottom w:val="none" w:sz="0" w:space="0" w:color="auto"/>
                <w:right w:val="none" w:sz="0" w:space="0" w:color="auto"/>
              </w:divBdr>
              <w:divsChild>
                <w:div w:id="195081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47085">
          <w:marLeft w:val="0"/>
          <w:marRight w:val="0"/>
          <w:marTop w:val="0"/>
          <w:marBottom w:val="0"/>
          <w:divBdr>
            <w:top w:val="none" w:sz="0" w:space="0" w:color="auto"/>
            <w:left w:val="none" w:sz="0" w:space="0" w:color="auto"/>
            <w:bottom w:val="none" w:sz="0" w:space="0" w:color="auto"/>
            <w:right w:val="none" w:sz="0" w:space="0" w:color="auto"/>
          </w:divBdr>
          <w:divsChild>
            <w:div w:id="1595550661">
              <w:marLeft w:val="0"/>
              <w:marRight w:val="0"/>
              <w:marTop w:val="0"/>
              <w:marBottom w:val="0"/>
              <w:divBdr>
                <w:top w:val="none" w:sz="0" w:space="0" w:color="auto"/>
                <w:left w:val="none" w:sz="0" w:space="0" w:color="auto"/>
                <w:bottom w:val="none" w:sz="0" w:space="0" w:color="auto"/>
                <w:right w:val="none" w:sz="0" w:space="0" w:color="auto"/>
              </w:divBdr>
              <w:divsChild>
                <w:div w:id="77112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202747">
          <w:marLeft w:val="0"/>
          <w:marRight w:val="0"/>
          <w:marTop w:val="0"/>
          <w:marBottom w:val="0"/>
          <w:divBdr>
            <w:top w:val="none" w:sz="0" w:space="0" w:color="auto"/>
            <w:left w:val="none" w:sz="0" w:space="0" w:color="auto"/>
            <w:bottom w:val="none" w:sz="0" w:space="0" w:color="auto"/>
            <w:right w:val="none" w:sz="0" w:space="0" w:color="auto"/>
          </w:divBdr>
          <w:divsChild>
            <w:div w:id="1021198028">
              <w:marLeft w:val="0"/>
              <w:marRight w:val="0"/>
              <w:marTop w:val="0"/>
              <w:marBottom w:val="0"/>
              <w:divBdr>
                <w:top w:val="none" w:sz="0" w:space="0" w:color="auto"/>
                <w:left w:val="none" w:sz="0" w:space="0" w:color="auto"/>
                <w:bottom w:val="none" w:sz="0" w:space="0" w:color="auto"/>
                <w:right w:val="none" w:sz="0" w:space="0" w:color="auto"/>
              </w:divBdr>
              <w:divsChild>
                <w:div w:id="64280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07967">
          <w:marLeft w:val="0"/>
          <w:marRight w:val="0"/>
          <w:marTop w:val="0"/>
          <w:marBottom w:val="0"/>
          <w:divBdr>
            <w:top w:val="none" w:sz="0" w:space="0" w:color="auto"/>
            <w:left w:val="none" w:sz="0" w:space="0" w:color="auto"/>
            <w:bottom w:val="none" w:sz="0" w:space="0" w:color="auto"/>
            <w:right w:val="none" w:sz="0" w:space="0" w:color="auto"/>
          </w:divBdr>
          <w:divsChild>
            <w:div w:id="715350671">
              <w:marLeft w:val="0"/>
              <w:marRight w:val="0"/>
              <w:marTop w:val="0"/>
              <w:marBottom w:val="0"/>
              <w:divBdr>
                <w:top w:val="none" w:sz="0" w:space="0" w:color="auto"/>
                <w:left w:val="none" w:sz="0" w:space="0" w:color="auto"/>
                <w:bottom w:val="none" w:sz="0" w:space="0" w:color="auto"/>
                <w:right w:val="none" w:sz="0" w:space="0" w:color="auto"/>
              </w:divBdr>
              <w:divsChild>
                <w:div w:id="516696992">
                  <w:marLeft w:val="0"/>
                  <w:marRight w:val="0"/>
                  <w:marTop w:val="0"/>
                  <w:marBottom w:val="0"/>
                  <w:divBdr>
                    <w:top w:val="none" w:sz="0" w:space="0" w:color="auto"/>
                    <w:left w:val="none" w:sz="0" w:space="0" w:color="auto"/>
                    <w:bottom w:val="none" w:sz="0" w:space="0" w:color="auto"/>
                    <w:right w:val="none" w:sz="0" w:space="0" w:color="auto"/>
                  </w:divBdr>
                  <w:divsChild>
                    <w:div w:id="1531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925577">
          <w:marLeft w:val="0"/>
          <w:marRight w:val="0"/>
          <w:marTop w:val="0"/>
          <w:marBottom w:val="0"/>
          <w:divBdr>
            <w:top w:val="none" w:sz="0" w:space="0" w:color="auto"/>
            <w:left w:val="none" w:sz="0" w:space="0" w:color="auto"/>
            <w:bottom w:val="none" w:sz="0" w:space="0" w:color="auto"/>
            <w:right w:val="none" w:sz="0" w:space="0" w:color="auto"/>
          </w:divBdr>
          <w:divsChild>
            <w:div w:id="393240337">
              <w:marLeft w:val="0"/>
              <w:marRight w:val="0"/>
              <w:marTop w:val="0"/>
              <w:marBottom w:val="0"/>
              <w:divBdr>
                <w:top w:val="none" w:sz="0" w:space="0" w:color="auto"/>
                <w:left w:val="none" w:sz="0" w:space="0" w:color="auto"/>
                <w:bottom w:val="none" w:sz="0" w:space="0" w:color="auto"/>
                <w:right w:val="none" w:sz="0" w:space="0" w:color="auto"/>
              </w:divBdr>
              <w:divsChild>
                <w:div w:id="75852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853431">
          <w:marLeft w:val="0"/>
          <w:marRight w:val="0"/>
          <w:marTop w:val="0"/>
          <w:marBottom w:val="0"/>
          <w:divBdr>
            <w:top w:val="none" w:sz="0" w:space="0" w:color="auto"/>
            <w:left w:val="none" w:sz="0" w:space="0" w:color="auto"/>
            <w:bottom w:val="none" w:sz="0" w:space="0" w:color="auto"/>
            <w:right w:val="none" w:sz="0" w:space="0" w:color="auto"/>
          </w:divBdr>
          <w:divsChild>
            <w:div w:id="1574504867">
              <w:marLeft w:val="0"/>
              <w:marRight w:val="0"/>
              <w:marTop w:val="0"/>
              <w:marBottom w:val="0"/>
              <w:divBdr>
                <w:top w:val="none" w:sz="0" w:space="0" w:color="auto"/>
                <w:left w:val="none" w:sz="0" w:space="0" w:color="auto"/>
                <w:bottom w:val="none" w:sz="0" w:space="0" w:color="auto"/>
                <w:right w:val="none" w:sz="0" w:space="0" w:color="auto"/>
              </w:divBdr>
              <w:divsChild>
                <w:div w:id="1087578410">
                  <w:marLeft w:val="0"/>
                  <w:marRight w:val="0"/>
                  <w:marTop w:val="0"/>
                  <w:marBottom w:val="0"/>
                  <w:divBdr>
                    <w:top w:val="none" w:sz="0" w:space="0" w:color="auto"/>
                    <w:left w:val="none" w:sz="0" w:space="0" w:color="auto"/>
                    <w:bottom w:val="none" w:sz="0" w:space="0" w:color="auto"/>
                    <w:right w:val="none" w:sz="0" w:space="0" w:color="auto"/>
                  </w:divBdr>
                  <w:divsChild>
                    <w:div w:id="31564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122043">
          <w:marLeft w:val="0"/>
          <w:marRight w:val="0"/>
          <w:marTop w:val="0"/>
          <w:marBottom w:val="0"/>
          <w:divBdr>
            <w:top w:val="none" w:sz="0" w:space="0" w:color="auto"/>
            <w:left w:val="none" w:sz="0" w:space="0" w:color="auto"/>
            <w:bottom w:val="none" w:sz="0" w:space="0" w:color="auto"/>
            <w:right w:val="none" w:sz="0" w:space="0" w:color="auto"/>
          </w:divBdr>
          <w:divsChild>
            <w:div w:id="1297182122">
              <w:marLeft w:val="0"/>
              <w:marRight w:val="0"/>
              <w:marTop w:val="0"/>
              <w:marBottom w:val="0"/>
              <w:divBdr>
                <w:top w:val="none" w:sz="0" w:space="0" w:color="auto"/>
                <w:left w:val="none" w:sz="0" w:space="0" w:color="auto"/>
                <w:bottom w:val="none" w:sz="0" w:space="0" w:color="auto"/>
                <w:right w:val="none" w:sz="0" w:space="0" w:color="auto"/>
              </w:divBdr>
              <w:divsChild>
                <w:div w:id="27698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1865">
          <w:marLeft w:val="0"/>
          <w:marRight w:val="0"/>
          <w:marTop w:val="0"/>
          <w:marBottom w:val="0"/>
          <w:divBdr>
            <w:top w:val="none" w:sz="0" w:space="0" w:color="auto"/>
            <w:left w:val="none" w:sz="0" w:space="0" w:color="auto"/>
            <w:bottom w:val="none" w:sz="0" w:space="0" w:color="auto"/>
            <w:right w:val="none" w:sz="0" w:space="0" w:color="auto"/>
          </w:divBdr>
          <w:divsChild>
            <w:div w:id="1941177666">
              <w:marLeft w:val="0"/>
              <w:marRight w:val="0"/>
              <w:marTop w:val="0"/>
              <w:marBottom w:val="0"/>
              <w:divBdr>
                <w:top w:val="none" w:sz="0" w:space="0" w:color="auto"/>
                <w:left w:val="none" w:sz="0" w:space="0" w:color="auto"/>
                <w:bottom w:val="none" w:sz="0" w:space="0" w:color="auto"/>
                <w:right w:val="none" w:sz="0" w:space="0" w:color="auto"/>
              </w:divBdr>
              <w:divsChild>
                <w:div w:id="2011982918">
                  <w:marLeft w:val="0"/>
                  <w:marRight w:val="0"/>
                  <w:marTop w:val="0"/>
                  <w:marBottom w:val="0"/>
                  <w:divBdr>
                    <w:top w:val="none" w:sz="0" w:space="0" w:color="auto"/>
                    <w:left w:val="none" w:sz="0" w:space="0" w:color="auto"/>
                    <w:bottom w:val="none" w:sz="0" w:space="0" w:color="auto"/>
                    <w:right w:val="none" w:sz="0" w:space="0" w:color="auto"/>
                  </w:divBdr>
                  <w:divsChild>
                    <w:div w:id="77768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524787">
          <w:marLeft w:val="0"/>
          <w:marRight w:val="0"/>
          <w:marTop w:val="0"/>
          <w:marBottom w:val="0"/>
          <w:divBdr>
            <w:top w:val="none" w:sz="0" w:space="0" w:color="auto"/>
            <w:left w:val="none" w:sz="0" w:space="0" w:color="auto"/>
            <w:bottom w:val="none" w:sz="0" w:space="0" w:color="auto"/>
            <w:right w:val="none" w:sz="0" w:space="0" w:color="auto"/>
          </w:divBdr>
          <w:divsChild>
            <w:div w:id="2041474398">
              <w:marLeft w:val="0"/>
              <w:marRight w:val="0"/>
              <w:marTop w:val="0"/>
              <w:marBottom w:val="0"/>
              <w:divBdr>
                <w:top w:val="none" w:sz="0" w:space="0" w:color="auto"/>
                <w:left w:val="none" w:sz="0" w:space="0" w:color="auto"/>
                <w:bottom w:val="none" w:sz="0" w:space="0" w:color="auto"/>
                <w:right w:val="none" w:sz="0" w:space="0" w:color="auto"/>
              </w:divBdr>
              <w:divsChild>
                <w:div w:id="827936687">
                  <w:marLeft w:val="0"/>
                  <w:marRight w:val="0"/>
                  <w:marTop w:val="0"/>
                  <w:marBottom w:val="0"/>
                  <w:divBdr>
                    <w:top w:val="none" w:sz="0" w:space="0" w:color="auto"/>
                    <w:left w:val="none" w:sz="0" w:space="0" w:color="auto"/>
                    <w:bottom w:val="none" w:sz="0" w:space="0" w:color="auto"/>
                    <w:right w:val="none" w:sz="0" w:space="0" w:color="auto"/>
                  </w:divBdr>
                  <w:divsChild>
                    <w:div w:id="20054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947426">
          <w:marLeft w:val="0"/>
          <w:marRight w:val="0"/>
          <w:marTop w:val="0"/>
          <w:marBottom w:val="0"/>
          <w:divBdr>
            <w:top w:val="none" w:sz="0" w:space="0" w:color="auto"/>
            <w:left w:val="none" w:sz="0" w:space="0" w:color="auto"/>
            <w:bottom w:val="none" w:sz="0" w:space="0" w:color="auto"/>
            <w:right w:val="none" w:sz="0" w:space="0" w:color="auto"/>
          </w:divBdr>
          <w:divsChild>
            <w:div w:id="1368529510">
              <w:marLeft w:val="0"/>
              <w:marRight w:val="0"/>
              <w:marTop w:val="0"/>
              <w:marBottom w:val="0"/>
              <w:divBdr>
                <w:top w:val="none" w:sz="0" w:space="0" w:color="auto"/>
                <w:left w:val="none" w:sz="0" w:space="0" w:color="auto"/>
                <w:bottom w:val="none" w:sz="0" w:space="0" w:color="auto"/>
                <w:right w:val="none" w:sz="0" w:space="0" w:color="auto"/>
              </w:divBdr>
              <w:divsChild>
                <w:div w:id="272784743">
                  <w:marLeft w:val="0"/>
                  <w:marRight w:val="0"/>
                  <w:marTop w:val="0"/>
                  <w:marBottom w:val="0"/>
                  <w:divBdr>
                    <w:top w:val="none" w:sz="0" w:space="0" w:color="auto"/>
                    <w:left w:val="none" w:sz="0" w:space="0" w:color="auto"/>
                    <w:bottom w:val="none" w:sz="0" w:space="0" w:color="auto"/>
                    <w:right w:val="none" w:sz="0" w:space="0" w:color="auto"/>
                  </w:divBdr>
                  <w:divsChild>
                    <w:div w:id="44847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683238">
          <w:marLeft w:val="0"/>
          <w:marRight w:val="0"/>
          <w:marTop w:val="0"/>
          <w:marBottom w:val="0"/>
          <w:divBdr>
            <w:top w:val="none" w:sz="0" w:space="0" w:color="auto"/>
            <w:left w:val="none" w:sz="0" w:space="0" w:color="auto"/>
            <w:bottom w:val="none" w:sz="0" w:space="0" w:color="auto"/>
            <w:right w:val="none" w:sz="0" w:space="0" w:color="auto"/>
          </w:divBdr>
          <w:divsChild>
            <w:div w:id="1945140792">
              <w:marLeft w:val="0"/>
              <w:marRight w:val="0"/>
              <w:marTop w:val="0"/>
              <w:marBottom w:val="0"/>
              <w:divBdr>
                <w:top w:val="none" w:sz="0" w:space="0" w:color="auto"/>
                <w:left w:val="none" w:sz="0" w:space="0" w:color="auto"/>
                <w:bottom w:val="none" w:sz="0" w:space="0" w:color="auto"/>
                <w:right w:val="none" w:sz="0" w:space="0" w:color="auto"/>
              </w:divBdr>
              <w:divsChild>
                <w:div w:id="979266637">
                  <w:marLeft w:val="0"/>
                  <w:marRight w:val="0"/>
                  <w:marTop w:val="0"/>
                  <w:marBottom w:val="0"/>
                  <w:divBdr>
                    <w:top w:val="none" w:sz="0" w:space="0" w:color="auto"/>
                    <w:left w:val="none" w:sz="0" w:space="0" w:color="auto"/>
                    <w:bottom w:val="none" w:sz="0" w:space="0" w:color="auto"/>
                    <w:right w:val="none" w:sz="0" w:space="0" w:color="auto"/>
                  </w:divBdr>
                  <w:divsChild>
                    <w:div w:id="177466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369148">
          <w:marLeft w:val="0"/>
          <w:marRight w:val="0"/>
          <w:marTop w:val="0"/>
          <w:marBottom w:val="0"/>
          <w:divBdr>
            <w:top w:val="none" w:sz="0" w:space="0" w:color="auto"/>
            <w:left w:val="none" w:sz="0" w:space="0" w:color="auto"/>
            <w:bottom w:val="none" w:sz="0" w:space="0" w:color="auto"/>
            <w:right w:val="none" w:sz="0" w:space="0" w:color="auto"/>
          </w:divBdr>
          <w:divsChild>
            <w:div w:id="1971012432">
              <w:marLeft w:val="0"/>
              <w:marRight w:val="0"/>
              <w:marTop w:val="0"/>
              <w:marBottom w:val="0"/>
              <w:divBdr>
                <w:top w:val="none" w:sz="0" w:space="0" w:color="auto"/>
                <w:left w:val="none" w:sz="0" w:space="0" w:color="auto"/>
                <w:bottom w:val="none" w:sz="0" w:space="0" w:color="auto"/>
                <w:right w:val="none" w:sz="0" w:space="0" w:color="auto"/>
              </w:divBdr>
              <w:divsChild>
                <w:div w:id="186713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570768">
          <w:marLeft w:val="0"/>
          <w:marRight w:val="0"/>
          <w:marTop w:val="0"/>
          <w:marBottom w:val="0"/>
          <w:divBdr>
            <w:top w:val="none" w:sz="0" w:space="0" w:color="auto"/>
            <w:left w:val="none" w:sz="0" w:space="0" w:color="auto"/>
            <w:bottom w:val="none" w:sz="0" w:space="0" w:color="auto"/>
            <w:right w:val="none" w:sz="0" w:space="0" w:color="auto"/>
          </w:divBdr>
          <w:divsChild>
            <w:div w:id="834996037">
              <w:marLeft w:val="0"/>
              <w:marRight w:val="0"/>
              <w:marTop w:val="0"/>
              <w:marBottom w:val="0"/>
              <w:divBdr>
                <w:top w:val="none" w:sz="0" w:space="0" w:color="auto"/>
                <w:left w:val="none" w:sz="0" w:space="0" w:color="auto"/>
                <w:bottom w:val="none" w:sz="0" w:space="0" w:color="auto"/>
                <w:right w:val="none" w:sz="0" w:space="0" w:color="auto"/>
              </w:divBdr>
              <w:divsChild>
                <w:div w:id="91327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98691">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10586701">
      <w:bodyDiv w:val="1"/>
      <w:marLeft w:val="0"/>
      <w:marRight w:val="0"/>
      <w:marTop w:val="0"/>
      <w:marBottom w:val="0"/>
      <w:divBdr>
        <w:top w:val="none" w:sz="0" w:space="0" w:color="auto"/>
        <w:left w:val="none" w:sz="0" w:space="0" w:color="auto"/>
        <w:bottom w:val="none" w:sz="0" w:space="0" w:color="auto"/>
        <w:right w:val="none" w:sz="0" w:space="0" w:color="auto"/>
      </w:divBdr>
    </w:div>
    <w:div w:id="416709670">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40151254">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76072377">
      <w:bodyDiv w:val="1"/>
      <w:marLeft w:val="0"/>
      <w:marRight w:val="0"/>
      <w:marTop w:val="0"/>
      <w:marBottom w:val="0"/>
      <w:divBdr>
        <w:top w:val="none" w:sz="0" w:space="0" w:color="auto"/>
        <w:left w:val="none" w:sz="0" w:space="0" w:color="auto"/>
        <w:bottom w:val="none" w:sz="0" w:space="0" w:color="auto"/>
        <w:right w:val="none" w:sz="0" w:space="0" w:color="auto"/>
      </w:divBdr>
      <w:divsChild>
        <w:div w:id="1661931622">
          <w:marLeft w:val="0"/>
          <w:marRight w:val="0"/>
          <w:marTop w:val="0"/>
          <w:marBottom w:val="0"/>
          <w:divBdr>
            <w:top w:val="none" w:sz="0" w:space="0" w:color="auto"/>
            <w:left w:val="none" w:sz="0" w:space="0" w:color="auto"/>
            <w:bottom w:val="none" w:sz="0" w:space="0" w:color="auto"/>
            <w:right w:val="none" w:sz="0" w:space="0" w:color="auto"/>
          </w:divBdr>
        </w:div>
        <w:div w:id="1874659374">
          <w:marLeft w:val="0"/>
          <w:marRight w:val="0"/>
          <w:marTop w:val="0"/>
          <w:marBottom w:val="0"/>
          <w:divBdr>
            <w:top w:val="none" w:sz="0" w:space="0" w:color="auto"/>
            <w:left w:val="none" w:sz="0" w:space="0" w:color="auto"/>
            <w:bottom w:val="none" w:sz="0" w:space="0" w:color="auto"/>
            <w:right w:val="none" w:sz="0" w:space="0" w:color="auto"/>
          </w:divBdr>
          <w:divsChild>
            <w:div w:id="226650908">
              <w:marLeft w:val="0"/>
              <w:marRight w:val="0"/>
              <w:marTop w:val="0"/>
              <w:marBottom w:val="0"/>
              <w:divBdr>
                <w:top w:val="none" w:sz="0" w:space="0" w:color="auto"/>
                <w:left w:val="none" w:sz="0" w:space="0" w:color="auto"/>
                <w:bottom w:val="none" w:sz="0" w:space="0" w:color="auto"/>
                <w:right w:val="none" w:sz="0" w:space="0" w:color="auto"/>
              </w:divBdr>
              <w:divsChild>
                <w:div w:id="330453231">
                  <w:marLeft w:val="0"/>
                  <w:marRight w:val="0"/>
                  <w:marTop w:val="0"/>
                  <w:marBottom w:val="0"/>
                  <w:divBdr>
                    <w:top w:val="none" w:sz="0" w:space="0" w:color="auto"/>
                    <w:left w:val="none" w:sz="0" w:space="0" w:color="auto"/>
                    <w:bottom w:val="none" w:sz="0" w:space="0" w:color="auto"/>
                    <w:right w:val="none" w:sz="0" w:space="0" w:color="auto"/>
                  </w:divBdr>
                  <w:divsChild>
                    <w:div w:id="2065449549">
                      <w:marLeft w:val="0"/>
                      <w:marRight w:val="0"/>
                      <w:marTop w:val="0"/>
                      <w:marBottom w:val="0"/>
                      <w:divBdr>
                        <w:top w:val="none" w:sz="0" w:space="0" w:color="auto"/>
                        <w:left w:val="none" w:sz="0" w:space="0" w:color="auto"/>
                        <w:bottom w:val="none" w:sz="0" w:space="0" w:color="auto"/>
                        <w:right w:val="none" w:sz="0" w:space="0" w:color="auto"/>
                      </w:divBdr>
                      <w:divsChild>
                        <w:div w:id="192768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89846">
              <w:marLeft w:val="0"/>
              <w:marRight w:val="0"/>
              <w:marTop w:val="0"/>
              <w:marBottom w:val="0"/>
              <w:divBdr>
                <w:top w:val="none" w:sz="0" w:space="0" w:color="auto"/>
                <w:left w:val="none" w:sz="0" w:space="0" w:color="auto"/>
                <w:bottom w:val="none" w:sz="0" w:space="0" w:color="auto"/>
                <w:right w:val="none" w:sz="0" w:space="0" w:color="auto"/>
              </w:divBdr>
              <w:divsChild>
                <w:div w:id="451246994">
                  <w:marLeft w:val="0"/>
                  <w:marRight w:val="0"/>
                  <w:marTop w:val="0"/>
                  <w:marBottom w:val="0"/>
                  <w:divBdr>
                    <w:top w:val="none" w:sz="0" w:space="0" w:color="auto"/>
                    <w:left w:val="none" w:sz="0" w:space="0" w:color="auto"/>
                    <w:bottom w:val="none" w:sz="0" w:space="0" w:color="auto"/>
                    <w:right w:val="none" w:sz="0" w:space="0" w:color="auto"/>
                  </w:divBdr>
                  <w:divsChild>
                    <w:div w:id="1221284734">
                      <w:marLeft w:val="0"/>
                      <w:marRight w:val="0"/>
                      <w:marTop w:val="0"/>
                      <w:marBottom w:val="0"/>
                      <w:divBdr>
                        <w:top w:val="none" w:sz="0" w:space="0" w:color="auto"/>
                        <w:left w:val="none" w:sz="0" w:space="0" w:color="auto"/>
                        <w:bottom w:val="none" w:sz="0" w:space="0" w:color="auto"/>
                        <w:right w:val="none" w:sz="0" w:space="0" w:color="auto"/>
                      </w:divBdr>
                      <w:divsChild>
                        <w:div w:id="72117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61354">
              <w:marLeft w:val="0"/>
              <w:marRight w:val="0"/>
              <w:marTop w:val="0"/>
              <w:marBottom w:val="0"/>
              <w:divBdr>
                <w:top w:val="none" w:sz="0" w:space="0" w:color="auto"/>
                <w:left w:val="none" w:sz="0" w:space="0" w:color="auto"/>
                <w:bottom w:val="none" w:sz="0" w:space="0" w:color="auto"/>
                <w:right w:val="none" w:sz="0" w:space="0" w:color="auto"/>
              </w:divBdr>
              <w:divsChild>
                <w:div w:id="1895509931">
                  <w:marLeft w:val="0"/>
                  <w:marRight w:val="0"/>
                  <w:marTop w:val="0"/>
                  <w:marBottom w:val="0"/>
                  <w:divBdr>
                    <w:top w:val="none" w:sz="0" w:space="0" w:color="auto"/>
                    <w:left w:val="none" w:sz="0" w:space="0" w:color="auto"/>
                    <w:bottom w:val="none" w:sz="0" w:space="0" w:color="auto"/>
                    <w:right w:val="none" w:sz="0" w:space="0" w:color="auto"/>
                  </w:divBdr>
                  <w:divsChild>
                    <w:div w:id="964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469936">
              <w:marLeft w:val="0"/>
              <w:marRight w:val="0"/>
              <w:marTop w:val="0"/>
              <w:marBottom w:val="0"/>
              <w:divBdr>
                <w:top w:val="none" w:sz="0" w:space="0" w:color="auto"/>
                <w:left w:val="none" w:sz="0" w:space="0" w:color="auto"/>
                <w:bottom w:val="none" w:sz="0" w:space="0" w:color="auto"/>
                <w:right w:val="none" w:sz="0" w:space="0" w:color="auto"/>
              </w:divBdr>
              <w:divsChild>
                <w:div w:id="1811239777">
                  <w:marLeft w:val="0"/>
                  <w:marRight w:val="0"/>
                  <w:marTop w:val="0"/>
                  <w:marBottom w:val="0"/>
                  <w:divBdr>
                    <w:top w:val="none" w:sz="0" w:space="0" w:color="auto"/>
                    <w:left w:val="none" w:sz="0" w:space="0" w:color="auto"/>
                    <w:bottom w:val="none" w:sz="0" w:space="0" w:color="auto"/>
                    <w:right w:val="none" w:sz="0" w:space="0" w:color="auto"/>
                  </w:divBdr>
                  <w:divsChild>
                    <w:div w:id="127467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02154">
              <w:marLeft w:val="0"/>
              <w:marRight w:val="0"/>
              <w:marTop w:val="0"/>
              <w:marBottom w:val="0"/>
              <w:divBdr>
                <w:top w:val="none" w:sz="0" w:space="0" w:color="auto"/>
                <w:left w:val="none" w:sz="0" w:space="0" w:color="auto"/>
                <w:bottom w:val="none" w:sz="0" w:space="0" w:color="auto"/>
                <w:right w:val="none" w:sz="0" w:space="0" w:color="auto"/>
              </w:divBdr>
              <w:divsChild>
                <w:div w:id="984160811">
                  <w:marLeft w:val="0"/>
                  <w:marRight w:val="0"/>
                  <w:marTop w:val="0"/>
                  <w:marBottom w:val="0"/>
                  <w:divBdr>
                    <w:top w:val="none" w:sz="0" w:space="0" w:color="auto"/>
                    <w:left w:val="none" w:sz="0" w:space="0" w:color="auto"/>
                    <w:bottom w:val="none" w:sz="0" w:space="0" w:color="auto"/>
                    <w:right w:val="none" w:sz="0" w:space="0" w:color="auto"/>
                  </w:divBdr>
                  <w:divsChild>
                    <w:div w:id="13429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44761216">
      <w:bodyDiv w:val="1"/>
      <w:marLeft w:val="0"/>
      <w:marRight w:val="0"/>
      <w:marTop w:val="0"/>
      <w:marBottom w:val="0"/>
      <w:divBdr>
        <w:top w:val="none" w:sz="0" w:space="0" w:color="auto"/>
        <w:left w:val="none" w:sz="0" w:space="0" w:color="auto"/>
        <w:bottom w:val="none" w:sz="0" w:space="0" w:color="auto"/>
        <w:right w:val="none" w:sz="0" w:space="0" w:color="auto"/>
      </w:divBdr>
      <w:divsChild>
        <w:div w:id="132218620">
          <w:marLeft w:val="0"/>
          <w:marRight w:val="0"/>
          <w:marTop w:val="0"/>
          <w:marBottom w:val="0"/>
          <w:divBdr>
            <w:top w:val="none" w:sz="0" w:space="0" w:color="auto"/>
            <w:left w:val="none" w:sz="0" w:space="0" w:color="auto"/>
            <w:bottom w:val="none" w:sz="0" w:space="0" w:color="auto"/>
            <w:right w:val="none" w:sz="0" w:space="0" w:color="auto"/>
          </w:divBdr>
          <w:divsChild>
            <w:div w:id="1277836542">
              <w:marLeft w:val="0"/>
              <w:marRight w:val="0"/>
              <w:marTop w:val="0"/>
              <w:marBottom w:val="0"/>
              <w:divBdr>
                <w:top w:val="none" w:sz="0" w:space="0" w:color="auto"/>
                <w:left w:val="none" w:sz="0" w:space="0" w:color="auto"/>
                <w:bottom w:val="none" w:sz="0" w:space="0" w:color="auto"/>
                <w:right w:val="none" w:sz="0" w:space="0" w:color="auto"/>
              </w:divBdr>
              <w:divsChild>
                <w:div w:id="441922302">
                  <w:marLeft w:val="0"/>
                  <w:marRight w:val="0"/>
                  <w:marTop w:val="0"/>
                  <w:marBottom w:val="0"/>
                  <w:divBdr>
                    <w:top w:val="none" w:sz="0" w:space="0" w:color="auto"/>
                    <w:left w:val="none" w:sz="0" w:space="0" w:color="auto"/>
                    <w:bottom w:val="none" w:sz="0" w:space="0" w:color="auto"/>
                    <w:right w:val="none" w:sz="0" w:space="0" w:color="auto"/>
                  </w:divBdr>
                  <w:divsChild>
                    <w:div w:id="134848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164485">
          <w:marLeft w:val="0"/>
          <w:marRight w:val="0"/>
          <w:marTop w:val="0"/>
          <w:marBottom w:val="0"/>
          <w:divBdr>
            <w:top w:val="none" w:sz="0" w:space="0" w:color="auto"/>
            <w:left w:val="none" w:sz="0" w:space="0" w:color="auto"/>
            <w:bottom w:val="none" w:sz="0" w:space="0" w:color="auto"/>
            <w:right w:val="none" w:sz="0" w:space="0" w:color="auto"/>
          </w:divBdr>
          <w:divsChild>
            <w:div w:id="1146824142">
              <w:marLeft w:val="0"/>
              <w:marRight w:val="0"/>
              <w:marTop w:val="0"/>
              <w:marBottom w:val="0"/>
              <w:divBdr>
                <w:top w:val="none" w:sz="0" w:space="0" w:color="auto"/>
                <w:left w:val="none" w:sz="0" w:space="0" w:color="auto"/>
                <w:bottom w:val="none" w:sz="0" w:space="0" w:color="auto"/>
                <w:right w:val="none" w:sz="0" w:space="0" w:color="auto"/>
              </w:divBdr>
              <w:divsChild>
                <w:div w:id="67909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7960">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0346313">
      <w:bodyDiv w:val="1"/>
      <w:marLeft w:val="0"/>
      <w:marRight w:val="0"/>
      <w:marTop w:val="0"/>
      <w:marBottom w:val="0"/>
      <w:divBdr>
        <w:top w:val="none" w:sz="0" w:space="0" w:color="auto"/>
        <w:left w:val="none" w:sz="0" w:space="0" w:color="auto"/>
        <w:bottom w:val="none" w:sz="0" w:space="0" w:color="auto"/>
        <w:right w:val="none" w:sz="0" w:space="0" w:color="auto"/>
      </w:divBdr>
      <w:divsChild>
        <w:div w:id="1330255816">
          <w:marLeft w:val="0"/>
          <w:marRight w:val="0"/>
          <w:marTop w:val="0"/>
          <w:marBottom w:val="0"/>
          <w:divBdr>
            <w:top w:val="none" w:sz="0" w:space="0" w:color="auto"/>
            <w:left w:val="none" w:sz="0" w:space="0" w:color="auto"/>
            <w:bottom w:val="none" w:sz="0" w:space="0" w:color="auto"/>
            <w:right w:val="none" w:sz="0" w:space="0" w:color="auto"/>
          </w:divBdr>
          <w:divsChild>
            <w:div w:id="474030746">
              <w:marLeft w:val="0"/>
              <w:marRight w:val="0"/>
              <w:marTop w:val="0"/>
              <w:marBottom w:val="0"/>
              <w:divBdr>
                <w:top w:val="none" w:sz="0" w:space="0" w:color="auto"/>
                <w:left w:val="none" w:sz="0" w:space="0" w:color="auto"/>
                <w:bottom w:val="none" w:sz="0" w:space="0" w:color="auto"/>
                <w:right w:val="none" w:sz="0" w:space="0" w:color="auto"/>
              </w:divBdr>
              <w:divsChild>
                <w:div w:id="602306355">
                  <w:marLeft w:val="0"/>
                  <w:marRight w:val="0"/>
                  <w:marTop w:val="0"/>
                  <w:marBottom w:val="0"/>
                  <w:divBdr>
                    <w:top w:val="none" w:sz="0" w:space="0" w:color="auto"/>
                    <w:left w:val="none" w:sz="0" w:space="0" w:color="auto"/>
                    <w:bottom w:val="none" w:sz="0" w:space="0" w:color="auto"/>
                    <w:right w:val="none" w:sz="0" w:space="0" w:color="auto"/>
                  </w:divBdr>
                  <w:divsChild>
                    <w:div w:id="5417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223473">
              <w:marLeft w:val="0"/>
              <w:marRight w:val="0"/>
              <w:marTop w:val="0"/>
              <w:marBottom w:val="0"/>
              <w:divBdr>
                <w:top w:val="none" w:sz="0" w:space="0" w:color="auto"/>
                <w:left w:val="none" w:sz="0" w:space="0" w:color="auto"/>
                <w:bottom w:val="none" w:sz="0" w:space="0" w:color="auto"/>
                <w:right w:val="none" w:sz="0" w:space="0" w:color="auto"/>
              </w:divBdr>
              <w:divsChild>
                <w:div w:id="320936283">
                  <w:marLeft w:val="0"/>
                  <w:marRight w:val="0"/>
                  <w:marTop w:val="0"/>
                  <w:marBottom w:val="0"/>
                  <w:divBdr>
                    <w:top w:val="none" w:sz="0" w:space="0" w:color="auto"/>
                    <w:left w:val="none" w:sz="0" w:space="0" w:color="auto"/>
                    <w:bottom w:val="none" w:sz="0" w:space="0" w:color="auto"/>
                    <w:right w:val="none" w:sz="0" w:space="0" w:color="auto"/>
                  </w:divBdr>
                  <w:divsChild>
                    <w:div w:id="1691100063">
                      <w:marLeft w:val="0"/>
                      <w:marRight w:val="0"/>
                      <w:marTop w:val="0"/>
                      <w:marBottom w:val="0"/>
                      <w:divBdr>
                        <w:top w:val="none" w:sz="0" w:space="0" w:color="auto"/>
                        <w:left w:val="none" w:sz="0" w:space="0" w:color="auto"/>
                        <w:bottom w:val="none" w:sz="0" w:space="0" w:color="auto"/>
                        <w:right w:val="none" w:sz="0" w:space="0" w:color="auto"/>
                      </w:divBdr>
                      <w:divsChild>
                        <w:div w:id="88225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21447">
              <w:marLeft w:val="0"/>
              <w:marRight w:val="0"/>
              <w:marTop w:val="0"/>
              <w:marBottom w:val="0"/>
              <w:divBdr>
                <w:top w:val="none" w:sz="0" w:space="0" w:color="auto"/>
                <w:left w:val="none" w:sz="0" w:space="0" w:color="auto"/>
                <w:bottom w:val="none" w:sz="0" w:space="0" w:color="auto"/>
                <w:right w:val="none" w:sz="0" w:space="0" w:color="auto"/>
              </w:divBdr>
              <w:divsChild>
                <w:div w:id="386537895">
                  <w:marLeft w:val="0"/>
                  <w:marRight w:val="0"/>
                  <w:marTop w:val="0"/>
                  <w:marBottom w:val="0"/>
                  <w:divBdr>
                    <w:top w:val="none" w:sz="0" w:space="0" w:color="auto"/>
                    <w:left w:val="none" w:sz="0" w:space="0" w:color="auto"/>
                    <w:bottom w:val="none" w:sz="0" w:space="0" w:color="auto"/>
                    <w:right w:val="none" w:sz="0" w:space="0" w:color="auto"/>
                  </w:divBdr>
                  <w:divsChild>
                    <w:div w:id="176449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98296">
              <w:marLeft w:val="0"/>
              <w:marRight w:val="0"/>
              <w:marTop w:val="0"/>
              <w:marBottom w:val="0"/>
              <w:divBdr>
                <w:top w:val="none" w:sz="0" w:space="0" w:color="auto"/>
                <w:left w:val="none" w:sz="0" w:space="0" w:color="auto"/>
                <w:bottom w:val="none" w:sz="0" w:space="0" w:color="auto"/>
                <w:right w:val="none" w:sz="0" w:space="0" w:color="auto"/>
              </w:divBdr>
              <w:divsChild>
                <w:div w:id="1881891512">
                  <w:marLeft w:val="0"/>
                  <w:marRight w:val="0"/>
                  <w:marTop w:val="0"/>
                  <w:marBottom w:val="0"/>
                  <w:divBdr>
                    <w:top w:val="none" w:sz="0" w:space="0" w:color="auto"/>
                    <w:left w:val="none" w:sz="0" w:space="0" w:color="auto"/>
                    <w:bottom w:val="none" w:sz="0" w:space="0" w:color="auto"/>
                    <w:right w:val="none" w:sz="0" w:space="0" w:color="auto"/>
                  </w:divBdr>
                  <w:divsChild>
                    <w:div w:id="100906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83492">
              <w:marLeft w:val="0"/>
              <w:marRight w:val="0"/>
              <w:marTop w:val="0"/>
              <w:marBottom w:val="0"/>
              <w:divBdr>
                <w:top w:val="none" w:sz="0" w:space="0" w:color="auto"/>
                <w:left w:val="none" w:sz="0" w:space="0" w:color="auto"/>
                <w:bottom w:val="none" w:sz="0" w:space="0" w:color="auto"/>
                <w:right w:val="none" w:sz="0" w:space="0" w:color="auto"/>
              </w:divBdr>
              <w:divsChild>
                <w:div w:id="2091611603">
                  <w:marLeft w:val="0"/>
                  <w:marRight w:val="0"/>
                  <w:marTop w:val="0"/>
                  <w:marBottom w:val="0"/>
                  <w:divBdr>
                    <w:top w:val="none" w:sz="0" w:space="0" w:color="auto"/>
                    <w:left w:val="none" w:sz="0" w:space="0" w:color="auto"/>
                    <w:bottom w:val="none" w:sz="0" w:space="0" w:color="auto"/>
                    <w:right w:val="none" w:sz="0" w:space="0" w:color="auto"/>
                  </w:divBdr>
                  <w:divsChild>
                    <w:div w:id="39736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301241">
              <w:marLeft w:val="0"/>
              <w:marRight w:val="0"/>
              <w:marTop w:val="0"/>
              <w:marBottom w:val="0"/>
              <w:divBdr>
                <w:top w:val="none" w:sz="0" w:space="0" w:color="auto"/>
                <w:left w:val="none" w:sz="0" w:space="0" w:color="auto"/>
                <w:bottom w:val="none" w:sz="0" w:space="0" w:color="auto"/>
                <w:right w:val="none" w:sz="0" w:space="0" w:color="auto"/>
              </w:divBdr>
              <w:divsChild>
                <w:div w:id="1233392383">
                  <w:marLeft w:val="0"/>
                  <w:marRight w:val="0"/>
                  <w:marTop w:val="0"/>
                  <w:marBottom w:val="0"/>
                  <w:divBdr>
                    <w:top w:val="none" w:sz="0" w:space="0" w:color="auto"/>
                    <w:left w:val="none" w:sz="0" w:space="0" w:color="auto"/>
                    <w:bottom w:val="none" w:sz="0" w:space="0" w:color="auto"/>
                    <w:right w:val="none" w:sz="0" w:space="0" w:color="auto"/>
                  </w:divBdr>
                  <w:divsChild>
                    <w:div w:id="122055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308943">
              <w:marLeft w:val="0"/>
              <w:marRight w:val="0"/>
              <w:marTop w:val="0"/>
              <w:marBottom w:val="0"/>
              <w:divBdr>
                <w:top w:val="none" w:sz="0" w:space="0" w:color="auto"/>
                <w:left w:val="none" w:sz="0" w:space="0" w:color="auto"/>
                <w:bottom w:val="none" w:sz="0" w:space="0" w:color="auto"/>
                <w:right w:val="none" w:sz="0" w:space="0" w:color="auto"/>
              </w:divBdr>
              <w:divsChild>
                <w:div w:id="985163455">
                  <w:marLeft w:val="0"/>
                  <w:marRight w:val="0"/>
                  <w:marTop w:val="0"/>
                  <w:marBottom w:val="0"/>
                  <w:divBdr>
                    <w:top w:val="none" w:sz="0" w:space="0" w:color="auto"/>
                    <w:left w:val="none" w:sz="0" w:space="0" w:color="auto"/>
                    <w:bottom w:val="none" w:sz="0" w:space="0" w:color="auto"/>
                    <w:right w:val="none" w:sz="0" w:space="0" w:color="auto"/>
                  </w:divBdr>
                  <w:divsChild>
                    <w:div w:id="114570015">
                      <w:marLeft w:val="0"/>
                      <w:marRight w:val="0"/>
                      <w:marTop w:val="0"/>
                      <w:marBottom w:val="0"/>
                      <w:divBdr>
                        <w:top w:val="none" w:sz="0" w:space="0" w:color="auto"/>
                        <w:left w:val="none" w:sz="0" w:space="0" w:color="auto"/>
                        <w:bottom w:val="none" w:sz="0" w:space="0" w:color="auto"/>
                        <w:right w:val="none" w:sz="0" w:space="0" w:color="auto"/>
                      </w:divBdr>
                      <w:divsChild>
                        <w:div w:id="156186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228486">
              <w:marLeft w:val="0"/>
              <w:marRight w:val="0"/>
              <w:marTop w:val="0"/>
              <w:marBottom w:val="0"/>
              <w:divBdr>
                <w:top w:val="none" w:sz="0" w:space="0" w:color="auto"/>
                <w:left w:val="none" w:sz="0" w:space="0" w:color="auto"/>
                <w:bottom w:val="none" w:sz="0" w:space="0" w:color="auto"/>
                <w:right w:val="none" w:sz="0" w:space="0" w:color="auto"/>
              </w:divBdr>
              <w:divsChild>
                <w:div w:id="1052079588">
                  <w:marLeft w:val="0"/>
                  <w:marRight w:val="0"/>
                  <w:marTop w:val="0"/>
                  <w:marBottom w:val="0"/>
                  <w:divBdr>
                    <w:top w:val="none" w:sz="0" w:space="0" w:color="auto"/>
                    <w:left w:val="none" w:sz="0" w:space="0" w:color="auto"/>
                    <w:bottom w:val="none" w:sz="0" w:space="0" w:color="auto"/>
                    <w:right w:val="none" w:sz="0" w:space="0" w:color="auto"/>
                  </w:divBdr>
                  <w:divsChild>
                    <w:div w:id="69373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3854">
              <w:marLeft w:val="0"/>
              <w:marRight w:val="0"/>
              <w:marTop w:val="0"/>
              <w:marBottom w:val="0"/>
              <w:divBdr>
                <w:top w:val="none" w:sz="0" w:space="0" w:color="auto"/>
                <w:left w:val="none" w:sz="0" w:space="0" w:color="auto"/>
                <w:bottom w:val="none" w:sz="0" w:space="0" w:color="auto"/>
                <w:right w:val="none" w:sz="0" w:space="0" w:color="auto"/>
              </w:divBdr>
              <w:divsChild>
                <w:div w:id="1712925201">
                  <w:marLeft w:val="0"/>
                  <w:marRight w:val="0"/>
                  <w:marTop w:val="0"/>
                  <w:marBottom w:val="0"/>
                  <w:divBdr>
                    <w:top w:val="none" w:sz="0" w:space="0" w:color="auto"/>
                    <w:left w:val="none" w:sz="0" w:space="0" w:color="auto"/>
                    <w:bottom w:val="none" w:sz="0" w:space="0" w:color="auto"/>
                    <w:right w:val="none" w:sz="0" w:space="0" w:color="auto"/>
                  </w:divBdr>
                  <w:divsChild>
                    <w:div w:id="209656192">
                      <w:marLeft w:val="0"/>
                      <w:marRight w:val="0"/>
                      <w:marTop w:val="0"/>
                      <w:marBottom w:val="0"/>
                      <w:divBdr>
                        <w:top w:val="none" w:sz="0" w:space="0" w:color="auto"/>
                        <w:left w:val="none" w:sz="0" w:space="0" w:color="auto"/>
                        <w:bottom w:val="none" w:sz="0" w:space="0" w:color="auto"/>
                        <w:right w:val="none" w:sz="0" w:space="0" w:color="auto"/>
                      </w:divBdr>
                      <w:divsChild>
                        <w:div w:id="102193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470307">
              <w:marLeft w:val="0"/>
              <w:marRight w:val="0"/>
              <w:marTop w:val="0"/>
              <w:marBottom w:val="0"/>
              <w:divBdr>
                <w:top w:val="none" w:sz="0" w:space="0" w:color="auto"/>
                <w:left w:val="none" w:sz="0" w:space="0" w:color="auto"/>
                <w:bottom w:val="none" w:sz="0" w:space="0" w:color="auto"/>
                <w:right w:val="none" w:sz="0" w:space="0" w:color="auto"/>
              </w:divBdr>
              <w:divsChild>
                <w:div w:id="799957585">
                  <w:marLeft w:val="0"/>
                  <w:marRight w:val="0"/>
                  <w:marTop w:val="0"/>
                  <w:marBottom w:val="0"/>
                  <w:divBdr>
                    <w:top w:val="none" w:sz="0" w:space="0" w:color="auto"/>
                    <w:left w:val="none" w:sz="0" w:space="0" w:color="auto"/>
                    <w:bottom w:val="none" w:sz="0" w:space="0" w:color="auto"/>
                    <w:right w:val="none" w:sz="0" w:space="0" w:color="auto"/>
                  </w:divBdr>
                  <w:divsChild>
                    <w:div w:id="21016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74197">
              <w:marLeft w:val="0"/>
              <w:marRight w:val="0"/>
              <w:marTop w:val="0"/>
              <w:marBottom w:val="0"/>
              <w:divBdr>
                <w:top w:val="none" w:sz="0" w:space="0" w:color="auto"/>
                <w:left w:val="none" w:sz="0" w:space="0" w:color="auto"/>
                <w:bottom w:val="none" w:sz="0" w:space="0" w:color="auto"/>
                <w:right w:val="none" w:sz="0" w:space="0" w:color="auto"/>
              </w:divBdr>
              <w:divsChild>
                <w:div w:id="114106212">
                  <w:marLeft w:val="0"/>
                  <w:marRight w:val="0"/>
                  <w:marTop w:val="0"/>
                  <w:marBottom w:val="0"/>
                  <w:divBdr>
                    <w:top w:val="none" w:sz="0" w:space="0" w:color="auto"/>
                    <w:left w:val="none" w:sz="0" w:space="0" w:color="auto"/>
                    <w:bottom w:val="none" w:sz="0" w:space="0" w:color="auto"/>
                    <w:right w:val="none" w:sz="0" w:space="0" w:color="auto"/>
                  </w:divBdr>
                  <w:divsChild>
                    <w:div w:id="435950467">
                      <w:marLeft w:val="0"/>
                      <w:marRight w:val="0"/>
                      <w:marTop w:val="0"/>
                      <w:marBottom w:val="0"/>
                      <w:divBdr>
                        <w:top w:val="none" w:sz="0" w:space="0" w:color="auto"/>
                        <w:left w:val="none" w:sz="0" w:space="0" w:color="auto"/>
                        <w:bottom w:val="none" w:sz="0" w:space="0" w:color="auto"/>
                        <w:right w:val="none" w:sz="0" w:space="0" w:color="auto"/>
                      </w:divBdr>
                      <w:divsChild>
                        <w:div w:id="148230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414668">
              <w:marLeft w:val="0"/>
              <w:marRight w:val="0"/>
              <w:marTop w:val="0"/>
              <w:marBottom w:val="0"/>
              <w:divBdr>
                <w:top w:val="none" w:sz="0" w:space="0" w:color="auto"/>
                <w:left w:val="none" w:sz="0" w:space="0" w:color="auto"/>
                <w:bottom w:val="none" w:sz="0" w:space="0" w:color="auto"/>
                <w:right w:val="none" w:sz="0" w:space="0" w:color="auto"/>
              </w:divBdr>
              <w:divsChild>
                <w:div w:id="400980710">
                  <w:marLeft w:val="0"/>
                  <w:marRight w:val="0"/>
                  <w:marTop w:val="0"/>
                  <w:marBottom w:val="0"/>
                  <w:divBdr>
                    <w:top w:val="none" w:sz="0" w:space="0" w:color="auto"/>
                    <w:left w:val="none" w:sz="0" w:space="0" w:color="auto"/>
                    <w:bottom w:val="none" w:sz="0" w:space="0" w:color="auto"/>
                    <w:right w:val="none" w:sz="0" w:space="0" w:color="auto"/>
                  </w:divBdr>
                  <w:divsChild>
                    <w:div w:id="212700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6588">
              <w:marLeft w:val="0"/>
              <w:marRight w:val="0"/>
              <w:marTop w:val="0"/>
              <w:marBottom w:val="0"/>
              <w:divBdr>
                <w:top w:val="none" w:sz="0" w:space="0" w:color="auto"/>
                <w:left w:val="none" w:sz="0" w:space="0" w:color="auto"/>
                <w:bottom w:val="none" w:sz="0" w:space="0" w:color="auto"/>
                <w:right w:val="none" w:sz="0" w:space="0" w:color="auto"/>
              </w:divBdr>
              <w:divsChild>
                <w:div w:id="1524130175">
                  <w:marLeft w:val="0"/>
                  <w:marRight w:val="0"/>
                  <w:marTop w:val="0"/>
                  <w:marBottom w:val="0"/>
                  <w:divBdr>
                    <w:top w:val="none" w:sz="0" w:space="0" w:color="auto"/>
                    <w:left w:val="none" w:sz="0" w:space="0" w:color="auto"/>
                    <w:bottom w:val="none" w:sz="0" w:space="0" w:color="auto"/>
                    <w:right w:val="none" w:sz="0" w:space="0" w:color="auto"/>
                  </w:divBdr>
                  <w:divsChild>
                    <w:div w:id="108148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99914">
              <w:marLeft w:val="0"/>
              <w:marRight w:val="0"/>
              <w:marTop w:val="0"/>
              <w:marBottom w:val="0"/>
              <w:divBdr>
                <w:top w:val="none" w:sz="0" w:space="0" w:color="auto"/>
                <w:left w:val="none" w:sz="0" w:space="0" w:color="auto"/>
                <w:bottom w:val="none" w:sz="0" w:space="0" w:color="auto"/>
                <w:right w:val="none" w:sz="0" w:space="0" w:color="auto"/>
              </w:divBdr>
              <w:divsChild>
                <w:div w:id="1395659026">
                  <w:marLeft w:val="0"/>
                  <w:marRight w:val="0"/>
                  <w:marTop w:val="0"/>
                  <w:marBottom w:val="0"/>
                  <w:divBdr>
                    <w:top w:val="none" w:sz="0" w:space="0" w:color="auto"/>
                    <w:left w:val="none" w:sz="0" w:space="0" w:color="auto"/>
                    <w:bottom w:val="none" w:sz="0" w:space="0" w:color="auto"/>
                    <w:right w:val="none" w:sz="0" w:space="0" w:color="auto"/>
                  </w:divBdr>
                  <w:divsChild>
                    <w:div w:id="644506403">
                      <w:marLeft w:val="0"/>
                      <w:marRight w:val="0"/>
                      <w:marTop w:val="0"/>
                      <w:marBottom w:val="0"/>
                      <w:divBdr>
                        <w:top w:val="none" w:sz="0" w:space="0" w:color="auto"/>
                        <w:left w:val="none" w:sz="0" w:space="0" w:color="auto"/>
                        <w:bottom w:val="none" w:sz="0" w:space="0" w:color="auto"/>
                        <w:right w:val="none" w:sz="0" w:space="0" w:color="auto"/>
                      </w:divBdr>
                      <w:divsChild>
                        <w:div w:id="135830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939735">
              <w:marLeft w:val="0"/>
              <w:marRight w:val="0"/>
              <w:marTop w:val="0"/>
              <w:marBottom w:val="0"/>
              <w:divBdr>
                <w:top w:val="none" w:sz="0" w:space="0" w:color="auto"/>
                <w:left w:val="none" w:sz="0" w:space="0" w:color="auto"/>
                <w:bottom w:val="none" w:sz="0" w:space="0" w:color="auto"/>
                <w:right w:val="none" w:sz="0" w:space="0" w:color="auto"/>
              </w:divBdr>
              <w:divsChild>
                <w:div w:id="1659922806">
                  <w:marLeft w:val="0"/>
                  <w:marRight w:val="0"/>
                  <w:marTop w:val="0"/>
                  <w:marBottom w:val="0"/>
                  <w:divBdr>
                    <w:top w:val="none" w:sz="0" w:space="0" w:color="auto"/>
                    <w:left w:val="none" w:sz="0" w:space="0" w:color="auto"/>
                    <w:bottom w:val="none" w:sz="0" w:space="0" w:color="auto"/>
                    <w:right w:val="none" w:sz="0" w:space="0" w:color="auto"/>
                  </w:divBdr>
                  <w:divsChild>
                    <w:div w:id="203190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23130">
              <w:marLeft w:val="0"/>
              <w:marRight w:val="0"/>
              <w:marTop w:val="0"/>
              <w:marBottom w:val="0"/>
              <w:divBdr>
                <w:top w:val="none" w:sz="0" w:space="0" w:color="auto"/>
                <w:left w:val="none" w:sz="0" w:space="0" w:color="auto"/>
                <w:bottom w:val="none" w:sz="0" w:space="0" w:color="auto"/>
                <w:right w:val="none" w:sz="0" w:space="0" w:color="auto"/>
              </w:divBdr>
              <w:divsChild>
                <w:div w:id="2062433774">
                  <w:marLeft w:val="0"/>
                  <w:marRight w:val="0"/>
                  <w:marTop w:val="0"/>
                  <w:marBottom w:val="0"/>
                  <w:divBdr>
                    <w:top w:val="none" w:sz="0" w:space="0" w:color="auto"/>
                    <w:left w:val="none" w:sz="0" w:space="0" w:color="auto"/>
                    <w:bottom w:val="none" w:sz="0" w:space="0" w:color="auto"/>
                    <w:right w:val="none" w:sz="0" w:space="0" w:color="auto"/>
                  </w:divBdr>
                  <w:divsChild>
                    <w:div w:id="822477140">
                      <w:marLeft w:val="0"/>
                      <w:marRight w:val="0"/>
                      <w:marTop w:val="0"/>
                      <w:marBottom w:val="0"/>
                      <w:divBdr>
                        <w:top w:val="none" w:sz="0" w:space="0" w:color="auto"/>
                        <w:left w:val="none" w:sz="0" w:space="0" w:color="auto"/>
                        <w:bottom w:val="none" w:sz="0" w:space="0" w:color="auto"/>
                        <w:right w:val="none" w:sz="0" w:space="0" w:color="auto"/>
                      </w:divBdr>
                      <w:divsChild>
                        <w:div w:id="10972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968655">
              <w:marLeft w:val="0"/>
              <w:marRight w:val="0"/>
              <w:marTop w:val="0"/>
              <w:marBottom w:val="0"/>
              <w:divBdr>
                <w:top w:val="none" w:sz="0" w:space="0" w:color="auto"/>
                <w:left w:val="none" w:sz="0" w:space="0" w:color="auto"/>
                <w:bottom w:val="none" w:sz="0" w:space="0" w:color="auto"/>
                <w:right w:val="none" w:sz="0" w:space="0" w:color="auto"/>
              </w:divBdr>
              <w:divsChild>
                <w:div w:id="1885632614">
                  <w:marLeft w:val="0"/>
                  <w:marRight w:val="0"/>
                  <w:marTop w:val="0"/>
                  <w:marBottom w:val="0"/>
                  <w:divBdr>
                    <w:top w:val="none" w:sz="0" w:space="0" w:color="auto"/>
                    <w:left w:val="none" w:sz="0" w:space="0" w:color="auto"/>
                    <w:bottom w:val="none" w:sz="0" w:space="0" w:color="auto"/>
                    <w:right w:val="none" w:sz="0" w:space="0" w:color="auto"/>
                  </w:divBdr>
                  <w:divsChild>
                    <w:div w:id="145413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410515">
              <w:marLeft w:val="0"/>
              <w:marRight w:val="0"/>
              <w:marTop w:val="0"/>
              <w:marBottom w:val="0"/>
              <w:divBdr>
                <w:top w:val="none" w:sz="0" w:space="0" w:color="auto"/>
                <w:left w:val="none" w:sz="0" w:space="0" w:color="auto"/>
                <w:bottom w:val="none" w:sz="0" w:space="0" w:color="auto"/>
                <w:right w:val="none" w:sz="0" w:space="0" w:color="auto"/>
              </w:divBdr>
              <w:divsChild>
                <w:div w:id="176434656">
                  <w:marLeft w:val="0"/>
                  <w:marRight w:val="0"/>
                  <w:marTop w:val="0"/>
                  <w:marBottom w:val="0"/>
                  <w:divBdr>
                    <w:top w:val="none" w:sz="0" w:space="0" w:color="auto"/>
                    <w:left w:val="none" w:sz="0" w:space="0" w:color="auto"/>
                    <w:bottom w:val="none" w:sz="0" w:space="0" w:color="auto"/>
                    <w:right w:val="none" w:sz="0" w:space="0" w:color="auto"/>
                  </w:divBdr>
                  <w:divsChild>
                    <w:div w:id="107644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294558">
          <w:marLeft w:val="0"/>
          <w:marRight w:val="0"/>
          <w:marTop w:val="0"/>
          <w:marBottom w:val="0"/>
          <w:divBdr>
            <w:top w:val="none" w:sz="0" w:space="0" w:color="auto"/>
            <w:left w:val="none" w:sz="0" w:space="0" w:color="auto"/>
            <w:bottom w:val="none" w:sz="0" w:space="0" w:color="auto"/>
            <w:right w:val="none" w:sz="0" w:space="0" w:color="auto"/>
          </w:divBdr>
        </w:div>
      </w:divsChild>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41945200">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24992173">
      <w:bodyDiv w:val="1"/>
      <w:marLeft w:val="0"/>
      <w:marRight w:val="0"/>
      <w:marTop w:val="0"/>
      <w:marBottom w:val="0"/>
      <w:divBdr>
        <w:top w:val="none" w:sz="0" w:space="0" w:color="auto"/>
        <w:left w:val="none" w:sz="0" w:space="0" w:color="auto"/>
        <w:bottom w:val="none" w:sz="0" w:space="0" w:color="auto"/>
        <w:right w:val="none" w:sz="0" w:space="0" w:color="auto"/>
      </w:divBdr>
      <w:divsChild>
        <w:div w:id="514735600">
          <w:marLeft w:val="0"/>
          <w:marRight w:val="0"/>
          <w:marTop w:val="0"/>
          <w:marBottom w:val="0"/>
          <w:divBdr>
            <w:top w:val="none" w:sz="0" w:space="0" w:color="auto"/>
            <w:left w:val="none" w:sz="0" w:space="0" w:color="auto"/>
            <w:bottom w:val="none" w:sz="0" w:space="0" w:color="auto"/>
            <w:right w:val="none" w:sz="0" w:space="0" w:color="auto"/>
          </w:divBdr>
        </w:div>
        <w:div w:id="874466827">
          <w:marLeft w:val="0"/>
          <w:marRight w:val="0"/>
          <w:marTop w:val="0"/>
          <w:marBottom w:val="0"/>
          <w:divBdr>
            <w:top w:val="none" w:sz="0" w:space="0" w:color="auto"/>
            <w:left w:val="none" w:sz="0" w:space="0" w:color="auto"/>
            <w:bottom w:val="none" w:sz="0" w:space="0" w:color="auto"/>
            <w:right w:val="none" w:sz="0" w:space="0" w:color="auto"/>
          </w:divBdr>
          <w:divsChild>
            <w:div w:id="585386838">
              <w:marLeft w:val="0"/>
              <w:marRight w:val="0"/>
              <w:marTop w:val="0"/>
              <w:marBottom w:val="0"/>
              <w:divBdr>
                <w:top w:val="none" w:sz="0" w:space="0" w:color="auto"/>
                <w:left w:val="none" w:sz="0" w:space="0" w:color="auto"/>
                <w:bottom w:val="none" w:sz="0" w:space="0" w:color="auto"/>
                <w:right w:val="none" w:sz="0" w:space="0" w:color="auto"/>
              </w:divBdr>
              <w:divsChild>
                <w:div w:id="1290084895">
                  <w:marLeft w:val="0"/>
                  <w:marRight w:val="0"/>
                  <w:marTop w:val="0"/>
                  <w:marBottom w:val="0"/>
                  <w:divBdr>
                    <w:top w:val="none" w:sz="0" w:space="0" w:color="auto"/>
                    <w:left w:val="none" w:sz="0" w:space="0" w:color="auto"/>
                    <w:bottom w:val="none" w:sz="0" w:space="0" w:color="auto"/>
                    <w:right w:val="none" w:sz="0" w:space="0" w:color="auto"/>
                  </w:divBdr>
                  <w:divsChild>
                    <w:div w:id="191758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12578">
              <w:marLeft w:val="0"/>
              <w:marRight w:val="0"/>
              <w:marTop w:val="0"/>
              <w:marBottom w:val="0"/>
              <w:divBdr>
                <w:top w:val="none" w:sz="0" w:space="0" w:color="auto"/>
                <w:left w:val="none" w:sz="0" w:space="0" w:color="auto"/>
                <w:bottom w:val="none" w:sz="0" w:space="0" w:color="auto"/>
                <w:right w:val="none" w:sz="0" w:space="0" w:color="auto"/>
              </w:divBdr>
              <w:divsChild>
                <w:div w:id="1366327056">
                  <w:marLeft w:val="0"/>
                  <w:marRight w:val="0"/>
                  <w:marTop w:val="0"/>
                  <w:marBottom w:val="0"/>
                  <w:divBdr>
                    <w:top w:val="none" w:sz="0" w:space="0" w:color="auto"/>
                    <w:left w:val="none" w:sz="0" w:space="0" w:color="auto"/>
                    <w:bottom w:val="none" w:sz="0" w:space="0" w:color="auto"/>
                    <w:right w:val="none" w:sz="0" w:space="0" w:color="auto"/>
                  </w:divBdr>
                  <w:divsChild>
                    <w:div w:id="169931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643975">
              <w:marLeft w:val="0"/>
              <w:marRight w:val="0"/>
              <w:marTop w:val="0"/>
              <w:marBottom w:val="0"/>
              <w:divBdr>
                <w:top w:val="none" w:sz="0" w:space="0" w:color="auto"/>
                <w:left w:val="none" w:sz="0" w:space="0" w:color="auto"/>
                <w:bottom w:val="none" w:sz="0" w:space="0" w:color="auto"/>
                <w:right w:val="none" w:sz="0" w:space="0" w:color="auto"/>
              </w:divBdr>
              <w:divsChild>
                <w:div w:id="1050492277">
                  <w:marLeft w:val="0"/>
                  <w:marRight w:val="0"/>
                  <w:marTop w:val="0"/>
                  <w:marBottom w:val="0"/>
                  <w:divBdr>
                    <w:top w:val="none" w:sz="0" w:space="0" w:color="auto"/>
                    <w:left w:val="none" w:sz="0" w:space="0" w:color="auto"/>
                    <w:bottom w:val="none" w:sz="0" w:space="0" w:color="auto"/>
                    <w:right w:val="none" w:sz="0" w:space="0" w:color="auto"/>
                  </w:divBdr>
                  <w:divsChild>
                    <w:div w:id="1248658033">
                      <w:marLeft w:val="0"/>
                      <w:marRight w:val="0"/>
                      <w:marTop w:val="0"/>
                      <w:marBottom w:val="0"/>
                      <w:divBdr>
                        <w:top w:val="none" w:sz="0" w:space="0" w:color="auto"/>
                        <w:left w:val="none" w:sz="0" w:space="0" w:color="auto"/>
                        <w:bottom w:val="none" w:sz="0" w:space="0" w:color="auto"/>
                        <w:right w:val="none" w:sz="0" w:space="0" w:color="auto"/>
                      </w:divBdr>
                      <w:divsChild>
                        <w:div w:id="169529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028478">
              <w:marLeft w:val="0"/>
              <w:marRight w:val="0"/>
              <w:marTop w:val="0"/>
              <w:marBottom w:val="0"/>
              <w:divBdr>
                <w:top w:val="none" w:sz="0" w:space="0" w:color="auto"/>
                <w:left w:val="none" w:sz="0" w:space="0" w:color="auto"/>
                <w:bottom w:val="none" w:sz="0" w:space="0" w:color="auto"/>
                <w:right w:val="none" w:sz="0" w:space="0" w:color="auto"/>
              </w:divBdr>
              <w:divsChild>
                <w:div w:id="92629411">
                  <w:marLeft w:val="0"/>
                  <w:marRight w:val="0"/>
                  <w:marTop w:val="0"/>
                  <w:marBottom w:val="0"/>
                  <w:divBdr>
                    <w:top w:val="none" w:sz="0" w:space="0" w:color="auto"/>
                    <w:left w:val="none" w:sz="0" w:space="0" w:color="auto"/>
                    <w:bottom w:val="none" w:sz="0" w:space="0" w:color="auto"/>
                    <w:right w:val="none" w:sz="0" w:space="0" w:color="auto"/>
                  </w:divBdr>
                  <w:divsChild>
                    <w:div w:id="160538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6787">
              <w:marLeft w:val="0"/>
              <w:marRight w:val="0"/>
              <w:marTop w:val="0"/>
              <w:marBottom w:val="0"/>
              <w:divBdr>
                <w:top w:val="none" w:sz="0" w:space="0" w:color="auto"/>
                <w:left w:val="none" w:sz="0" w:space="0" w:color="auto"/>
                <w:bottom w:val="none" w:sz="0" w:space="0" w:color="auto"/>
                <w:right w:val="none" w:sz="0" w:space="0" w:color="auto"/>
              </w:divBdr>
              <w:divsChild>
                <w:div w:id="1232352712">
                  <w:marLeft w:val="0"/>
                  <w:marRight w:val="0"/>
                  <w:marTop w:val="0"/>
                  <w:marBottom w:val="0"/>
                  <w:divBdr>
                    <w:top w:val="none" w:sz="0" w:space="0" w:color="auto"/>
                    <w:left w:val="none" w:sz="0" w:space="0" w:color="auto"/>
                    <w:bottom w:val="none" w:sz="0" w:space="0" w:color="auto"/>
                    <w:right w:val="none" w:sz="0" w:space="0" w:color="auto"/>
                  </w:divBdr>
                  <w:divsChild>
                    <w:div w:id="69415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8569">
              <w:marLeft w:val="0"/>
              <w:marRight w:val="0"/>
              <w:marTop w:val="0"/>
              <w:marBottom w:val="0"/>
              <w:divBdr>
                <w:top w:val="none" w:sz="0" w:space="0" w:color="auto"/>
                <w:left w:val="none" w:sz="0" w:space="0" w:color="auto"/>
                <w:bottom w:val="none" w:sz="0" w:space="0" w:color="auto"/>
                <w:right w:val="none" w:sz="0" w:space="0" w:color="auto"/>
              </w:divBdr>
              <w:divsChild>
                <w:div w:id="1972905922">
                  <w:marLeft w:val="0"/>
                  <w:marRight w:val="0"/>
                  <w:marTop w:val="0"/>
                  <w:marBottom w:val="0"/>
                  <w:divBdr>
                    <w:top w:val="none" w:sz="0" w:space="0" w:color="auto"/>
                    <w:left w:val="none" w:sz="0" w:space="0" w:color="auto"/>
                    <w:bottom w:val="none" w:sz="0" w:space="0" w:color="auto"/>
                    <w:right w:val="none" w:sz="0" w:space="0" w:color="auto"/>
                  </w:divBdr>
                  <w:divsChild>
                    <w:div w:id="2005235903">
                      <w:marLeft w:val="0"/>
                      <w:marRight w:val="0"/>
                      <w:marTop w:val="0"/>
                      <w:marBottom w:val="0"/>
                      <w:divBdr>
                        <w:top w:val="none" w:sz="0" w:space="0" w:color="auto"/>
                        <w:left w:val="none" w:sz="0" w:space="0" w:color="auto"/>
                        <w:bottom w:val="none" w:sz="0" w:space="0" w:color="auto"/>
                        <w:right w:val="none" w:sz="0" w:space="0" w:color="auto"/>
                      </w:divBdr>
                      <w:divsChild>
                        <w:div w:id="151888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154755">
              <w:marLeft w:val="0"/>
              <w:marRight w:val="0"/>
              <w:marTop w:val="0"/>
              <w:marBottom w:val="0"/>
              <w:divBdr>
                <w:top w:val="none" w:sz="0" w:space="0" w:color="auto"/>
                <w:left w:val="none" w:sz="0" w:space="0" w:color="auto"/>
                <w:bottom w:val="none" w:sz="0" w:space="0" w:color="auto"/>
                <w:right w:val="none" w:sz="0" w:space="0" w:color="auto"/>
              </w:divBdr>
              <w:divsChild>
                <w:div w:id="2011789643">
                  <w:marLeft w:val="0"/>
                  <w:marRight w:val="0"/>
                  <w:marTop w:val="0"/>
                  <w:marBottom w:val="0"/>
                  <w:divBdr>
                    <w:top w:val="none" w:sz="0" w:space="0" w:color="auto"/>
                    <w:left w:val="none" w:sz="0" w:space="0" w:color="auto"/>
                    <w:bottom w:val="none" w:sz="0" w:space="0" w:color="auto"/>
                    <w:right w:val="none" w:sz="0" w:space="0" w:color="auto"/>
                  </w:divBdr>
                  <w:divsChild>
                    <w:div w:id="152111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74667">
              <w:marLeft w:val="0"/>
              <w:marRight w:val="0"/>
              <w:marTop w:val="0"/>
              <w:marBottom w:val="0"/>
              <w:divBdr>
                <w:top w:val="none" w:sz="0" w:space="0" w:color="auto"/>
                <w:left w:val="none" w:sz="0" w:space="0" w:color="auto"/>
                <w:bottom w:val="none" w:sz="0" w:space="0" w:color="auto"/>
                <w:right w:val="none" w:sz="0" w:space="0" w:color="auto"/>
              </w:divBdr>
              <w:divsChild>
                <w:div w:id="670564648">
                  <w:marLeft w:val="0"/>
                  <w:marRight w:val="0"/>
                  <w:marTop w:val="0"/>
                  <w:marBottom w:val="0"/>
                  <w:divBdr>
                    <w:top w:val="none" w:sz="0" w:space="0" w:color="auto"/>
                    <w:left w:val="none" w:sz="0" w:space="0" w:color="auto"/>
                    <w:bottom w:val="none" w:sz="0" w:space="0" w:color="auto"/>
                    <w:right w:val="none" w:sz="0" w:space="0" w:color="auto"/>
                  </w:divBdr>
                  <w:divsChild>
                    <w:div w:id="1709597954">
                      <w:marLeft w:val="0"/>
                      <w:marRight w:val="0"/>
                      <w:marTop w:val="0"/>
                      <w:marBottom w:val="0"/>
                      <w:divBdr>
                        <w:top w:val="none" w:sz="0" w:space="0" w:color="auto"/>
                        <w:left w:val="none" w:sz="0" w:space="0" w:color="auto"/>
                        <w:bottom w:val="none" w:sz="0" w:space="0" w:color="auto"/>
                        <w:right w:val="none" w:sz="0" w:space="0" w:color="auto"/>
                      </w:divBdr>
                      <w:divsChild>
                        <w:div w:id="176583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776448">
              <w:marLeft w:val="0"/>
              <w:marRight w:val="0"/>
              <w:marTop w:val="0"/>
              <w:marBottom w:val="0"/>
              <w:divBdr>
                <w:top w:val="none" w:sz="0" w:space="0" w:color="auto"/>
                <w:left w:val="none" w:sz="0" w:space="0" w:color="auto"/>
                <w:bottom w:val="none" w:sz="0" w:space="0" w:color="auto"/>
                <w:right w:val="none" w:sz="0" w:space="0" w:color="auto"/>
              </w:divBdr>
              <w:divsChild>
                <w:div w:id="1944876473">
                  <w:marLeft w:val="0"/>
                  <w:marRight w:val="0"/>
                  <w:marTop w:val="0"/>
                  <w:marBottom w:val="0"/>
                  <w:divBdr>
                    <w:top w:val="none" w:sz="0" w:space="0" w:color="auto"/>
                    <w:left w:val="none" w:sz="0" w:space="0" w:color="auto"/>
                    <w:bottom w:val="none" w:sz="0" w:space="0" w:color="auto"/>
                    <w:right w:val="none" w:sz="0" w:space="0" w:color="auto"/>
                  </w:divBdr>
                  <w:divsChild>
                    <w:div w:id="120648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081286">
              <w:marLeft w:val="0"/>
              <w:marRight w:val="0"/>
              <w:marTop w:val="0"/>
              <w:marBottom w:val="0"/>
              <w:divBdr>
                <w:top w:val="none" w:sz="0" w:space="0" w:color="auto"/>
                <w:left w:val="none" w:sz="0" w:space="0" w:color="auto"/>
                <w:bottom w:val="none" w:sz="0" w:space="0" w:color="auto"/>
                <w:right w:val="none" w:sz="0" w:space="0" w:color="auto"/>
              </w:divBdr>
              <w:divsChild>
                <w:div w:id="1788231721">
                  <w:marLeft w:val="0"/>
                  <w:marRight w:val="0"/>
                  <w:marTop w:val="0"/>
                  <w:marBottom w:val="0"/>
                  <w:divBdr>
                    <w:top w:val="none" w:sz="0" w:space="0" w:color="auto"/>
                    <w:left w:val="none" w:sz="0" w:space="0" w:color="auto"/>
                    <w:bottom w:val="none" w:sz="0" w:space="0" w:color="auto"/>
                    <w:right w:val="none" w:sz="0" w:space="0" w:color="auto"/>
                  </w:divBdr>
                  <w:divsChild>
                    <w:div w:id="110677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71697">
              <w:marLeft w:val="0"/>
              <w:marRight w:val="0"/>
              <w:marTop w:val="0"/>
              <w:marBottom w:val="0"/>
              <w:divBdr>
                <w:top w:val="none" w:sz="0" w:space="0" w:color="auto"/>
                <w:left w:val="none" w:sz="0" w:space="0" w:color="auto"/>
                <w:bottom w:val="none" w:sz="0" w:space="0" w:color="auto"/>
                <w:right w:val="none" w:sz="0" w:space="0" w:color="auto"/>
              </w:divBdr>
              <w:divsChild>
                <w:div w:id="44451004">
                  <w:marLeft w:val="0"/>
                  <w:marRight w:val="0"/>
                  <w:marTop w:val="0"/>
                  <w:marBottom w:val="0"/>
                  <w:divBdr>
                    <w:top w:val="none" w:sz="0" w:space="0" w:color="auto"/>
                    <w:left w:val="none" w:sz="0" w:space="0" w:color="auto"/>
                    <w:bottom w:val="none" w:sz="0" w:space="0" w:color="auto"/>
                    <w:right w:val="none" w:sz="0" w:space="0" w:color="auto"/>
                  </w:divBdr>
                  <w:divsChild>
                    <w:div w:id="1247500631">
                      <w:marLeft w:val="0"/>
                      <w:marRight w:val="0"/>
                      <w:marTop w:val="0"/>
                      <w:marBottom w:val="0"/>
                      <w:divBdr>
                        <w:top w:val="none" w:sz="0" w:space="0" w:color="auto"/>
                        <w:left w:val="none" w:sz="0" w:space="0" w:color="auto"/>
                        <w:bottom w:val="none" w:sz="0" w:space="0" w:color="auto"/>
                        <w:right w:val="none" w:sz="0" w:space="0" w:color="auto"/>
                      </w:divBdr>
                      <w:divsChild>
                        <w:div w:id="53832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74875658">
      <w:bodyDiv w:val="1"/>
      <w:marLeft w:val="0"/>
      <w:marRight w:val="0"/>
      <w:marTop w:val="0"/>
      <w:marBottom w:val="0"/>
      <w:divBdr>
        <w:top w:val="none" w:sz="0" w:space="0" w:color="auto"/>
        <w:left w:val="none" w:sz="0" w:space="0" w:color="auto"/>
        <w:bottom w:val="none" w:sz="0" w:space="0" w:color="auto"/>
        <w:right w:val="none" w:sz="0" w:space="0" w:color="auto"/>
      </w:divBdr>
    </w:div>
    <w:div w:id="988948684">
      <w:bodyDiv w:val="1"/>
      <w:marLeft w:val="0"/>
      <w:marRight w:val="0"/>
      <w:marTop w:val="0"/>
      <w:marBottom w:val="0"/>
      <w:divBdr>
        <w:top w:val="none" w:sz="0" w:space="0" w:color="auto"/>
        <w:left w:val="none" w:sz="0" w:space="0" w:color="auto"/>
        <w:bottom w:val="none" w:sz="0" w:space="0" w:color="auto"/>
        <w:right w:val="none" w:sz="0" w:space="0" w:color="auto"/>
      </w:divBdr>
    </w:div>
    <w:div w:id="1038118415">
      <w:bodyDiv w:val="1"/>
      <w:marLeft w:val="0"/>
      <w:marRight w:val="0"/>
      <w:marTop w:val="0"/>
      <w:marBottom w:val="0"/>
      <w:divBdr>
        <w:top w:val="none" w:sz="0" w:space="0" w:color="auto"/>
        <w:left w:val="none" w:sz="0" w:space="0" w:color="auto"/>
        <w:bottom w:val="none" w:sz="0" w:space="0" w:color="auto"/>
        <w:right w:val="none" w:sz="0" w:space="0" w:color="auto"/>
      </w:divBdr>
    </w:div>
    <w:div w:id="1110319339">
      <w:bodyDiv w:val="1"/>
      <w:marLeft w:val="0"/>
      <w:marRight w:val="0"/>
      <w:marTop w:val="0"/>
      <w:marBottom w:val="0"/>
      <w:divBdr>
        <w:top w:val="none" w:sz="0" w:space="0" w:color="auto"/>
        <w:left w:val="none" w:sz="0" w:space="0" w:color="auto"/>
        <w:bottom w:val="none" w:sz="0" w:space="0" w:color="auto"/>
        <w:right w:val="none" w:sz="0" w:space="0" w:color="auto"/>
      </w:divBdr>
      <w:divsChild>
        <w:div w:id="368922883">
          <w:marLeft w:val="0"/>
          <w:marRight w:val="0"/>
          <w:marTop w:val="0"/>
          <w:marBottom w:val="0"/>
          <w:divBdr>
            <w:top w:val="none" w:sz="0" w:space="0" w:color="auto"/>
            <w:left w:val="none" w:sz="0" w:space="0" w:color="auto"/>
            <w:bottom w:val="none" w:sz="0" w:space="0" w:color="auto"/>
            <w:right w:val="none" w:sz="0" w:space="0" w:color="auto"/>
          </w:divBdr>
          <w:divsChild>
            <w:div w:id="869489357">
              <w:marLeft w:val="0"/>
              <w:marRight w:val="0"/>
              <w:marTop w:val="0"/>
              <w:marBottom w:val="0"/>
              <w:divBdr>
                <w:top w:val="none" w:sz="0" w:space="0" w:color="auto"/>
                <w:left w:val="none" w:sz="0" w:space="0" w:color="auto"/>
                <w:bottom w:val="none" w:sz="0" w:space="0" w:color="auto"/>
                <w:right w:val="none" w:sz="0" w:space="0" w:color="auto"/>
              </w:divBdr>
              <w:divsChild>
                <w:div w:id="900486275">
                  <w:marLeft w:val="0"/>
                  <w:marRight w:val="0"/>
                  <w:marTop w:val="0"/>
                  <w:marBottom w:val="0"/>
                  <w:divBdr>
                    <w:top w:val="none" w:sz="0" w:space="0" w:color="auto"/>
                    <w:left w:val="none" w:sz="0" w:space="0" w:color="auto"/>
                    <w:bottom w:val="none" w:sz="0" w:space="0" w:color="auto"/>
                    <w:right w:val="none" w:sz="0" w:space="0" w:color="auto"/>
                  </w:divBdr>
                  <w:divsChild>
                    <w:div w:id="175886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759572">
          <w:marLeft w:val="0"/>
          <w:marRight w:val="0"/>
          <w:marTop w:val="0"/>
          <w:marBottom w:val="0"/>
          <w:divBdr>
            <w:top w:val="none" w:sz="0" w:space="0" w:color="auto"/>
            <w:left w:val="none" w:sz="0" w:space="0" w:color="auto"/>
            <w:bottom w:val="none" w:sz="0" w:space="0" w:color="auto"/>
            <w:right w:val="none" w:sz="0" w:space="0" w:color="auto"/>
          </w:divBdr>
          <w:divsChild>
            <w:div w:id="2090881339">
              <w:marLeft w:val="0"/>
              <w:marRight w:val="0"/>
              <w:marTop w:val="0"/>
              <w:marBottom w:val="0"/>
              <w:divBdr>
                <w:top w:val="none" w:sz="0" w:space="0" w:color="auto"/>
                <w:left w:val="none" w:sz="0" w:space="0" w:color="auto"/>
                <w:bottom w:val="none" w:sz="0" w:space="0" w:color="auto"/>
                <w:right w:val="none" w:sz="0" w:space="0" w:color="auto"/>
              </w:divBdr>
              <w:divsChild>
                <w:div w:id="14740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22952">
          <w:marLeft w:val="0"/>
          <w:marRight w:val="0"/>
          <w:marTop w:val="0"/>
          <w:marBottom w:val="0"/>
          <w:divBdr>
            <w:top w:val="none" w:sz="0" w:space="0" w:color="auto"/>
            <w:left w:val="none" w:sz="0" w:space="0" w:color="auto"/>
            <w:bottom w:val="none" w:sz="0" w:space="0" w:color="auto"/>
            <w:right w:val="none" w:sz="0" w:space="0" w:color="auto"/>
          </w:divBdr>
          <w:divsChild>
            <w:div w:id="1641577009">
              <w:marLeft w:val="0"/>
              <w:marRight w:val="0"/>
              <w:marTop w:val="0"/>
              <w:marBottom w:val="0"/>
              <w:divBdr>
                <w:top w:val="none" w:sz="0" w:space="0" w:color="auto"/>
                <w:left w:val="none" w:sz="0" w:space="0" w:color="auto"/>
                <w:bottom w:val="none" w:sz="0" w:space="0" w:color="auto"/>
                <w:right w:val="none" w:sz="0" w:space="0" w:color="auto"/>
              </w:divBdr>
              <w:divsChild>
                <w:div w:id="17583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6437185">
      <w:bodyDiv w:val="1"/>
      <w:marLeft w:val="0"/>
      <w:marRight w:val="0"/>
      <w:marTop w:val="0"/>
      <w:marBottom w:val="0"/>
      <w:divBdr>
        <w:top w:val="none" w:sz="0" w:space="0" w:color="auto"/>
        <w:left w:val="none" w:sz="0" w:space="0" w:color="auto"/>
        <w:bottom w:val="none" w:sz="0" w:space="0" w:color="auto"/>
        <w:right w:val="none" w:sz="0" w:space="0" w:color="auto"/>
      </w:divBdr>
      <w:divsChild>
        <w:div w:id="616106755">
          <w:marLeft w:val="0"/>
          <w:marRight w:val="0"/>
          <w:marTop w:val="0"/>
          <w:marBottom w:val="0"/>
          <w:divBdr>
            <w:top w:val="none" w:sz="0" w:space="0" w:color="auto"/>
            <w:left w:val="none" w:sz="0" w:space="0" w:color="auto"/>
            <w:bottom w:val="none" w:sz="0" w:space="0" w:color="auto"/>
            <w:right w:val="none" w:sz="0" w:space="0" w:color="auto"/>
          </w:divBdr>
          <w:divsChild>
            <w:div w:id="1711415599">
              <w:marLeft w:val="0"/>
              <w:marRight w:val="0"/>
              <w:marTop w:val="0"/>
              <w:marBottom w:val="0"/>
              <w:divBdr>
                <w:top w:val="none" w:sz="0" w:space="0" w:color="auto"/>
                <w:left w:val="none" w:sz="0" w:space="0" w:color="auto"/>
                <w:bottom w:val="none" w:sz="0" w:space="0" w:color="auto"/>
                <w:right w:val="none" w:sz="0" w:space="0" w:color="auto"/>
              </w:divBdr>
              <w:divsChild>
                <w:div w:id="455488551">
                  <w:marLeft w:val="0"/>
                  <w:marRight w:val="0"/>
                  <w:marTop w:val="0"/>
                  <w:marBottom w:val="0"/>
                  <w:divBdr>
                    <w:top w:val="none" w:sz="0" w:space="0" w:color="auto"/>
                    <w:left w:val="none" w:sz="0" w:space="0" w:color="auto"/>
                    <w:bottom w:val="none" w:sz="0" w:space="0" w:color="auto"/>
                    <w:right w:val="none" w:sz="0" w:space="0" w:color="auto"/>
                  </w:divBdr>
                  <w:divsChild>
                    <w:div w:id="18196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945468">
          <w:marLeft w:val="0"/>
          <w:marRight w:val="0"/>
          <w:marTop w:val="0"/>
          <w:marBottom w:val="0"/>
          <w:divBdr>
            <w:top w:val="none" w:sz="0" w:space="0" w:color="auto"/>
            <w:left w:val="none" w:sz="0" w:space="0" w:color="auto"/>
            <w:bottom w:val="none" w:sz="0" w:space="0" w:color="auto"/>
            <w:right w:val="none" w:sz="0" w:space="0" w:color="auto"/>
          </w:divBdr>
          <w:divsChild>
            <w:div w:id="154565453">
              <w:marLeft w:val="0"/>
              <w:marRight w:val="0"/>
              <w:marTop w:val="0"/>
              <w:marBottom w:val="0"/>
              <w:divBdr>
                <w:top w:val="none" w:sz="0" w:space="0" w:color="auto"/>
                <w:left w:val="none" w:sz="0" w:space="0" w:color="auto"/>
                <w:bottom w:val="none" w:sz="0" w:space="0" w:color="auto"/>
                <w:right w:val="none" w:sz="0" w:space="0" w:color="auto"/>
              </w:divBdr>
              <w:divsChild>
                <w:div w:id="1162239023">
                  <w:marLeft w:val="0"/>
                  <w:marRight w:val="0"/>
                  <w:marTop w:val="0"/>
                  <w:marBottom w:val="0"/>
                  <w:divBdr>
                    <w:top w:val="none" w:sz="0" w:space="0" w:color="auto"/>
                    <w:left w:val="none" w:sz="0" w:space="0" w:color="auto"/>
                    <w:bottom w:val="none" w:sz="0" w:space="0" w:color="auto"/>
                    <w:right w:val="none" w:sz="0" w:space="0" w:color="auto"/>
                  </w:divBdr>
                  <w:divsChild>
                    <w:div w:id="179289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33741">
          <w:marLeft w:val="0"/>
          <w:marRight w:val="0"/>
          <w:marTop w:val="0"/>
          <w:marBottom w:val="0"/>
          <w:divBdr>
            <w:top w:val="none" w:sz="0" w:space="0" w:color="auto"/>
            <w:left w:val="none" w:sz="0" w:space="0" w:color="auto"/>
            <w:bottom w:val="none" w:sz="0" w:space="0" w:color="auto"/>
            <w:right w:val="none" w:sz="0" w:space="0" w:color="auto"/>
          </w:divBdr>
          <w:divsChild>
            <w:div w:id="430248907">
              <w:marLeft w:val="0"/>
              <w:marRight w:val="0"/>
              <w:marTop w:val="0"/>
              <w:marBottom w:val="0"/>
              <w:divBdr>
                <w:top w:val="none" w:sz="0" w:space="0" w:color="auto"/>
                <w:left w:val="none" w:sz="0" w:space="0" w:color="auto"/>
                <w:bottom w:val="none" w:sz="0" w:space="0" w:color="auto"/>
                <w:right w:val="none" w:sz="0" w:space="0" w:color="auto"/>
              </w:divBdr>
              <w:divsChild>
                <w:div w:id="13495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14776061">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02771275">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579242740">
      <w:bodyDiv w:val="1"/>
      <w:marLeft w:val="0"/>
      <w:marRight w:val="0"/>
      <w:marTop w:val="0"/>
      <w:marBottom w:val="0"/>
      <w:divBdr>
        <w:top w:val="none" w:sz="0" w:space="0" w:color="auto"/>
        <w:left w:val="none" w:sz="0" w:space="0" w:color="auto"/>
        <w:bottom w:val="none" w:sz="0" w:space="0" w:color="auto"/>
        <w:right w:val="none" w:sz="0" w:space="0" w:color="auto"/>
      </w:divBdr>
      <w:divsChild>
        <w:div w:id="795023281">
          <w:marLeft w:val="0"/>
          <w:marRight w:val="0"/>
          <w:marTop w:val="0"/>
          <w:marBottom w:val="0"/>
          <w:divBdr>
            <w:top w:val="none" w:sz="0" w:space="0" w:color="auto"/>
            <w:left w:val="none" w:sz="0" w:space="0" w:color="auto"/>
            <w:bottom w:val="none" w:sz="0" w:space="0" w:color="auto"/>
            <w:right w:val="none" w:sz="0" w:space="0" w:color="auto"/>
          </w:divBdr>
        </w:div>
        <w:div w:id="1517570875">
          <w:marLeft w:val="0"/>
          <w:marRight w:val="0"/>
          <w:marTop w:val="0"/>
          <w:marBottom w:val="0"/>
          <w:divBdr>
            <w:top w:val="none" w:sz="0" w:space="0" w:color="auto"/>
            <w:left w:val="none" w:sz="0" w:space="0" w:color="auto"/>
            <w:bottom w:val="none" w:sz="0" w:space="0" w:color="auto"/>
            <w:right w:val="none" w:sz="0" w:space="0" w:color="auto"/>
          </w:divBdr>
          <w:divsChild>
            <w:div w:id="224680818">
              <w:marLeft w:val="0"/>
              <w:marRight w:val="0"/>
              <w:marTop w:val="0"/>
              <w:marBottom w:val="0"/>
              <w:divBdr>
                <w:top w:val="none" w:sz="0" w:space="0" w:color="auto"/>
                <w:left w:val="none" w:sz="0" w:space="0" w:color="auto"/>
                <w:bottom w:val="none" w:sz="0" w:space="0" w:color="auto"/>
                <w:right w:val="none" w:sz="0" w:space="0" w:color="auto"/>
              </w:divBdr>
              <w:divsChild>
                <w:div w:id="582447579">
                  <w:marLeft w:val="0"/>
                  <w:marRight w:val="0"/>
                  <w:marTop w:val="0"/>
                  <w:marBottom w:val="0"/>
                  <w:divBdr>
                    <w:top w:val="none" w:sz="0" w:space="0" w:color="auto"/>
                    <w:left w:val="none" w:sz="0" w:space="0" w:color="auto"/>
                    <w:bottom w:val="none" w:sz="0" w:space="0" w:color="auto"/>
                    <w:right w:val="none" w:sz="0" w:space="0" w:color="auto"/>
                  </w:divBdr>
                  <w:divsChild>
                    <w:div w:id="210733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2022">
              <w:marLeft w:val="0"/>
              <w:marRight w:val="0"/>
              <w:marTop w:val="0"/>
              <w:marBottom w:val="0"/>
              <w:divBdr>
                <w:top w:val="none" w:sz="0" w:space="0" w:color="auto"/>
                <w:left w:val="none" w:sz="0" w:space="0" w:color="auto"/>
                <w:bottom w:val="none" w:sz="0" w:space="0" w:color="auto"/>
                <w:right w:val="none" w:sz="0" w:space="0" w:color="auto"/>
              </w:divBdr>
              <w:divsChild>
                <w:div w:id="1701390186">
                  <w:marLeft w:val="0"/>
                  <w:marRight w:val="0"/>
                  <w:marTop w:val="0"/>
                  <w:marBottom w:val="0"/>
                  <w:divBdr>
                    <w:top w:val="none" w:sz="0" w:space="0" w:color="auto"/>
                    <w:left w:val="none" w:sz="0" w:space="0" w:color="auto"/>
                    <w:bottom w:val="none" w:sz="0" w:space="0" w:color="auto"/>
                    <w:right w:val="none" w:sz="0" w:space="0" w:color="auto"/>
                  </w:divBdr>
                  <w:divsChild>
                    <w:div w:id="93621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45151">
              <w:marLeft w:val="0"/>
              <w:marRight w:val="0"/>
              <w:marTop w:val="0"/>
              <w:marBottom w:val="0"/>
              <w:divBdr>
                <w:top w:val="none" w:sz="0" w:space="0" w:color="auto"/>
                <w:left w:val="none" w:sz="0" w:space="0" w:color="auto"/>
                <w:bottom w:val="none" w:sz="0" w:space="0" w:color="auto"/>
                <w:right w:val="none" w:sz="0" w:space="0" w:color="auto"/>
              </w:divBdr>
              <w:divsChild>
                <w:div w:id="1214997840">
                  <w:marLeft w:val="0"/>
                  <w:marRight w:val="0"/>
                  <w:marTop w:val="0"/>
                  <w:marBottom w:val="0"/>
                  <w:divBdr>
                    <w:top w:val="none" w:sz="0" w:space="0" w:color="auto"/>
                    <w:left w:val="none" w:sz="0" w:space="0" w:color="auto"/>
                    <w:bottom w:val="none" w:sz="0" w:space="0" w:color="auto"/>
                    <w:right w:val="none" w:sz="0" w:space="0" w:color="auto"/>
                  </w:divBdr>
                  <w:divsChild>
                    <w:div w:id="158619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089967">
              <w:marLeft w:val="0"/>
              <w:marRight w:val="0"/>
              <w:marTop w:val="0"/>
              <w:marBottom w:val="0"/>
              <w:divBdr>
                <w:top w:val="none" w:sz="0" w:space="0" w:color="auto"/>
                <w:left w:val="none" w:sz="0" w:space="0" w:color="auto"/>
                <w:bottom w:val="none" w:sz="0" w:space="0" w:color="auto"/>
                <w:right w:val="none" w:sz="0" w:space="0" w:color="auto"/>
              </w:divBdr>
              <w:divsChild>
                <w:div w:id="936527098">
                  <w:marLeft w:val="0"/>
                  <w:marRight w:val="0"/>
                  <w:marTop w:val="0"/>
                  <w:marBottom w:val="0"/>
                  <w:divBdr>
                    <w:top w:val="none" w:sz="0" w:space="0" w:color="auto"/>
                    <w:left w:val="none" w:sz="0" w:space="0" w:color="auto"/>
                    <w:bottom w:val="none" w:sz="0" w:space="0" w:color="auto"/>
                    <w:right w:val="none" w:sz="0" w:space="0" w:color="auto"/>
                  </w:divBdr>
                  <w:divsChild>
                    <w:div w:id="1051273904">
                      <w:marLeft w:val="0"/>
                      <w:marRight w:val="0"/>
                      <w:marTop w:val="0"/>
                      <w:marBottom w:val="0"/>
                      <w:divBdr>
                        <w:top w:val="none" w:sz="0" w:space="0" w:color="auto"/>
                        <w:left w:val="none" w:sz="0" w:space="0" w:color="auto"/>
                        <w:bottom w:val="none" w:sz="0" w:space="0" w:color="auto"/>
                        <w:right w:val="none" w:sz="0" w:space="0" w:color="auto"/>
                      </w:divBdr>
                      <w:divsChild>
                        <w:div w:id="10469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351719">
              <w:marLeft w:val="0"/>
              <w:marRight w:val="0"/>
              <w:marTop w:val="0"/>
              <w:marBottom w:val="0"/>
              <w:divBdr>
                <w:top w:val="none" w:sz="0" w:space="0" w:color="auto"/>
                <w:left w:val="none" w:sz="0" w:space="0" w:color="auto"/>
                <w:bottom w:val="none" w:sz="0" w:space="0" w:color="auto"/>
                <w:right w:val="none" w:sz="0" w:space="0" w:color="auto"/>
              </w:divBdr>
              <w:divsChild>
                <w:div w:id="1146894919">
                  <w:marLeft w:val="0"/>
                  <w:marRight w:val="0"/>
                  <w:marTop w:val="0"/>
                  <w:marBottom w:val="0"/>
                  <w:divBdr>
                    <w:top w:val="none" w:sz="0" w:space="0" w:color="auto"/>
                    <w:left w:val="none" w:sz="0" w:space="0" w:color="auto"/>
                    <w:bottom w:val="none" w:sz="0" w:space="0" w:color="auto"/>
                    <w:right w:val="none" w:sz="0" w:space="0" w:color="auto"/>
                  </w:divBdr>
                  <w:divsChild>
                    <w:div w:id="46808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955420">
              <w:marLeft w:val="0"/>
              <w:marRight w:val="0"/>
              <w:marTop w:val="0"/>
              <w:marBottom w:val="0"/>
              <w:divBdr>
                <w:top w:val="none" w:sz="0" w:space="0" w:color="auto"/>
                <w:left w:val="none" w:sz="0" w:space="0" w:color="auto"/>
                <w:bottom w:val="none" w:sz="0" w:space="0" w:color="auto"/>
                <w:right w:val="none" w:sz="0" w:space="0" w:color="auto"/>
              </w:divBdr>
              <w:divsChild>
                <w:div w:id="29496874">
                  <w:marLeft w:val="0"/>
                  <w:marRight w:val="0"/>
                  <w:marTop w:val="0"/>
                  <w:marBottom w:val="0"/>
                  <w:divBdr>
                    <w:top w:val="none" w:sz="0" w:space="0" w:color="auto"/>
                    <w:left w:val="none" w:sz="0" w:space="0" w:color="auto"/>
                    <w:bottom w:val="none" w:sz="0" w:space="0" w:color="auto"/>
                    <w:right w:val="none" w:sz="0" w:space="0" w:color="auto"/>
                  </w:divBdr>
                  <w:divsChild>
                    <w:div w:id="1430156179">
                      <w:marLeft w:val="0"/>
                      <w:marRight w:val="0"/>
                      <w:marTop w:val="0"/>
                      <w:marBottom w:val="0"/>
                      <w:divBdr>
                        <w:top w:val="none" w:sz="0" w:space="0" w:color="auto"/>
                        <w:left w:val="none" w:sz="0" w:space="0" w:color="auto"/>
                        <w:bottom w:val="none" w:sz="0" w:space="0" w:color="auto"/>
                        <w:right w:val="none" w:sz="0" w:space="0" w:color="auto"/>
                      </w:divBdr>
                      <w:divsChild>
                        <w:div w:id="49080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571467">
              <w:marLeft w:val="0"/>
              <w:marRight w:val="0"/>
              <w:marTop w:val="0"/>
              <w:marBottom w:val="0"/>
              <w:divBdr>
                <w:top w:val="none" w:sz="0" w:space="0" w:color="auto"/>
                <w:left w:val="none" w:sz="0" w:space="0" w:color="auto"/>
                <w:bottom w:val="none" w:sz="0" w:space="0" w:color="auto"/>
                <w:right w:val="none" w:sz="0" w:space="0" w:color="auto"/>
              </w:divBdr>
              <w:divsChild>
                <w:div w:id="1099790867">
                  <w:marLeft w:val="0"/>
                  <w:marRight w:val="0"/>
                  <w:marTop w:val="0"/>
                  <w:marBottom w:val="0"/>
                  <w:divBdr>
                    <w:top w:val="none" w:sz="0" w:space="0" w:color="auto"/>
                    <w:left w:val="none" w:sz="0" w:space="0" w:color="auto"/>
                    <w:bottom w:val="none" w:sz="0" w:space="0" w:color="auto"/>
                    <w:right w:val="none" w:sz="0" w:space="0" w:color="auto"/>
                  </w:divBdr>
                  <w:divsChild>
                    <w:div w:id="50980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93441">
              <w:marLeft w:val="0"/>
              <w:marRight w:val="0"/>
              <w:marTop w:val="0"/>
              <w:marBottom w:val="0"/>
              <w:divBdr>
                <w:top w:val="none" w:sz="0" w:space="0" w:color="auto"/>
                <w:left w:val="none" w:sz="0" w:space="0" w:color="auto"/>
                <w:bottom w:val="none" w:sz="0" w:space="0" w:color="auto"/>
                <w:right w:val="none" w:sz="0" w:space="0" w:color="auto"/>
              </w:divBdr>
              <w:divsChild>
                <w:div w:id="454452073">
                  <w:marLeft w:val="0"/>
                  <w:marRight w:val="0"/>
                  <w:marTop w:val="0"/>
                  <w:marBottom w:val="0"/>
                  <w:divBdr>
                    <w:top w:val="none" w:sz="0" w:space="0" w:color="auto"/>
                    <w:left w:val="none" w:sz="0" w:space="0" w:color="auto"/>
                    <w:bottom w:val="none" w:sz="0" w:space="0" w:color="auto"/>
                    <w:right w:val="none" w:sz="0" w:space="0" w:color="auto"/>
                  </w:divBdr>
                  <w:divsChild>
                    <w:div w:id="877203101">
                      <w:marLeft w:val="0"/>
                      <w:marRight w:val="0"/>
                      <w:marTop w:val="0"/>
                      <w:marBottom w:val="0"/>
                      <w:divBdr>
                        <w:top w:val="none" w:sz="0" w:space="0" w:color="auto"/>
                        <w:left w:val="none" w:sz="0" w:space="0" w:color="auto"/>
                        <w:bottom w:val="none" w:sz="0" w:space="0" w:color="auto"/>
                        <w:right w:val="none" w:sz="0" w:space="0" w:color="auto"/>
                      </w:divBdr>
                      <w:divsChild>
                        <w:div w:id="105565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177145">
              <w:marLeft w:val="0"/>
              <w:marRight w:val="0"/>
              <w:marTop w:val="0"/>
              <w:marBottom w:val="0"/>
              <w:divBdr>
                <w:top w:val="none" w:sz="0" w:space="0" w:color="auto"/>
                <w:left w:val="none" w:sz="0" w:space="0" w:color="auto"/>
                <w:bottom w:val="none" w:sz="0" w:space="0" w:color="auto"/>
                <w:right w:val="none" w:sz="0" w:space="0" w:color="auto"/>
              </w:divBdr>
              <w:divsChild>
                <w:div w:id="1630941410">
                  <w:marLeft w:val="0"/>
                  <w:marRight w:val="0"/>
                  <w:marTop w:val="0"/>
                  <w:marBottom w:val="0"/>
                  <w:divBdr>
                    <w:top w:val="none" w:sz="0" w:space="0" w:color="auto"/>
                    <w:left w:val="none" w:sz="0" w:space="0" w:color="auto"/>
                    <w:bottom w:val="none" w:sz="0" w:space="0" w:color="auto"/>
                    <w:right w:val="none" w:sz="0" w:space="0" w:color="auto"/>
                  </w:divBdr>
                  <w:divsChild>
                    <w:div w:id="2112510054">
                      <w:marLeft w:val="0"/>
                      <w:marRight w:val="0"/>
                      <w:marTop w:val="0"/>
                      <w:marBottom w:val="0"/>
                      <w:divBdr>
                        <w:top w:val="none" w:sz="0" w:space="0" w:color="auto"/>
                        <w:left w:val="none" w:sz="0" w:space="0" w:color="auto"/>
                        <w:bottom w:val="none" w:sz="0" w:space="0" w:color="auto"/>
                        <w:right w:val="none" w:sz="0" w:space="0" w:color="auto"/>
                      </w:divBdr>
                      <w:divsChild>
                        <w:div w:id="107525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614364">
              <w:marLeft w:val="0"/>
              <w:marRight w:val="0"/>
              <w:marTop w:val="0"/>
              <w:marBottom w:val="0"/>
              <w:divBdr>
                <w:top w:val="none" w:sz="0" w:space="0" w:color="auto"/>
                <w:left w:val="none" w:sz="0" w:space="0" w:color="auto"/>
                <w:bottom w:val="none" w:sz="0" w:space="0" w:color="auto"/>
                <w:right w:val="none" w:sz="0" w:space="0" w:color="auto"/>
              </w:divBdr>
              <w:divsChild>
                <w:div w:id="2049838144">
                  <w:marLeft w:val="0"/>
                  <w:marRight w:val="0"/>
                  <w:marTop w:val="0"/>
                  <w:marBottom w:val="0"/>
                  <w:divBdr>
                    <w:top w:val="none" w:sz="0" w:space="0" w:color="auto"/>
                    <w:left w:val="none" w:sz="0" w:space="0" w:color="auto"/>
                    <w:bottom w:val="none" w:sz="0" w:space="0" w:color="auto"/>
                    <w:right w:val="none" w:sz="0" w:space="0" w:color="auto"/>
                  </w:divBdr>
                  <w:divsChild>
                    <w:div w:id="186374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282902">
      <w:bodyDiv w:val="1"/>
      <w:marLeft w:val="0"/>
      <w:marRight w:val="0"/>
      <w:marTop w:val="0"/>
      <w:marBottom w:val="0"/>
      <w:divBdr>
        <w:top w:val="none" w:sz="0" w:space="0" w:color="auto"/>
        <w:left w:val="none" w:sz="0" w:space="0" w:color="auto"/>
        <w:bottom w:val="none" w:sz="0" w:space="0" w:color="auto"/>
        <w:right w:val="none" w:sz="0" w:space="0" w:color="auto"/>
      </w:divBdr>
      <w:divsChild>
        <w:div w:id="358431056">
          <w:marLeft w:val="0"/>
          <w:marRight w:val="0"/>
          <w:marTop w:val="0"/>
          <w:marBottom w:val="0"/>
          <w:divBdr>
            <w:top w:val="none" w:sz="0" w:space="0" w:color="auto"/>
            <w:left w:val="none" w:sz="0" w:space="0" w:color="auto"/>
            <w:bottom w:val="none" w:sz="0" w:space="0" w:color="auto"/>
            <w:right w:val="none" w:sz="0" w:space="0" w:color="auto"/>
          </w:divBdr>
          <w:divsChild>
            <w:div w:id="2055810919">
              <w:marLeft w:val="0"/>
              <w:marRight w:val="0"/>
              <w:marTop w:val="0"/>
              <w:marBottom w:val="0"/>
              <w:divBdr>
                <w:top w:val="none" w:sz="0" w:space="0" w:color="auto"/>
                <w:left w:val="none" w:sz="0" w:space="0" w:color="auto"/>
                <w:bottom w:val="none" w:sz="0" w:space="0" w:color="auto"/>
                <w:right w:val="none" w:sz="0" w:space="0" w:color="auto"/>
              </w:divBdr>
              <w:divsChild>
                <w:div w:id="192132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40211">
          <w:marLeft w:val="0"/>
          <w:marRight w:val="0"/>
          <w:marTop w:val="0"/>
          <w:marBottom w:val="0"/>
          <w:divBdr>
            <w:top w:val="none" w:sz="0" w:space="0" w:color="auto"/>
            <w:left w:val="none" w:sz="0" w:space="0" w:color="auto"/>
            <w:bottom w:val="none" w:sz="0" w:space="0" w:color="auto"/>
            <w:right w:val="none" w:sz="0" w:space="0" w:color="auto"/>
          </w:divBdr>
          <w:divsChild>
            <w:div w:id="817575927">
              <w:marLeft w:val="0"/>
              <w:marRight w:val="0"/>
              <w:marTop w:val="0"/>
              <w:marBottom w:val="0"/>
              <w:divBdr>
                <w:top w:val="none" w:sz="0" w:space="0" w:color="auto"/>
                <w:left w:val="none" w:sz="0" w:space="0" w:color="auto"/>
                <w:bottom w:val="none" w:sz="0" w:space="0" w:color="auto"/>
                <w:right w:val="none" w:sz="0" w:space="0" w:color="auto"/>
              </w:divBdr>
              <w:divsChild>
                <w:div w:id="1243182006">
                  <w:marLeft w:val="0"/>
                  <w:marRight w:val="0"/>
                  <w:marTop w:val="0"/>
                  <w:marBottom w:val="0"/>
                  <w:divBdr>
                    <w:top w:val="none" w:sz="0" w:space="0" w:color="auto"/>
                    <w:left w:val="none" w:sz="0" w:space="0" w:color="auto"/>
                    <w:bottom w:val="none" w:sz="0" w:space="0" w:color="auto"/>
                    <w:right w:val="none" w:sz="0" w:space="0" w:color="auto"/>
                  </w:divBdr>
                  <w:divsChild>
                    <w:div w:id="47155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760149">
          <w:marLeft w:val="0"/>
          <w:marRight w:val="0"/>
          <w:marTop w:val="0"/>
          <w:marBottom w:val="0"/>
          <w:divBdr>
            <w:top w:val="none" w:sz="0" w:space="0" w:color="auto"/>
            <w:left w:val="none" w:sz="0" w:space="0" w:color="auto"/>
            <w:bottom w:val="none" w:sz="0" w:space="0" w:color="auto"/>
            <w:right w:val="none" w:sz="0" w:space="0" w:color="auto"/>
          </w:divBdr>
          <w:divsChild>
            <w:div w:id="47537281">
              <w:marLeft w:val="0"/>
              <w:marRight w:val="0"/>
              <w:marTop w:val="0"/>
              <w:marBottom w:val="0"/>
              <w:divBdr>
                <w:top w:val="none" w:sz="0" w:space="0" w:color="auto"/>
                <w:left w:val="none" w:sz="0" w:space="0" w:color="auto"/>
                <w:bottom w:val="none" w:sz="0" w:space="0" w:color="auto"/>
                <w:right w:val="none" w:sz="0" w:space="0" w:color="auto"/>
              </w:divBdr>
              <w:divsChild>
                <w:div w:id="74718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50018624">
      <w:bodyDiv w:val="1"/>
      <w:marLeft w:val="0"/>
      <w:marRight w:val="0"/>
      <w:marTop w:val="0"/>
      <w:marBottom w:val="0"/>
      <w:divBdr>
        <w:top w:val="none" w:sz="0" w:space="0" w:color="auto"/>
        <w:left w:val="none" w:sz="0" w:space="0" w:color="auto"/>
        <w:bottom w:val="none" w:sz="0" w:space="0" w:color="auto"/>
        <w:right w:val="none" w:sz="0" w:space="0" w:color="auto"/>
      </w:divBdr>
      <w:divsChild>
        <w:div w:id="357320511">
          <w:marLeft w:val="0"/>
          <w:marRight w:val="0"/>
          <w:marTop w:val="0"/>
          <w:marBottom w:val="0"/>
          <w:divBdr>
            <w:top w:val="none" w:sz="0" w:space="0" w:color="auto"/>
            <w:left w:val="none" w:sz="0" w:space="0" w:color="auto"/>
            <w:bottom w:val="none" w:sz="0" w:space="0" w:color="auto"/>
            <w:right w:val="none" w:sz="0" w:space="0" w:color="auto"/>
          </w:divBdr>
          <w:divsChild>
            <w:div w:id="416557099">
              <w:marLeft w:val="0"/>
              <w:marRight w:val="0"/>
              <w:marTop w:val="0"/>
              <w:marBottom w:val="0"/>
              <w:divBdr>
                <w:top w:val="none" w:sz="0" w:space="0" w:color="auto"/>
                <w:left w:val="none" w:sz="0" w:space="0" w:color="auto"/>
                <w:bottom w:val="none" w:sz="0" w:space="0" w:color="auto"/>
                <w:right w:val="none" w:sz="0" w:space="0" w:color="auto"/>
              </w:divBdr>
              <w:divsChild>
                <w:div w:id="134948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161866">
          <w:marLeft w:val="0"/>
          <w:marRight w:val="0"/>
          <w:marTop w:val="0"/>
          <w:marBottom w:val="0"/>
          <w:divBdr>
            <w:top w:val="none" w:sz="0" w:space="0" w:color="auto"/>
            <w:left w:val="none" w:sz="0" w:space="0" w:color="auto"/>
            <w:bottom w:val="none" w:sz="0" w:space="0" w:color="auto"/>
            <w:right w:val="none" w:sz="0" w:space="0" w:color="auto"/>
          </w:divBdr>
          <w:divsChild>
            <w:div w:id="169835727">
              <w:marLeft w:val="0"/>
              <w:marRight w:val="0"/>
              <w:marTop w:val="0"/>
              <w:marBottom w:val="0"/>
              <w:divBdr>
                <w:top w:val="none" w:sz="0" w:space="0" w:color="auto"/>
                <w:left w:val="none" w:sz="0" w:space="0" w:color="auto"/>
                <w:bottom w:val="none" w:sz="0" w:space="0" w:color="auto"/>
                <w:right w:val="none" w:sz="0" w:space="0" w:color="auto"/>
              </w:divBdr>
              <w:divsChild>
                <w:div w:id="31013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45499">
          <w:marLeft w:val="0"/>
          <w:marRight w:val="0"/>
          <w:marTop w:val="0"/>
          <w:marBottom w:val="0"/>
          <w:divBdr>
            <w:top w:val="none" w:sz="0" w:space="0" w:color="auto"/>
            <w:left w:val="none" w:sz="0" w:space="0" w:color="auto"/>
            <w:bottom w:val="none" w:sz="0" w:space="0" w:color="auto"/>
            <w:right w:val="none" w:sz="0" w:space="0" w:color="auto"/>
          </w:divBdr>
          <w:divsChild>
            <w:div w:id="740567823">
              <w:marLeft w:val="0"/>
              <w:marRight w:val="0"/>
              <w:marTop w:val="0"/>
              <w:marBottom w:val="0"/>
              <w:divBdr>
                <w:top w:val="none" w:sz="0" w:space="0" w:color="auto"/>
                <w:left w:val="none" w:sz="0" w:space="0" w:color="auto"/>
                <w:bottom w:val="none" w:sz="0" w:space="0" w:color="auto"/>
                <w:right w:val="none" w:sz="0" w:space="0" w:color="auto"/>
              </w:divBdr>
              <w:divsChild>
                <w:div w:id="797601717">
                  <w:marLeft w:val="0"/>
                  <w:marRight w:val="0"/>
                  <w:marTop w:val="0"/>
                  <w:marBottom w:val="0"/>
                  <w:divBdr>
                    <w:top w:val="none" w:sz="0" w:space="0" w:color="auto"/>
                    <w:left w:val="none" w:sz="0" w:space="0" w:color="auto"/>
                    <w:bottom w:val="none" w:sz="0" w:space="0" w:color="auto"/>
                    <w:right w:val="none" w:sz="0" w:space="0" w:color="auto"/>
                  </w:divBdr>
                  <w:divsChild>
                    <w:div w:id="149934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1950502307">
      <w:bodyDiv w:val="1"/>
      <w:marLeft w:val="0"/>
      <w:marRight w:val="0"/>
      <w:marTop w:val="0"/>
      <w:marBottom w:val="0"/>
      <w:divBdr>
        <w:top w:val="none" w:sz="0" w:space="0" w:color="auto"/>
        <w:left w:val="none" w:sz="0" w:space="0" w:color="auto"/>
        <w:bottom w:val="none" w:sz="0" w:space="0" w:color="auto"/>
        <w:right w:val="none" w:sz="0" w:space="0" w:color="auto"/>
      </w:divBdr>
      <w:divsChild>
        <w:div w:id="83577404">
          <w:marLeft w:val="0"/>
          <w:marRight w:val="0"/>
          <w:marTop w:val="0"/>
          <w:marBottom w:val="0"/>
          <w:divBdr>
            <w:top w:val="none" w:sz="0" w:space="0" w:color="auto"/>
            <w:left w:val="none" w:sz="0" w:space="0" w:color="auto"/>
            <w:bottom w:val="none" w:sz="0" w:space="0" w:color="auto"/>
            <w:right w:val="none" w:sz="0" w:space="0" w:color="auto"/>
          </w:divBdr>
          <w:divsChild>
            <w:div w:id="698165511">
              <w:marLeft w:val="0"/>
              <w:marRight w:val="0"/>
              <w:marTop w:val="0"/>
              <w:marBottom w:val="0"/>
              <w:divBdr>
                <w:top w:val="none" w:sz="0" w:space="0" w:color="auto"/>
                <w:left w:val="none" w:sz="0" w:space="0" w:color="auto"/>
                <w:bottom w:val="none" w:sz="0" w:space="0" w:color="auto"/>
                <w:right w:val="none" w:sz="0" w:space="0" w:color="auto"/>
              </w:divBdr>
              <w:divsChild>
                <w:div w:id="137333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2370">
          <w:marLeft w:val="0"/>
          <w:marRight w:val="0"/>
          <w:marTop w:val="0"/>
          <w:marBottom w:val="0"/>
          <w:divBdr>
            <w:top w:val="none" w:sz="0" w:space="0" w:color="auto"/>
            <w:left w:val="none" w:sz="0" w:space="0" w:color="auto"/>
            <w:bottom w:val="none" w:sz="0" w:space="0" w:color="auto"/>
            <w:right w:val="none" w:sz="0" w:space="0" w:color="auto"/>
          </w:divBdr>
          <w:divsChild>
            <w:div w:id="2018997026">
              <w:marLeft w:val="0"/>
              <w:marRight w:val="0"/>
              <w:marTop w:val="0"/>
              <w:marBottom w:val="0"/>
              <w:divBdr>
                <w:top w:val="none" w:sz="0" w:space="0" w:color="auto"/>
                <w:left w:val="none" w:sz="0" w:space="0" w:color="auto"/>
                <w:bottom w:val="none" w:sz="0" w:space="0" w:color="auto"/>
                <w:right w:val="none" w:sz="0" w:space="0" w:color="auto"/>
              </w:divBdr>
              <w:divsChild>
                <w:div w:id="1205606772">
                  <w:marLeft w:val="0"/>
                  <w:marRight w:val="0"/>
                  <w:marTop w:val="0"/>
                  <w:marBottom w:val="0"/>
                  <w:divBdr>
                    <w:top w:val="none" w:sz="0" w:space="0" w:color="auto"/>
                    <w:left w:val="none" w:sz="0" w:space="0" w:color="auto"/>
                    <w:bottom w:val="none" w:sz="0" w:space="0" w:color="auto"/>
                    <w:right w:val="none" w:sz="0" w:space="0" w:color="auto"/>
                  </w:divBdr>
                  <w:divsChild>
                    <w:div w:id="207920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637265">
          <w:marLeft w:val="0"/>
          <w:marRight w:val="0"/>
          <w:marTop w:val="0"/>
          <w:marBottom w:val="0"/>
          <w:divBdr>
            <w:top w:val="none" w:sz="0" w:space="0" w:color="auto"/>
            <w:left w:val="none" w:sz="0" w:space="0" w:color="auto"/>
            <w:bottom w:val="none" w:sz="0" w:space="0" w:color="auto"/>
            <w:right w:val="none" w:sz="0" w:space="0" w:color="auto"/>
          </w:divBdr>
          <w:divsChild>
            <w:div w:id="1049065613">
              <w:marLeft w:val="0"/>
              <w:marRight w:val="0"/>
              <w:marTop w:val="0"/>
              <w:marBottom w:val="0"/>
              <w:divBdr>
                <w:top w:val="none" w:sz="0" w:space="0" w:color="auto"/>
                <w:left w:val="none" w:sz="0" w:space="0" w:color="auto"/>
                <w:bottom w:val="none" w:sz="0" w:space="0" w:color="auto"/>
                <w:right w:val="none" w:sz="0" w:space="0" w:color="auto"/>
              </w:divBdr>
              <w:divsChild>
                <w:div w:id="196642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91330">
      <w:bodyDiv w:val="1"/>
      <w:marLeft w:val="0"/>
      <w:marRight w:val="0"/>
      <w:marTop w:val="0"/>
      <w:marBottom w:val="0"/>
      <w:divBdr>
        <w:top w:val="none" w:sz="0" w:space="0" w:color="auto"/>
        <w:left w:val="none" w:sz="0" w:space="0" w:color="auto"/>
        <w:bottom w:val="none" w:sz="0" w:space="0" w:color="auto"/>
        <w:right w:val="none" w:sz="0" w:space="0" w:color="auto"/>
      </w:divBdr>
      <w:divsChild>
        <w:div w:id="453065597">
          <w:marLeft w:val="0"/>
          <w:marRight w:val="0"/>
          <w:marTop w:val="0"/>
          <w:marBottom w:val="0"/>
          <w:divBdr>
            <w:top w:val="none" w:sz="0" w:space="0" w:color="auto"/>
            <w:left w:val="none" w:sz="0" w:space="0" w:color="auto"/>
            <w:bottom w:val="none" w:sz="0" w:space="0" w:color="auto"/>
            <w:right w:val="none" w:sz="0" w:space="0" w:color="auto"/>
          </w:divBdr>
        </w:div>
        <w:div w:id="1291089077">
          <w:marLeft w:val="0"/>
          <w:marRight w:val="0"/>
          <w:marTop w:val="0"/>
          <w:marBottom w:val="0"/>
          <w:divBdr>
            <w:top w:val="none" w:sz="0" w:space="0" w:color="auto"/>
            <w:left w:val="none" w:sz="0" w:space="0" w:color="auto"/>
            <w:bottom w:val="none" w:sz="0" w:space="0" w:color="auto"/>
            <w:right w:val="none" w:sz="0" w:space="0" w:color="auto"/>
          </w:divBdr>
        </w:div>
        <w:div w:id="1541896829">
          <w:marLeft w:val="0"/>
          <w:marRight w:val="0"/>
          <w:marTop w:val="0"/>
          <w:marBottom w:val="0"/>
          <w:divBdr>
            <w:top w:val="none" w:sz="0" w:space="0" w:color="auto"/>
            <w:left w:val="none" w:sz="0" w:space="0" w:color="auto"/>
            <w:bottom w:val="none" w:sz="0" w:space="0" w:color="auto"/>
            <w:right w:val="none" w:sz="0" w:space="0" w:color="auto"/>
          </w:divBdr>
        </w:div>
        <w:div w:id="1889683754">
          <w:marLeft w:val="0"/>
          <w:marRight w:val="0"/>
          <w:marTop w:val="0"/>
          <w:marBottom w:val="0"/>
          <w:divBdr>
            <w:top w:val="none" w:sz="0" w:space="0" w:color="auto"/>
            <w:left w:val="none" w:sz="0" w:space="0" w:color="auto"/>
            <w:bottom w:val="none" w:sz="0" w:space="0" w:color="auto"/>
            <w:right w:val="none" w:sz="0" w:space="0" w:color="auto"/>
          </w:divBdr>
        </w:div>
        <w:div w:id="1999461933">
          <w:marLeft w:val="0"/>
          <w:marRight w:val="0"/>
          <w:marTop w:val="0"/>
          <w:marBottom w:val="0"/>
          <w:divBdr>
            <w:top w:val="none" w:sz="0" w:space="0" w:color="auto"/>
            <w:left w:val="none" w:sz="0" w:space="0" w:color="auto"/>
            <w:bottom w:val="none" w:sz="0" w:space="0" w:color="auto"/>
            <w:right w:val="none" w:sz="0" w:space="0" w:color="auto"/>
          </w:divBdr>
        </w:div>
      </w:divsChild>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 w:id="213150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SMA THEME">
  <a:themeElements>
    <a:clrScheme name="ESMA FINAL">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00379F"/>
      </a:hlink>
      <a:folHlink>
        <a:srgbClr val="3400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ESMA" id="{B7190C41-87CF-764F-B515-D1EB4629FDA2}" vid="{031C5C26-2781-054D-8E4A-F77B007FB17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MeetingDate xmlns="d0fb0f98-34f9-4d57-9559-eb8efd17aa5e" xsi:nil="true"/>
    <Year xmlns="d0fb0f98-34f9-4d57-9559-eb8efd17aa5e">2024</Year>
    <TaxCatchAll xmlns="d0fb0f98-34f9-4d57-9559-eb8efd17aa5e">
      <Value>6</Value>
      <Value>5</Value>
      <Value>47</Value>
      <Value>42</Value>
    </TaxCatchAll>
    <_dlc_DocId xmlns="d0fb0f98-34f9-4d57-9559-eb8efd17aa5e">ESMA32-2009130576-3281</_dlc_DocId>
    <_dlc_DocIdUrl xmlns="d0fb0f98-34f9-4d57-9559-eb8efd17aa5e">
      <Url>https://securitiesandmarketsauth.sharepoint.com/sites/sherpa-cfr/_layouts/15/DocIdRedir.aspx?ID=ESMA32-2009130576-3281</Url>
      <Description>ESMA32-2009130576-3281</Description>
    </_dlc_DocIdUrl>
    <lcf76f155ced4ddcb4097134ff3c332f xmlns="ea984c69-31c5-4466-9245-f1525cd690b9" xsi:nil="true"/>
    <lb0fe63ee9e84e7b8c2ed49b643ec222 xmlns="d0fb0f98-34f9-4d57-9559-eb8efd17aa5e">
      <Terms xmlns="http://schemas.microsoft.com/office/infopath/2007/PartnerControls">
        <TermInfo xmlns="http://schemas.microsoft.com/office/infopath/2007/PartnerControls">
          <TermName xmlns="http://schemas.microsoft.com/office/infopath/2007/PartnerControls">Corporate Reporting</TermName>
          <TermId xmlns="http://schemas.microsoft.com/office/infopath/2007/PartnerControls">87656f37-5702-4e3e-9ce7-24284fa029a9</TermId>
        </TermInfo>
      </Terms>
    </lb0fe63ee9e84e7b8c2ed49b643ec222>
    <k044c75198c549908a53549b9dae0241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k044c75198c549908a53549b9dae0241>
    <jf76607bcd084ae3bb67b6d699d4c88b xmlns="d0fb0f98-34f9-4d57-9559-eb8efd17aa5e">
      <Terms xmlns="http://schemas.microsoft.com/office/infopath/2007/PartnerControls">
        <TermInfo xmlns="http://schemas.microsoft.com/office/infopath/2007/PartnerControls">
          <TermName xmlns="http://schemas.microsoft.com/office/infopath/2007/PartnerControls">ESEF</TermName>
          <TermId xmlns="http://schemas.microsoft.com/office/infopath/2007/PartnerControls">cb2e6a92-4666-44ac-807d-2ae70606f307</TermId>
        </TermInfo>
      </Terms>
    </jf76607bcd084ae3bb67b6d699d4c88b>
    <ga55ca2076cc464ca0fb20f1fcf6986b xmlns="d0fb0f98-34f9-4d57-9559-eb8efd17aa5e">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ga55ca2076cc464ca0fb20f1fcf6986b>
    <dedc19c8c5d5458995bff00925edb757 xmlns="d0fb0f98-34f9-4d57-9559-eb8efd17aa5e">
      <Terms xmlns="http://schemas.microsoft.com/office/infopath/2007/PartnerControls"/>
    </dedc19c8c5d5458995bff00925edb757>
    <fd2b81571d07408aac25507af980dd66 xmlns="d0fb0f98-34f9-4d57-9559-eb8efd17aa5e">
      <Terms xmlns="http://schemas.microsoft.com/office/infopath/2007/PartnerControls"/>
    </fd2b81571d07408aac25507af980dd66>
  </documentManagement>
</p:properties>
</file>

<file path=customXml/item2.xml><?xml version="1.0" encoding="utf-8"?>
<ct:contentTypeSchema xmlns:ct="http://schemas.microsoft.com/office/2006/metadata/contentType" xmlns:ma="http://schemas.microsoft.com/office/2006/metadata/properties/metaAttributes" ct:_="" ma:_="" ma:contentTypeName="ESEF and EEAP PowerPoint Document" ma:contentTypeID="0x0101002D03862DD4A70D4599C7633A7DF987C5010500A9B5B26232193A48B7792898F1051B90" ma:contentTypeVersion="20" ma:contentTypeDescription="" ma:contentTypeScope="" ma:versionID="edc3770659f9dee73a273486f115273e">
  <xsd:schema xmlns:xsd="http://www.w3.org/2001/XMLSchema" xmlns:xs="http://www.w3.org/2001/XMLSchema" xmlns:p="http://schemas.microsoft.com/office/2006/metadata/properties" xmlns:ns2="d0fb0f98-34f9-4d57-9559-eb8efd17aa5e" xmlns:ns3="ea984c69-31c5-4466-9245-f1525cd690b9" targetNamespace="http://schemas.microsoft.com/office/2006/metadata/properties" ma:root="true" ma:fieldsID="f54bf1db310b03720bb7e45d4d16d4e2" ns2:_="" ns3:_="">
    <xsd:import namespace="d0fb0f98-34f9-4d57-9559-eb8efd17aa5e"/>
    <xsd:import namespace="ea984c69-31c5-4466-9245-f1525cd690b9"/>
    <xsd:element name="properties">
      <xsd:complexType>
        <xsd:sequence>
          <xsd:element name="documentManagement">
            <xsd:complexType>
              <xsd:all>
                <xsd:element ref="ns2:Year"/>
                <xsd:element ref="ns2:MeetingDate" minOccurs="0"/>
                <xsd:element ref="ns2:TaxCatchAll" minOccurs="0"/>
                <xsd:element ref="ns2:dedc19c8c5d5458995bff00925edb757" minOccurs="0"/>
                <xsd:element ref="ns2:lb0fe63ee9e84e7b8c2ed49b643ec222" minOccurs="0"/>
                <xsd:element ref="ns2:ga55ca2076cc464ca0fb20f1fcf6986b" minOccurs="0"/>
                <xsd:element ref="ns2:k044c75198c549908a53549b9dae0241" minOccurs="0"/>
                <xsd:element ref="ns2:TaxCatchAllLabel" minOccurs="0"/>
                <xsd:element ref="ns2:jf76607bcd084ae3bb67b6d699d4c88b" minOccurs="0"/>
                <xsd:element ref="ns2:fd2b81571d07408aac25507af980dd66" minOccurs="0"/>
                <xsd:element ref="ns2:_dlc_DocId" minOccurs="0"/>
                <xsd:element ref="ns2:_dlc_DocIdUrl" minOccurs="0"/>
                <xsd:element ref="ns2:_dlc_DocIdPersistId"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default=""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14" nillable="true" ma:displayName="Taxonomy Catch All Column" ma:hidden="true" ma:list="{98c7cd08-f3d4-4b1a-bbde-86cf6adfec31}"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dedc19c8c5d5458995bff00925edb757" ma:index="17" nillable="true" ma:taxonomy="true" ma:internalName="dedc19c8c5d5458995bff00925edb757" ma:taxonomyFieldName="EsmaAudience" ma:displayName="Audience" ma:readOnly="false" ma:fieldId="{dedc19c8-c5d5-4589-95bf-f00925edb757}"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lb0fe63ee9e84e7b8c2ed49b643ec222" ma:index="18" ma:taxonomy="true" ma:internalName="lb0fe63ee9e84e7b8c2ed49b643ec222" ma:taxonomyFieldName="TeamName" ma:displayName="Team Name" ma:readOnly="false" ma:default="-1;#Corporate Reporting|87656f37-5702-4e3e-9ce7-24284fa029a9" ma:fieldId="{5b0fe63e-e9e8-4e7b-8c2e-d49b643ec222}"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ga55ca2076cc464ca0fb20f1fcf6986b" ma:index="19" ma:taxonomy="true" ma:internalName="ga55ca2076cc464ca0fb20f1fcf6986b" ma:taxonomyFieldName="DocumentType" ma:displayName="Document Type" ma:readOnly="false" ma:fieldId="{0a55ca20-76cc-464c-a0fb-20f1fcf6986b}"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k044c75198c549908a53549b9dae0241" ma:index="20" ma:taxonomy="true" ma:internalName="k044c75198c549908a53549b9dae0241" ma:taxonomyFieldName="ConfidentialityLevel" ma:displayName="Confidentiality Level" ma:readOnly="false" ma:default="6;#Regular|07f1e362-856b-423d-bea6-a14079762141" ma:fieldId="{4044c751-98c5-4990-8a53-549b9dae0241}"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TaxCatchAllLabel" ma:index="21" nillable="true" ma:displayName="Taxonomy Catch All Column1" ma:hidden="true" ma:list="{98c7cd08-f3d4-4b1a-bbde-86cf6adfec31}"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jf76607bcd084ae3bb67b6d699d4c88b" ma:index="22" nillable="true" ma:taxonomy="true" ma:internalName="jf76607bcd084ae3bb67b6d699d4c88b" ma:taxonomyFieldName="TeamTopic" ma:displayName="Team Topic" ma:readOnly="false" ma:default="-1;#EEAP|2f9e6941-0eda-432f-88b1-22498bc4d5f7" ma:fieldId="{3f76607b-cd08-4ae3-bb67-b6d699d4c88b}" ma:taxonomyMulti="true" ma:sspId="d4b01e31-ead0-4f68-a8e9-2aaca35f2e62" ma:termSetId="9549eb24-6659-49ba-97a9-d85b42ae3e6f" ma:anchorId="00000000-0000-0000-0000-000000000000" ma:open="false" ma:isKeyword="false">
      <xsd:complexType>
        <xsd:sequence>
          <xsd:element ref="pc:Terms" minOccurs="0" maxOccurs="1"/>
        </xsd:sequence>
      </xsd:complexType>
    </xsd:element>
    <xsd:element name="fd2b81571d07408aac25507af980dd66" ma:index="23" nillable="true" ma:taxonomy="true" ma:internalName="fd2b81571d07408aac25507af980dd66" ma:taxonomyFieldName="Topic" ma:displayName="Topic" ma:readOnly="false" ma:fieldId="{fd2b8157-1d07-408a-ac25-507af980dd66}" ma:sspId="d4b01e31-ead0-4f68-a8e9-2aaca35f2e62" ma:termSetId="2a62554d-eb24-46b1-9bd2-c78ab0b22d73" ma:anchorId="00000000-0000-0000-0000-000000000000" ma:open="tru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a984c69-31c5-4466-9245-f1525cd690b9" elementFormDefault="qualified">
    <xsd:import namespace="http://schemas.microsoft.com/office/2006/documentManagement/types"/>
    <xsd:import namespace="http://schemas.microsoft.com/office/infopath/2007/PartnerControls"/>
    <xsd:element name="lcf76f155ced4ddcb4097134ff3c332f" ma:index="27"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d0fb0f98-34f9-4d57-9559-eb8efd17aa5e"/>
    <ds:schemaRef ds:uri="ea984c69-31c5-4466-9245-f1525cd690b9"/>
  </ds:schemaRefs>
</ds:datastoreItem>
</file>

<file path=customXml/itemProps2.xml><?xml version="1.0" encoding="utf-8"?>
<ds:datastoreItem xmlns:ds="http://schemas.openxmlformats.org/officeDocument/2006/customXml" ds:itemID="{04511A66-02D9-4EC2-B313-CCDDF977A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ea984c69-31c5-4466-9245-f1525cd690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4.xml><?xml version="1.0" encoding="utf-8"?>
<ds:datastoreItem xmlns:ds="http://schemas.openxmlformats.org/officeDocument/2006/customXml" ds:itemID="{583B3ABB-1E22-43DF-B118-E1D48363CC1A}">
  <ds:schemaRefs>
    <ds:schemaRef ds:uri="http://schemas.microsoft.com/sharepoint/events"/>
  </ds:schemaRefs>
</ds:datastoreItem>
</file>

<file path=customXml/itemProps5.xml><?xml version="1.0" encoding="utf-8"?>
<ds:datastoreItem xmlns:ds="http://schemas.openxmlformats.org/officeDocument/2006/customXml" ds:itemID="{A98BA8AF-5F5B-4E36-AC2E-85B2A81DB641}">
  <ds:schemaRefs>
    <ds:schemaRef ds:uri="http://schemas.openxmlformats.org/officeDocument/2006/bibliography"/>
  </ds:schemaRefs>
</ds:datastoreItem>
</file>

<file path=customXml/itemProps6.xml><?xml version="1.0" encoding="utf-8"?>
<ds:datastoreItem xmlns:ds="http://schemas.openxmlformats.org/officeDocument/2006/customXml" ds:itemID="{B18F60DA-87DA-4873-A65D-A5859F66F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7168</TotalTime>
  <Pages>10</Pages>
  <Words>4029</Words>
  <Characters>22969</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Reply form for the MiFID II/MiFIR Consultation Paper</vt:lpstr>
    </vt:vector>
  </TitlesOfParts>
  <Company>ESMA</Company>
  <LinksUpToDate>false</LinksUpToDate>
  <CharactersWithSpaces>26945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subject/>
  <dc:creator>ESMA</dc:creator>
  <cp:keywords/>
  <cp:lastModifiedBy>Anna.Kwok</cp:lastModifiedBy>
  <cp:revision>11</cp:revision>
  <cp:lastPrinted>2015-02-18T20:01:00Z</cp:lastPrinted>
  <dcterms:created xsi:type="dcterms:W3CDTF">2025-03-25T19:40:00Z</dcterms:created>
  <dcterms:modified xsi:type="dcterms:W3CDTF">2025-03-31T21:16:00Z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0x0101002D03862DD4A70D4599C7633A7DF987C5010500A9B5B26232193A48B7792898F1051B90</vt:lpwstr>
  </property>
  <property fmtid="{D5CDD505-2E9C-101B-9397-08002B2CF9AE}" pid="3" name="_dlc_DocIdItemGuid">
    <vt:lpwstr>d20698a3-b9d9-4d6b-aba6-f112ff6e3d0b</vt:lpwstr>
  </property>
  <property fmtid="{D5CDD505-2E9C-101B-9397-08002B2CF9AE}" pid="4" name="TeamName">
    <vt:lpwstr>5</vt:lpwstr>
  </property>
  <property fmtid="{D5CDD505-2E9C-101B-9397-08002B2CF9AE}" pid="5" name="Topic">
    <vt:lpwstr/>
  </property>
  <property fmtid="{D5CDD505-2E9C-101B-9397-08002B2CF9AE}" pid="6" name="ConfidentialityLevel">
    <vt:lpwstr>6;#Regular|07f1e362-856b-423d-bea6-a14079762141</vt:lpwstr>
  </property>
  <property fmtid="{D5CDD505-2E9C-101B-9397-08002B2CF9AE}" pid="7" name="DocumentType">
    <vt:lpwstr>42;#Form / Request|efe27f23-61a2-47e7-916e-544dd02c80f4</vt:lpwstr>
  </property>
  <property fmtid="{D5CDD505-2E9C-101B-9397-08002B2CF9AE}" pid="8" name="SubTopic">
    <vt:lpwstr>471;#Active Account Requirement|8cf920ee-1699-40dd-8018-0179d9e7da19</vt:lpwstr>
  </property>
  <property fmtid="{D5CDD505-2E9C-101B-9397-08002B2CF9AE}" pid="9" name="mf50acab3f6949599688191e8740e810">
    <vt:lpwstr>Regular|07f1e362-856b-423d-bea6-a14079762141</vt:lpwstr>
  </property>
  <property fmtid="{D5CDD505-2E9C-101B-9397-08002B2CF9AE}" pid="10" name="ESMATemplatesConfidentialityLevel">
    <vt:lpwstr>8;#Public|a0c619ff-bd46-48f0-b213-6b7c03fe156d</vt:lpwstr>
  </property>
  <property fmtid="{D5CDD505-2E9C-101B-9397-08002B2CF9AE}" pid="11" name="ESMATemplatesTopic">
    <vt:lpwstr>105;#Report|6152310e-8bc8-447a-92f1-7d43d5ef86b8</vt:lpwstr>
  </property>
  <property fmtid="{D5CDD505-2E9C-101B-9397-08002B2CF9AE}" pid="12" name="n84bf37b4eaf4fd99e887816221de8a8">
    <vt:lpwstr>EN|f7e7f686-dfa7-4032-a218-a5881e990598</vt:lpwstr>
  </property>
  <property fmtid="{D5CDD505-2E9C-101B-9397-08002B2CF9AE}" pid="13" name="DocumentSetDescription">
    <vt:lpwstr/>
  </property>
  <property fmtid="{D5CDD505-2E9C-101B-9397-08002B2CF9AE}" pid="14" name="_ExtendedDescription">
    <vt:lpwstr/>
  </property>
  <property fmtid="{D5CDD505-2E9C-101B-9397-08002B2CF9AE}" pid="15" name="URL">
    <vt:lpwstr/>
  </property>
  <property fmtid="{D5CDD505-2E9C-101B-9397-08002B2CF9AE}" pid="16" name="MediaServiceImageTags">
    <vt:lpwstr/>
  </property>
  <property fmtid="{D5CDD505-2E9C-101B-9397-08002B2CF9AE}" pid="17" name="_docset_NoMedatataSyncRequired">
    <vt:lpwstr>False</vt:lpwstr>
  </property>
  <property fmtid="{D5CDD505-2E9C-101B-9397-08002B2CF9AE}" pid="18" name="MultiTopic">
    <vt:lpwstr/>
  </property>
  <property fmtid="{D5CDD505-2E9C-101B-9397-08002B2CF9AE}" pid="19" name="EsmaAudience">
    <vt:lpwstr/>
  </property>
  <property fmtid="{D5CDD505-2E9C-101B-9397-08002B2CF9AE}" pid="20" name="TeamTopic">
    <vt:lpwstr>47;#ESEF|cb2e6a92-4666-44ac-807d-2ae70606f307</vt:lpwstr>
  </property>
</Properties>
</file>