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ubtitle"/>
        <w:spacing w:after="0"/>
        <w:rPr>
          <w:sz w:val="24"/>
          <w:szCs w:val="18"/>
        </w:rPr>
        <w:sectPr w:rsidR="004E60D2" w:rsidRPr="00B32975"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96E0" id="Freeform: Shape 1" o:spid="_x0000_s1026" style="position:absolute;margin-left:-.6pt;margin-top:97.35pt;width:596.1pt;height:72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19"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ubtitle"/>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ListParagraph"/>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ListParagraph"/>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ListParagraph"/>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Paragraph"/>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Paragraph"/>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Paragraph"/>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ListParagraph"/>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Paragraph"/>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istParagraph"/>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Paragraph"/>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0"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1"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2"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Heading1"/>
        <w:rPr>
          <w:sz w:val="24"/>
          <w:szCs w:val="24"/>
        </w:rPr>
      </w:pPr>
      <w:bookmarkStart w:id="7" w:name="_Hlk124776172"/>
      <w:r w:rsidRPr="00AF763D">
        <w:rPr>
          <w:sz w:val="24"/>
          <w:szCs w:val="24"/>
        </w:rPr>
        <w:lastRenderedPageBreak/>
        <w:t>General information about respondent</w:t>
      </w:r>
    </w:p>
    <w:tbl>
      <w:tblPr>
        <w:tblStyle w:val="TableGrid"/>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PlaceholderText"/>
              <w:sz w:val="20"/>
              <w:szCs w:val="18"/>
            </w:rPr>
            <w:id w:val="-179280767"/>
            <w:text/>
          </w:sdtPr>
          <w:sdtEndPr>
            <w:rPr>
              <w:rStyle w:val="PlaceholderText"/>
            </w:rPr>
          </w:sdtEndPr>
          <w:sdtContent>
            <w:tc>
              <w:tcPr>
                <w:tcW w:w="6997" w:type="dxa"/>
                <w:gridSpan w:val="4"/>
              </w:tcPr>
              <w:p w14:paraId="0D7893C6" w14:textId="55D42B39" w:rsidR="0030108F" w:rsidRDefault="00480E9C" w:rsidP="008A50BE">
                <w:pPr>
                  <w:spacing w:after="120"/>
                  <w:rPr>
                    <w:sz w:val="20"/>
                    <w:szCs w:val="18"/>
                  </w:rPr>
                </w:pPr>
                <w:r>
                  <w:rPr>
                    <w:rStyle w:val="PlaceholderText"/>
                    <w:sz w:val="20"/>
                    <w:szCs w:val="18"/>
                  </w:rPr>
                  <w:t>CDP</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0"/>
              <w14:checkedState w14:val="2612" w14:font="MS Gothic"/>
              <w14:uncheckedState w14:val="2610" w14:font="MS Gothic"/>
            </w14:checkbox>
          </w:sdtPr>
          <w:sdtEndPr/>
          <w:sdtContent>
            <w:tc>
              <w:tcPr>
                <w:tcW w:w="6997" w:type="dxa"/>
                <w:gridSpan w:val="4"/>
                <w:vAlign w:val="center"/>
              </w:tcPr>
              <w:p w14:paraId="4D2A02E5" w14:textId="69666191" w:rsidR="00DE432B" w:rsidRDefault="00DE432B"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6997" w:type="dxa"/>
                <w:gridSpan w:val="4"/>
                <w:vAlign w:val="center"/>
              </w:tcPr>
              <w:p w14:paraId="4CD6FA00" w14:textId="3E1920BE" w:rsidR="00DE432B" w:rsidRDefault="00480E9C" w:rsidP="008A50BE">
                <w:pPr>
                  <w:spacing w:after="120"/>
                  <w:rPr>
                    <w:sz w:val="20"/>
                    <w:szCs w:val="18"/>
                  </w:rPr>
                </w:pPr>
                <w:r>
                  <w:rPr>
                    <w:sz w:val="20"/>
                    <w:szCs w:val="18"/>
                  </w:rPr>
                  <w:t>Europe</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End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End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End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ceholderText"/>
                <w:sz w:val="20"/>
                <w:szCs w:val="18"/>
              </w:rPr>
              <w:id w:val="733121204"/>
              <w:showingPlcHdr/>
              <w:text/>
            </w:sdtPr>
            <w:sdtEndPr>
              <w:rPr>
                <w:rStyle w:val="PlaceholderText"/>
              </w:rPr>
            </w:sdtEndPr>
            <w:sdtContent>
              <w:p w14:paraId="18F8042D" w14:textId="438BFE55" w:rsidR="00A10F6D" w:rsidRDefault="008A50BE" w:rsidP="008A50BE">
                <w:pPr>
                  <w:spacing w:after="120"/>
                  <w:rPr>
                    <w:sz w:val="20"/>
                    <w:szCs w:val="18"/>
                  </w:rPr>
                </w:pPr>
                <w:r w:rsidRPr="00AF763D">
                  <w:rPr>
                    <w:rStyle w:val="Placehold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End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End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End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End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End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ceholderText"/>
                <w:sz w:val="20"/>
                <w:szCs w:val="18"/>
              </w:rPr>
              <w:id w:val="321700705"/>
              <w:showingPlcHdr/>
              <w:text/>
            </w:sdtPr>
            <w:sdtEndPr>
              <w:rPr>
                <w:rStyle w:val="PlaceholderText"/>
              </w:rPr>
            </w:sdtEndPr>
            <w:sdtContent>
              <w:p w14:paraId="5F0E3DF4" w14:textId="424A26F7" w:rsidR="00A10F6D" w:rsidRDefault="0092723C" w:rsidP="0092723C">
                <w:pPr>
                  <w:spacing w:after="120"/>
                  <w:rPr>
                    <w:sz w:val="20"/>
                    <w:szCs w:val="18"/>
                  </w:rPr>
                </w:pPr>
                <w:r w:rsidRPr="00AF763D">
                  <w:rPr>
                    <w:rStyle w:val="Placehold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End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End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1"/>
              <w14:checkedState w14:val="2612" w14:font="MS Gothic"/>
              <w14:uncheckedState w14:val="2610" w14:font="MS Gothic"/>
            </w14:checkbox>
          </w:sdtPr>
          <w:sdtEndPr/>
          <w:sdtContent>
            <w:tc>
              <w:tcPr>
                <w:tcW w:w="425" w:type="dxa"/>
                <w:shd w:val="clear" w:color="auto" w:fill="F0F0F0" w:themeFill="background1"/>
              </w:tcPr>
              <w:p w14:paraId="5327FFEC" w14:textId="4A3DF3E1" w:rsidR="00A10F6D" w:rsidRDefault="00480E9C"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ceholderText"/>
              <w:sz w:val="20"/>
              <w:szCs w:val="18"/>
            </w:rPr>
            <w:id w:val="1865097083"/>
            <w:showingPlcHdr/>
            <w:text/>
          </w:sdtPr>
          <w:sdtEndPr>
            <w:rPr>
              <w:rStyle w:val="PlaceholderText"/>
            </w:rPr>
          </w:sdtEnd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PlaceholderText"/>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Heading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31B1EAD8" w14:textId="77777777" w:rsidR="00B21AC2" w:rsidRDefault="00D63332" w:rsidP="00B21AC2">
      <w:pPr>
        <w:rPr>
          <w:sz w:val="20"/>
          <w:szCs w:val="18"/>
        </w:rPr>
      </w:pPr>
      <w:permStart w:id="1107116594" w:edGrp="everyone"/>
      <w:r w:rsidRPr="00D63332">
        <w:rPr>
          <w:b/>
          <w:bCs/>
          <w:sz w:val="20"/>
          <w:szCs w:val="18"/>
          <w:lang w:val="en-US"/>
        </w:rPr>
        <w:t xml:space="preserve">CDP welcomes the opportunity to contribute to the Consultation Paper </w:t>
      </w:r>
      <w:r w:rsidRPr="00D63332">
        <w:rPr>
          <w:sz w:val="20"/>
          <w:szCs w:val="18"/>
          <w:lang w:val="en-US"/>
        </w:rPr>
        <w:t>on the Regulatory Technical Standards (RTS) for the European Single Electronic Format (ESEF), which defines markup rules for sustainability reporting. As the pioneer in environmental disclosure, CDP seeks to provide its technical expertise to ensure these standards promote high-quality, comparable, and actionable sustainability data.</w:t>
      </w:r>
      <w:r w:rsidRPr="00D63332">
        <w:rPr>
          <w:sz w:val="20"/>
          <w:szCs w:val="18"/>
        </w:rPr>
        <w:t xml:space="preserve"> </w:t>
      </w:r>
    </w:p>
    <w:p w14:paraId="36F38642" w14:textId="71A904EC" w:rsidR="00B21AC2" w:rsidRPr="00B21AC2" w:rsidRDefault="00B21AC2" w:rsidP="00B21AC2">
      <w:pPr>
        <w:rPr>
          <w:sz w:val="20"/>
          <w:szCs w:val="18"/>
        </w:rPr>
      </w:pPr>
      <w:r w:rsidRPr="00B21AC2">
        <w:rPr>
          <w:sz w:val="20"/>
          <w:szCs w:val="18"/>
        </w:rPr>
        <w:t>Recognizing the ongoing and dynamic digital transformation</w:t>
      </w:r>
      <w:r w:rsidRPr="00B21AC2">
        <w:rPr>
          <w:b/>
          <w:bCs/>
          <w:sz w:val="20"/>
          <w:szCs w:val="18"/>
        </w:rPr>
        <w:t>, digital tagging is becoming a central component of sustainability reporting regulations</w:t>
      </w:r>
      <w:r w:rsidRPr="00B21AC2">
        <w:rPr>
          <w:sz w:val="20"/>
          <w:szCs w:val="18"/>
        </w:rPr>
        <w:t>. CDP aims to influence the development of effective, low-burden, and technologically advanced digital tagging processes that benefit both sustainability report</w:t>
      </w:r>
      <w:r w:rsidR="00DE2E6A">
        <w:rPr>
          <w:sz w:val="20"/>
          <w:szCs w:val="18"/>
        </w:rPr>
        <w:t>s users and</w:t>
      </w:r>
      <w:r w:rsidRPr="00B21AC2">
        <w:rPr>
          <w:sz w:val="20"/>
          <w:szCs w:val="18"/>
        </w:rPr>
        <w:t xml:space="preserve"> preparers.</w:t>
      </w:r>
    </w:p>
    <w:p w14:paraId="377251E4" w14:textId="77777777" w:rsidR="00B21AC2" w:rsidRPr="00B21AC2" w:rsidRDefault="00B21AC2" w:rsidP="00B21AC2">
      <w:pPr>
        <w:rPr>
          <w:sz w:val="20"/>
          <w:szCs w:val="18"/>
        </w:rPr>
      </w:pPr>
      <w:r w:rsidRPr="00B21AC2">
        <w:rPr>
          <w:sz w:val="20"/>
          <w:szCs w:val="18"/>
        </w:rPr>
        <w:t>Regarding the first question and the methods followed by ESMA for the assessment framework on the Regulatory Technical Standards (RTS), the proposal is built on three main pillars:</w:t>
      </w:r>
    </w:p>
    <w:p w14:paraId="37BC6F58" w14:textId="77777777" w:rsidR="00B21AC2" w:rsidRPr="00B21AC2" w:rsidRDefault="00B21AC2" w:rsidP="00B21AC2">
      <w:pPr>
        <w:numPr>
          <w:ilvl w:val="0"/>
          <w:numId w:val="47"/>
        </w:numPr>
        <w:rPr>
          <w:sz w:val="20"/>
          <w:szCs w:val="18"/>
        </w:rPr>
      </w:pPr>
      <w:r w:rsidRPr="00B21AC2">
        <w:rPr>
          <w:b/>
          <w:bCs/>
          <w:sz w:val="20"/>
          <w:szCs w:val="18"/>
        </w:rPr>
        <w:t>ESRS architecture:</w:t>
      </w:r>
      <w:r w:rsidRPr="00B21AC2">
        <w:rPr>
          <w:sz w:val="20"/>
          <w:szCs w:val="18"/>
        </w:rPr>
        <w:t xml:space="preserve"> the ESRS distinguish between different levels of obligations, including mandatory disclosures, disclosures that are either subject to or not subject to materiality assessment and voluntary </w:t>
      </w:r>
      <w:proofErr w:type="gramStart"/>
      <w:r w:rsidRPr="00B21AC2">
        <w:rPr>
          <w:sz w:val="20"/>
          <w:szCs w:val="18"/>
        </w:rPr>
        <w:t>disclosures;</w:t>
      </w:r>
      <w:proofErr w:type="gramEnd"/>
    </w:p>
    <w:p w14:paraId="530862CD" w14:textId="77777777" w:rsidR="00B21AC2" w:rsidRPr="00B21AC2" w:rsidRDefault="00B21AC2" w:rsidP="00B21AC2">
      <w:pPr>
        <w:numPr>
          <w:ilvl w:val="0"/>
          <w:numId w:val="47"/>
        </w:numPr>
        <w:rPr>
          <w:sz w:val="20"/>
          <w:szCs w:val="18"/>
        </w:rPr>
      </w:pPr>
      <w:r w:rsidRPr="00B21AC2">
        <w:rPr>
          <w:b/>
          <w:bCs/>
          <w:sz w:val="20"/>
          <w:szCs w:val="18"/>
        </w:rPr>
        <w:t>Datapoint types</w:t>
      </w:r>
      <w:r w:rsidRPr="00B21AC2">
        <w:rPr>
          <w:sz w:val="20"/>
          <w:szCs w:val="18"/>
        </w:rPr>
        <w:t>: ESRS datapoints are categorised into numerical, semi-narrative and narrative; and,</w:t>
      </w:r>
    </w:p>
    <w:p w14:paraId="735C55A7" w14:textId="700FAF62" w:rsidR="00B21AC2" w:rsidRPr="00B21AC2" w:rsidRDefault="00B21AC2" w:rsidP="00B21AC2">
      <w:pPr>
        <w:numPr>
          <w:ilvl w:val="0"/>
          <w:numId w:val="47"/>
        </w:numPr>
        <w:rPr>
          <w:sz w:val="20"/>
          <w:szCs w:val="18"/>
        </w:rPr>
      </w:pPr>
      <w:r w:rsidRPr="00B21AC2">
        <w:rPr>
          <w:b/>
          <w:bCs/>
          <w:sz w:val="20"/>
          <w:szCs w:val="18"/>
        </w:rPr>
        <w:t>Interoperability with other sustainability reporting frameworks:</w:t>
      </w:r>
      <w:r w:rsidRPr="00B21AC2">
        <w:rPr>
          <w:sz w:val="20"/>
          <w:szCs w:val="18"/>
        </w:rPr>
        <w:t xml:space="preserve"> ensuring alignment with other frameworks such as the ISSB’s IFRS Sustainability Disclosure and the Global Reporting Initiative (GRI).</w:t>
      </w:r>
    </w:p>
    <w:p w14:paraId="384ED3DD" w14:textId="47767C55" w:rsidR="00B21AC2" w:rsidRPr="00B21AC2" w:rsidRDefault="00B21AC2" w:rsidP="00B21AC2">
      <w:pPr>
        <w:rPr>
          <w:sz w:val="20"/>
          <w:szCs w:val="18"/>
        </w:rPr>
      </w:pPr>
      <w:r w:rsidRPr="00B21AC2">
        <w:rPr>
          <w:sz w:val="20"/>
          <w:szCs w:val="18"/>
        </w:rPr>
        <w:t>Overall, CDP supports the approach of using these three pillars as guiding principles for the proposed RTS design, as they are well-defined components that can provide structure and a clear direction. Nonetheless, it is important to highlight the evolving policy context, including initiatives</w:t>
      </w:r>
      <w:r w:rsidR="00696E68">
        <w:rPr>
          <w:sz w:val="20"/>
          <w:szCs w:val="18"/>
        </w:rPr>
        <w:t xml:space="preserve"> impacting sustainable reporting</w:t>
      </w:r>
      <w:r w:rsidRPr="00B21AC2">
        <w:rPr>
          <w:sz w:val="20"/>
          <w:szCs w:val="18"/>
        </w:rPr>
        <w:t>—such as the Omnibus Simplification Package</w:t>
      </w:r>
      <w:r w:rsidR="00696E68">
        <w:rPr>
          <w:sz w:val="20"/>
          <w:szCs w:val="18"/>
        </w:rPr>
        <w:t xml:space="preserve"> I</w:t>
      </w:r>
      <w:r w:rsidRPr="00B21AC2">
        <w:rPr>
          <w:sz w:val="20"/>
          <w:szCs w:val="18"/>
        </w:rPr>
        <w:t>—which could influence the selection of these pillars as criteria for a comprehensive, extensive, and granular assessment framework.</w:t>
      </w:r>
    </w:p>
    <w:p w14:paraId="4322AA37" w14:textId="77777777" w:rsidR="00B21AC2" w:rsidRPr="00B21AC2" w:rsidRDefault="00B21AC2" w:rsidP="00B21AC2">
      <w:pPr>
        <w:rPr>
          <w:sz w:val="20"/>
          <w:szCs w:val="18"/>
        </w:rPr>
      </w:pPr>
      <w:r w:rsidRPr="00B21AC2">
        <w:rPr>
          <w:sz w:val="20"/>
          <w:szCs w:val="18"/>
        </w:rPr>
        <w:t xml:space="preserve">CDP considers the application of these pillars within the phased-in approach to be complex, highly technical, and extensive, potentially leading to misunderstandings and challenges for practitioners. </w:t>
      </w:r>
      <w:r w:rsidRPr="00B21AC2">
        <w:rPr>
          <w:b/>
          <w:bCs/>
          <w:sz w:val="20"/>
          <w:szCs w:val="18"/>
        </w:rPr>
        <w:t>CDP encourages further clarification and simplification of how these pillars are integrated and applied across different elements of the proposal</w:t>
      </w:r>
      <w:r w:rsidRPr="00B21AC2">
        <w:rPr>
          <w:sz w:val="20"/>
          <w:szCs w:val="18"/>
        </w:rPr>
        <w:t>.</w:t>
      </w:r>
    </w:p>
    <w:p w14:paraId="23E8CD29" w14:textId="77777777" w:rsidR="00B21AC2" w:rsidRPr="00B21AC2" w:rsidRDefault="00B21AC2" w:rsidP="00B21AC2">
      <w:pPr>
        <w:rPr>
          <w:sz w:val="20"/>
          <w:szCs w:val="18"/>
        </w:rPr>
      </w:pPr>
      <w:r w:rsidRPr="00B21AC2">
        <w:rPr>
          <w:sz w:val="20"/>
          <w:szCs w:val="18"/>
        </w:rPr>
        <w:t xml:space="preserve">An example of this concern is the proposal’s notes on digital taxonomy alignment between the International Financial Reporting Standards (IFRS) International Sustainability Standards Board (ISSB) and the European Financial Reporting Advisory Group (EFRAG) European Sustainability Reporting Standards (ESRS). </w:t>
      </w:r>
      <w:r w:rsidRPr="00B21AC2">
        <w:rPr>
          <w:b/>
          <w:bCs/>
          <w:sz w:val="20"/>
          <w:szCs w:val="18"/>
        </w:rPr>
        <w:t>While the proposal acknowledges the need for concordance among standards, it misses a valuable opportunity to suggest how reporters can reconcile the two digital taxonomies</w:t>
      </w:r>
      <w:r w:rsidRPr="00B21AC2">
        <w:rPr>
          <w:sz w:val="20"/>
          <w:szCs w:val="18"/>
        </w:rPr>
        <w:t xml:space="preserve">. </w:t>
      </w:r>
    </w:p>
    <w:p w14:paraId="351354D1" w14:textId="77777777" w:rsidR="00B21AC2" w:rsidRPr="00B21AC2" w:rsidRDefault="00B21AC2" w:rsidP="00B21AC2">
      <w:pPr>
        <w:rPr>
          <w:sz w:val="20"/>
          <w:szCs w:val="18"/>
        </w:rPr>
      </w:pPr>
      <w:r w:rsidRPr="00B21AC2">
        <w:rPr>
          <w:sz w:val="20"/>
          <w:szCs w:val="18"/>
        </w:rPr>
        <w:t xml:space="preserve">CDP recognizes that the reporting burden companies face does not primarily stem from digital tagging. This step represents the final stage of the process and accounts for only a small portion of the overall effort required for sustainability reporting. In this regard, the RTS should ensure technical accessibility—understood as ease of interpretation and applicability—to prevent unnecessary challenges for preparers. </w:t>
      </w:r>
    </w:p>
    <w:p w14:paraId="41A9B53C" w14:textId="77777777" w:rsidR="00B21AC2" w:rsidRPr="00B21AC2" w:rsidRDefault="00B21AC2" w:rsidP="00B21AC2">
      <w:pPr>
        <w:rPr>
          <w:b/>
          <w:bCs/>
          <w:sz w:val="20"/>
          <w:szCs w:val="18"/>
        </w:rPr>
      </w:pPr>
      <w:r w:rsidRPr="00B21AC2">
        <w:rPr>
          <w:sz w:val="20"/>
          <w:szCs w:val="18"/>
        </w:rPr>
        <w:t xml:space="preserve">While ESMA considers and approaches the objective of reducing the burden for preparers, it must do so without compromising the availability of actionable and granular data. Disaggregated data is a core element of sustainability reporting, enhancing market stability, transparency, and efficiency while advancing the EU’s digital agenda. </w:t>
      </w:r>
      <w:r w:rsidRPr="00B21AC2">
        <w:rPr>
          <w:b/>
          <w:bCs/>
          <w:sz w:val="20"/>
          <w:szCs w:val="18"/>
        </w:rPr>
        <w:t>The proposed RTS must not overlook the goal of ensuring that granular data is digitally tagged in a way that allows interoperability across jurisdictions and data requestors.</w:t>
      </w:r>
    </w:p>
    <w:p w14:paraId="269A9A70" w14:textId="484C9505" w:rsidR="00B21AC2" w:rsidRPr="00B21AC2" w:rsidRDefault="00B21AC2" w:rsidP="00B21AC2">
      <w:pPr>
        <w:rPr>
          <w:sz w:val="20"/>
          <w:szCs w:val="18"/>
        </w:rPr>
      </w:pPr>
      <w:r w:rsidRPr="00B21AC2">
        <w:rPr>
          <w:sz w:val="20"/>
          <w:szCs w:val="18"/>
        </w:rPr>
        <w:t xml:space="preserve">Digitally standardizing sustainability reporting data is essential for increasing adoption. CDP follows this approach by integrating multiple frameworks into a single, actionable questionnaire—a significant step in this direction. </w:t>
      </w:r>
      <w:r w:rsidRPr="00B21AC2">
        <w:rPr>
          <w:b/>
          <w:bCs/>
          <w:sz w:val="20"/>
          <w:szCs w:val="18"/>
        </w:rPr>
        <w:t xml:space="preserve">CDP’s 'Write Once, Use Many' approach </w:t>
      </w:r>
      <w:r w:rsidRPr="00B21AC2">
        <w:rPr>
          <w:sz w:val="20"/>
          <w:szCs w:val="18"/>
        </w:rPr>
        <w:t xml:space="preserve">ensures that sustainability data not only supports regulatory compliance but also informs investment planning, risk management, and </w:t>
      </w:r>
      <w:r w:rsidR="004C6BF7">
        <w:rPr>
          <w:sz w:val="20"/>
          <w:szCs w:val="18"/>
        </w:rPr>
        <w:t xml:space="preserve">overall reflects a </w:t>
      </w:r>
      <w:r w:rsidRPr="00B21AC2">
        <w:rPr>
          <w:sz w:val="20"/>
          <w:szCs w:val="18"/>
        </w:rPr>
        <w:t xml:space="preserve">competitive </w:t>
      </w:r>
      <w:r w:rsidR="00CB23A8">
        <w:rPr>
          <w:sz w:val="20"/>
          <w:szCs w:val="18"/>
        </w:rPr>
        <w:t>advantage</w:t>
      </w:r>
      <w:r w:rsidRPr="00B21AC2">
        <w:rPr>
          <w:sz w:val="20"/>
          <w:szCs w:val="18"/>
        </w:rPr>
        <w:t xml:space="preserve">. </w:t>
      </w:r>
    </w:p>
    <w:p w14:paraId="142373C9" w14:textId="77777777" w:rsidR="00B21AC2" w:rsidRPr="00B21AC2" w:rsidRDefault="00B21AC2" w:rsidP="00B21AC2">
      <w:pPr>
        <w:rPr>
          <w:sz w:val="20"/>
          <w:szCs w:val="18"/>
        </w:rPr>
      </w:pPr>
      <w:r w:rsidRPr="00B21AC2">
        <w:rPr>
          <w:sz w:val="20"/>
          <w:szCs w:val="18"/>
        </w:rPr>
        <w:t>Following the above call of aiming for marking up a high level of disaggregated data, while considering that data comparability and minimising reporting burden are the key objectives driving interoperability and concordance in this proposal, CDP suggests the following approach:</w:t>
      </w:r>
    </w:p>
    <w:p w14:paraId="2F1DA93B" w14:textId="41BEBCE4" w:rsidR="00B21AC2" w:rsidRPr="00B21AC2" w:rsidRDefault="00B21AC2" w:rsidP="00B21AC2">
      <w:pPr>
        <w:numPr>
          <w:ilvl w:val="1"/>
          <w:numId w:val="46"/>
        </w:numPr>
        <w:rPr>
          <w:sz w:val="20"/>
          <w:szCs w:val="18"/>
        </w:rPr>
      </w:pPr>
      <w:r w:rsidRPr="00B21AC2">
        <w:rPr>
          <w:b/>
          <w:bCs/>
          <w:sz w:val="20"/>
          <w:szCs w:val="18"/>
        </w:rPr>
        <w:t>Move towards developing common data tags</w:t>
      </w:r>
      <w:r w:rsidRPr="00B21AC2">
        <w:rPr>
          <w:sz w:val="20"/>
          <w:szCs w:val="18"/>
        </w:rPr>
        <w:t xml:space="preserve"> and publish digital concordance tables across ISSB and ESRS and other global standards, anchored in a common lexicon of reporting concepts and validation rules. </w:t>
      </w:r>
    </w:p>
    <w:p w14:paraId="1FF213A7" w14:textId="6B690C1F" w:rsidR="00B21AC2" w:rsidRPr="00B21AC2" w:rsidRDefault="00B21AC2" w:rsidP="00B21AC2">
      <w:pPr>
        <w:numPr>
          <w:ilvl w:val="1"/>
          <w:numId w:val="46"/>
        </w:numPr>
        <w:rPr>
          <w:b/>
          <w:bCs/>
          <w:sz w:val="20"/>
          <w:szCs w:val="18"/>
        </w:rPr>
      </w:pPr>
      <w:r w:rsidRPr="00B21AC2">
        <w:rPr>
          <w:b/>
          <w:bCs/>
          <w:sz w:val="20"/>
          <w:szCs w:val="18"/>
        </w:rPr>
        <w:t>Reduce the need for multi-tagging or over-tagging of the same information to ensure data quality and clarity</w:t>
      </w:r>
      <w:r w:rsidRPr="00B21AC2">
        <w:rPr>
          <w:sz w:val="20"/>
          <w:szCs w:val="18"/>
        </w:rPr>
        <w:t>. This should be made possible by enhancing the global relevance and comparability of EU datasets (e.g. by enabling a flexible approach to mark-up in areas such as GHG scopes reporting, consolidation approaches</w:t>
      </w:r>
      <w:r w:rsidR="00E96C97">
        <w:rPr>
          <w:sz w:val="20"/>
          <w:szCs w:val="18"/>
        </w:rPr>
        <w:t>, etc.</w:t>
      </w:r>
      <w:r w:rsidRPr="00B21AC2">
        <w:rPr>
          <w:sz w:val="20"/>
          <w:szCs w:val="18"/>
        </w:rPr>
        <w:t>).</w:t>
      </w:r>
    </w:p>
    <w:p w14:paraId="24E8B1A1" w14:textId="77777777" w:rsidR="00B21AC2" w:rsidRPr="00B21AC2" w:rsidRDefault="00B21AC2" w:rsidP="00B21AC2">
      <w:pPr>
        <w:rPr>
          <w:b/>
          <w:bCs/>
          <w:sz w:val="20"/>
          <w:szCs w:val="18"/>
        </w:rPr>
      </w:pPr>
      <w:r w:rsidRPr="00B21AC2">
        <w:rPr>
          <w:sz w:val="20"/>
          <w:szCs w:val="18"/>
        </w:rPr>
        <w:t xml:space="preserve">Further, recognizing the need for capacity building and guidance to enable a smooth implementation of the mark-up rules under the RTS, CDP recommends the following action: </w:t>
      </w:r>
    </w:p>
    <w:p w14:paraId="0DF33DAA" w14:textId="77777777" w:rsidR="00B21AC2" w:rsidRPr="00B21AC2" w:rsidRDefault="00B21AC2" w:rsidP="00B21AC2">
      <w:pPr>
        <w:numPr>
          <w:ilvl w:val="1"/>
          <w:numId w:val="46"/>
        </w:numPr>
        <w:rPr>
          <w:sz w:val="20"/>
          <w:szCs w:val="18"/>
        </w:rPr>
      </w:pPr>
      <w:r w:rsidRPr="00B21AC2">
        <w:rPr>
          <w:b/>
          <w:bCs/>
          <w:sz w:val="20"/>
          <w:szCs w:val="18"/>
        </w:rPr>
        <w:t>Make explicit, the relationship between the digital taxonomy elements and the IG 3: List of ESRS datapoints file published by EFRAG</w:t>
      </w:r>
      <w:r w:rsidRPr="00B21AC2">
        <w:rPr>
          <w:sz w:val="20"/>
          <w:szCs w:val="18"/>
        </w:rPr>
        <w:t xml:space="preserve">, to help disclosers navigate the standard and the digital taxonomy. This is because the IG 3 file is widely used by disclosers to inform data collection and it would be important to reflect any additional granularity present in the digital taxonomy in the IG 3 version, to bring more clarity to reporting.  This suggestion is in line with the following statement in paragraph 15 of the RTS: </w:t>
      </w:r>
    </w:p>
    <w:p w14:paraId="2FB135EF" w14:textId="4BFB1588" w:rsidR="00B21AC2" w:rsidRPr="00B21AC2" w:rsidRDefault="00B21AC2" w:rsidP="00B21AC2">
      <w:pPr>
        <w:numPr>
          <w:ilvl w:val="2"/>
          <w:numId w:val="46"/>
        </w:numPr>
        <w:rPr>
          <w:sz w:val="20"/>
          <w:szCs w:val="18"/>
        </w:rPr>
      </w:pPr>
      <w:r w:rsidRPr="00B21AC2">
        <w:rPr>
          <w:sz w:val="20"/>
          <w:szCs w:val="18"/>
        </w:rPr>
        <w:t>“</w:t>
      </w:r>
      <w:r w:rsidRPr="00B21AC2">
        <w:rPr>
          <w:i/>
          <w:iCs/>
          <w:sz w:val="20"/>
          <w:szCs w:val="18"/>
        </w:rPr>
        <w:t>The elements created in the taxonomy must only be those necessary for the disclosure of the datapoints described in the ESRS (including both information that is phrased with the words ‘shall’ and ‘may’ in the standards), with no more or no less granularity than in the human-readable ESRS Set 1</w:t>
      </w:r>
      <w:r w:rsidRPr="00B21AC2">
        <w:rPr>
          <w:sz w:val="20"/>
          <w:szCs w:val="18"/>
        </w:rPr>
        <w:t xml:space="preserve">.” </w:t>
      </w:r>
    </w:p>
    <w:p w14:paraId="771223CA" w14:textId="5185414E" w:rsidR="005C473B" w:rsidRPr="00AF763D" w:rsidRDefault="00B21AC2" w:rsidP="00B21AC2">
      <w:pPr>
        <w:rPr>
          <w:sz w:val="20"/>
          <w:szCs w:val="18"/>
        </w:rPr>
      </w:pPr>
      <w:r w:rsidRPr="00B21AC2">
        <w:rPr>
          <w:sz w:val="20"/>
          <w:szCs w:val="18"/>
        </w:rPr>
        <w:t>The objective of this specific recommendation is to achieve a one-to-one correspondence between a) the elements in the taxonomy, b) the paragraphs, subparagraphs and sub-subparagraphs in the standards and c) the IG3 file published by EFRAG</w:t>
      </w:r>
      <w:r>
        <w:rPr>
          <w:sz w:val="20"/>
          <w:szCs w:val="18"/>
        </w:rPr>
        <w:t>.</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3487238F" w14:textId="7A6B4784" w:rsidR="006B5DF1" w:rsidRDefault="005C473B" w:rsidP="007E01DA">
      <w:pPr>
        <w:rPr>
          <w:b/>
          <w:bCs/>
          <w:sz w:val="20"/>
          <w:szCs w:val="18"/>
        </w:rPr>
      </w:pPr>
      <w:permStart w:id="731332295" w:edGrp="everyone"/>
      <w:r w:rsidRPr="005C473B">
        <w:rPr>
          <w:b/>
          <w:bCs/>
          <w:sz w:val="20"/>
          <w:szCs w:val="18"/>
        </w:rPr>
        <w:t>CDP acknowledges the value of ESMA’s pursued objective of having fully marked-up sustainability statements</w:t>
      </w:r>
      <w:r w:rsidRPr="005C473B">
        <w:rPr>
          <w:sz w:val="20"/>
          <w:szCs w:val="18"/>
        </w:rPr>
        <w:t>. However, to achieve this ESMA recommends a phased implementation over three phases, each lasting two years. The proposed phased-in approach and timeline seems disproportionate in terms of what could be achieved in a shorter period, under a relatively small costs or burden. Recalling that the digital tagging is just the last part of the sustainable reporting process</w:t>
      </w:r>
      <w:r w:rsidRPr="005C473B">
        <w:rPr>
          <w:b/>
          <w:bCs/>
          <w:sz w:val="20"/>
          <w:szCs w:val="18"/>
        </w:rPr>
        <w:t>, CDP data shows high-level of disclosure with over 24,000 organizations around the world disclosing data in 202</w:t>
      </w:r>
      <w:r w:rsidR="00365364">
        <w:rPr>
          <w:b/>
          <w:bCs/>
          <w:sz w:val="20"/>
          <w:szCs w:val="18"/>
        </w:rPr>
        <w:t>4</w:t>
      </w:r>
      <w:r>
        <w:rPr>
          <w:b/>
          <w:bCs/>
          <w:sz w:val="20"/>
          <w:szCs w:val="18"/>
        </w:rPr>
        <w:t>.</w:t>
      </w:r>
    </w:p>
    <w:p w14:paraId="2784646D" w14:textId="736743A0" w:rsidR="005C473B" w:rsidRPr="00C71634" w:rsidRDefault="005C473B" w:rsidP="007E01DA">
      <w:pPr>
        <w:rPr>
          <w:sz w:val="20"/>
          <w:szCs w:val="18"/>
        </w:rPr>
      </w:pPr>
      <w:r w:rsidRPr="00C71634">
        <w:rPr>
          <w:sz w:val="20"/>
          <w:szCs w:val="18"/>
        </w:rPr>
        <w:t>The</w:t>
      </w:r>
      <w:r w:rsidR="003906FE">
        <w:rPr>
          <w:sz w:val="20"/>
          <w:szCs w:val="18"/>
        </w:rPr>
        <w:t xml:space="preserve"> RTS</w:t>
      </w:r>
      <w:r w:rsidRPr="00C71634">
        <w:rPr>
          <w:sz w:val="20"/>
          <w:szCs w:val="18"/>
        </w:rPr>
        <w:t xml:space="preserve"> suggested times for the phased-in approach could mean that </w:t>
      </w:r>
      <w:r w:rsidRPr="00C71634">
        <w:rPr>
          <w:b/>
          <w:bCs/>
          <w:sz w:val="20"/>
          <w:szCs w:val="18"/>
        </w:rPr>
        <w:t>the availability of fully marked up data could be delayed up to 2030+ accounting for the further 2-year content mark-up phase ins.</w:t>
      </w:r>
      <w:r w:rsidRPr="00C71634">
        <w:rPr>
          <w:sz w:val="20"/>
          <w:szCs w:val="18"/>
        </w:rPr>
        <w:t xml:space="preserve"> This conflicting timelines between the Corporate Sustainability Reporting Directive (CSRD) and the proposed RTS creates an uncalled bifurcation between the reporting and mark up implementation timelines. </w:t>
      </w:r>
    </w:p>
    <w:p w14:paraId="294D3ED0" w14:textId="698ED741" w:rsidR="005C473B" w:rsidRPr="00C71634" w:rsidRDefault="005C473B" w:rsidP="007E01DA">
      <w:pPr>
        <w:rPr>
          <w:sz w:val="20"/>
          <w:szCs w:val="18"/>
        </w:rPr>
      </w:pPr>
      <w:r w:rsidRPr="00C71634">
        <w:rPr>
          <w:sz w:val="20"/>
          <w:szCs w:val="18"/>
        </w:rPr>
        <w:t xml:space="preserve">The proposal aims to synchronise the implementation of digital reporting requirements with the European Single Access Point’s (ESAP) implementation, considering that “misalignment between these timelines could jeopardise the success of the ESAP”. </w:t>
      </w:r>
      <w:r w:rsidRPr="00C71634">
        <w:rPr>
          <w:b/>
          <w:bCs/>
          <w:sz w:val="20"/>
          <w:szCs w:val="18"/>
        </w:rPr>
        <w:t>CDP’s stance is different, as digital reporting should be linked to the exercise of reporting itself, rather than to the existence of a future dataspace</w:t>
      </w:r>
      <w:r w:rsidRPr="00C71634">
        <w:rPr>
          <w:sz w:val="20"/>
          <w:szCs w:val="18"/>
        </w:rPr>
        <w:t>, both from a conceptual and practical point of view. The availability of digital reports beforehand is something that enables and guarantees the existence and functionality of ESAP.</w:t>
      </w:r>
    </w:p>
    <w:p w14:paraId="346FB7B3" w14:textId="1E41A065" w:rsidR="005C473B" w:rsidRPr="00C71634" w:rsidRDefault="005C473B" w:rsidP="007E01DA">
      <w:pPr>
        <w:rPr>
          <w:sz w:val="20"/>
          <w:szCs w:val="18"/>
        </w:rPr>
      </w:pPr>
      <w:r w:rsidRPr="00C71634">
        <w:rPr>
          <w:sz w:val="20"/>
          <w:szCs w:val="18"/>
        </w:rPr>
        <w:t xml:space="preserve">Thus, in the interest of ensuring a smooth operationalisation of the regulations and global market clarity, </w:t>
      </w:r>
      <w:r w:rsidRPr="00C71634">
        <w:rPr>
          <w:b/>
          <w:bCs/>
          <w:sz w:val="20"/>
          <w:szCs w:val="18"/>
        </w:rPr>
        <w:t>CDP recommends the following timeline alternative</w:t>
      </w:r>
      <w:r w:rsidRPr="00C71634">
        <w:rPr>
          <w:sz w:val="20"/>
          <w:szCs w:val="18"/>
        </w:rPr>
        <w:t xml:space="preserve">: </w:t>
      </w:r>
    </w:p>
    <w:p w14:paraId="0BF9B56D" w14:textId="02EDC326" w:rsidR="005C473B" w:rsidRPr="00C71634" w:rsidRDefault="005C473B" w:rsidP="007E01DA">
      <w:pPr>
        <w:numPr>
          <w:ilvl w:val="0"/>
          <w:numId w:val="46"/>
        </w:numPr>
        <w:rPr>
          <w:sz w:val="20"/>
          <w:szCs w:val="18"/>
        </w:rPr>
      </w:pPr>
      <w:r w:rsidRPr="00C71634">
        <w:rPr>
          <w:b/>
          <w:bCs/>
          <w:sz w:val="20"/>
          <w:szCs w:val="18"/>
        </w:rPr>
        <w:t>Reducing phases from 3 to 2 and align the RTS timelines with the CSRD timelines</w:t>
      </w:r>
      <w:r w:rsidRPr="00C71634">
        <w:rPr>
          <w:sz w:val="20"/>
          <w:szCs w:val="18"/>
        </w:rPr>
        <w:t>. This is rooted in the understanding that companies have already been preparing themselves to report to the CSRD for the last two years and many of them have already published their first CSRD report —it is expected that approximately 11,000 companies complete their CSRD report in 2025. In addition, the ESRS Set 1 XBRL Taxonomy has been available since August 2024.</w:t>
      </w:r>
    </w:p>
    <w:p w14:paraId="113D4598" w14:textId="4A22491D" w:rsidR="005C473B" w:rsidRPr="00C71634" w:rsidRDefault="005C473B" w:rsidP="007E01DA">
      <w:pPr>
        <w:rPr>
          <w:sz w:val="20"/>
          <w:szCs w:val="18"/>
        </w:rPr>
      </w:pPr>
      <w:r w:rsidRPr="00C71634">
        <w:rPr>
          <w:sz w:val="20"/>
          <w:szCs w:val="18"/>
        </w:rPr>
        <w:t xml:space="preserve">The potential timelines amendments that could come through with the approval of Omnibus Simplification Package could grant the additional time required to formulate the digital reporting without creating unnecessary delays. </w:t>
      </w:r>
      <w:r w:rsidRPr="00C71634">
        <w:rPr>
          <w:b/>
          <w:bCs/>
          <w:sz w:val="20"/>
          <w:szCs w:val="18"/>
        </w:rPr>
        <w:t>This</w:t>
      </w:r>
      <w:r w:rsidRPr="00C71634">
        <w:rPr>
          <w:sz w:val="20"/>
          <w:szCs w:val="18"/>
        </w:rPr>
        <w:t xml:space="preserve"> </w:t>
      </w:r>
      <w:r w:rsidRPr="00C71634">
        <w:rPr>
          <w:b/>
          <w:bCs/>
          <w:sz w:val="20"/>
          <w:szCs w:val="18"/>
        </w:rPr>
        <w:t>alignment with the CSRD provides a more reasonable and clearer timeline that could be complemented with further flexibility for organisations that already started with their reporting journey</w:t>
      </w:r>
      <w:r w:rsidRPr="00C71634">
        <w:rPr>
          <w:sz w:val="20"/>
          <w:szCs w:val="18"/>
        </w:rPr>
        <w:t xml:space="preserve">. </w:t>
      </w:r>
    </w:p>
    <w:p w14:paraId="76A392E2" w14:textId="77777777" w:rsidR="005C473B" w:rsidRPr="00C71634" w:rsidRDefault="005C473B" w:rsidP="007E01DA">
      <w:pPr>
        <w:rPr>
          <w:sz w:val="20"/>
          <w:szCs w:val="18"/>
        </w:rPr>
      </w:pPr>
      <w:r w:rsidRPr="00C71634">
        <w:rPr>
          <w:sz w:val="20"/>
          <w:szCs w:val="18"/>
        </w:rPr>
        <w:t xml:space="preserve">The RTS proposal should complement the ongoing reporting process to ensure that both machine- and human-readable reports are available. Otherwise, requiring an </w:t>
      </w:r>
      <w:proofErr w:type="spellStart"/>
      <w:r w:rsidRPr="00C71634">
        <w:rPr>
          <w:sz w:val="20"/>
          <w:szCs w:val="18"/>
        </w:rPr>
        <w:t>analog</w:t>
      </w:r>
      <w:proofErr w:type="spellEnd"/>
      <w:r w:rsidRPr="00C71634">
        <w:rPr>
          <w:sz w:val="20"/>
          <w:szCs w:val="18"/>
        </w:rPr>
        <w:t xml:space="preserve"> report for one or more reporting periods and then transitioning to a digital format would create unnecessary rework for issuers, as they would need to redesign systems, procedures, and controls to accommodate the change</w:t>
      </w:r>
    </w:p>
    <w:p w14:paraId="334A4ECB" w14:textId="04AC304E" w:rsidR="005C473B" w:rsidRPr="00AF763D" w:rsidRDefault="005C473B" w:rsidP="007E01DA">
      <w:pPr>
        <w:rPr>
          <w:sz w:val="20"/>
          <w:szCs w:val="18"/>
        </w:rPr>
      </w:pPr>
      <w:r w:rsidRPr="00C71634">
        <w:rPr>
          <w:sz w:val="20"/>
          <w:szCs w:val="18"/>
        </w:rPr>
        <w:t xml:space="preserve">A last remark on the proposed timeline is that </w:t>
      </w:r>
      <w:r w:rsidRPr="00C71634">
        <w:rPr>
          <w:b/>
          <w:bCs/>
          <w:sz w:val="20"/>
          <w:szCs w:val="18"/>
        </w:rPr>
        <w:t>CDP welcomes the given flexibility for companies to choose to voluntarily implement subsequent mark-ups ahead of schedule or to mark up additional information</w:t>
      </w:r>
      <w:r w:rsidRPr="00C71634">
        <w:rPr>
          <w:sz w:val="20"/>
          <w:szCs w:val="18"/>
        </w:rPr>
        <w:t>, something that should be kept under the proposed amendment</w:t>
      </w:r>
      <w:r w:rsidR="007E01DA">
        <w:rPr>
          <w:sz w:val="20"/>
          <w:szCs w:val="18"/>
        </w:rPr>
        <w:t>.</w:t>
      </w:r>
    </w:p>
    <w:permEnd w:id="731332295"/>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7B5A0410" w14:textId="77777777" w:rsidR="00B85659" w:rsidRPr="00B85659" w:rsidRDefault="00B85659" w:rsidP="00B85659">
      <w:pPr>
        <w:rPr>
          <w:sz w:val="20"/>
          <w:szCs w:val="18"/>
        </w:rPr>
      </w:pPr>
      <w:permStart w:id="2077629217" w:edGrp="everyone"/>
      <w:r w:rsidRPr="00B85659">
        <w:rPr>
          <w:sz w:val="20"/>
          <w:szCs w:val="18"/>
        </w:rPr>
        <w:t xml:space="preserve">ESMA’s RTS proposal suggests an additional phase-in for the submission of marked-up reports beyond the CSRD phase-ins that differentiates between large public interest entities (PIEs) and PIEs that are parent undertaking, and large undertakings that are non-PIEs nor PIEs parent undertakings: </w:t>
      </w:r>
    </w:p>
    <w:p w14:paraId="475ACCE7" w14:textId="77777777" w:rsidR="00B85659" w:rsidRPr="00B85659" w:rsidRDefault="00B85659" w:rsidP="00B85659">
      <w:pPr>
        <w:numPr>
          <w:ilvl w:val="1"/>
          <w:numId w:val="46"/>
        </w:numPr>
        <w:rPr>
          <w:sz w:val="20"/>
          <w:szCs w:val="18"/>
        </w:rPr>
      </w:pPr>
      <w:r w:rsidRPr="00B85659">
        <w:rPr>
          <w:sz w:val="20"/>
          <w:szCs w:val="18"/>
        </w:rPr>
        <w:t xml:space="preserve">Large public interest entities (PIEs) and PIEs that are parent undertakings (including third country issuers) of a large group are required to comply with the RTS in year N or N+1 depending on when the RTS amendments are published. </w:t>
      </w:r>
    </w:p>
    <w:p w14:paraId="017393C3" w14:textId="77777777" w:rsidR="00B85659" w:rsidRPr="00B85659" w:rsidRDefault="00B85659" w:rsidP="00B85659">
      <w:pPr>
        <w:numPr>
          <w:ilvl w:val="1"/>
          <w:numId w:val="46"/>
        </w:numPr>
        <w:rPr>
          <w:sz w:val="20"/>
          <w:szCs w:val="18"/>
        </w:rPr>
      </w:pPr>
      <w:r w:rsidRPr="00B85659">
        <w:rPr>
          <w:sz w:val="20"/>
          <w:szCs w:val="18"/>
        </w:rPr>
        <w:t>Large undertakings that are non-PIEs or non-PIE parent undertakings of large groups (including third country issuers) are required to mark up in N+1 or N+2 based on when the RTS amendments are published.</w:t>
      </w:r>
    </w:p>
    <w:p w14:paraId="4FE397B3" w14:textId="248E1C5D" w:rsidR="007D4F05" w:rsidRPr="00B85659" w:rsidRDefault="00B85659" w:rsidP="00B85659">
      <w:pPr>
        <w:rPr>
          <w:b/>
          <w:bCs/>
          <w:sz w:val="20"/>
          <w:szCs w:val="18"/>
          <w:lang w:val="en-US"/>
        </w:rPr>
      </w:pPr>
      <w:r w:rsidRPr="00B85659">
        <w:rPr>
          <w:sz w:val="20"/>
          <w:szCs w:val="18"/>
          <w:lang w:val="en-US"/>
        </w:rPr>
        <w:t>The proposed RTS seem to attempt</w:t>
      </w:r>
      <w:r w:rsidR="003071AD">
        <w:rPr>
          <w:sz w:val="20"/>
          <w:szCs w:val="18"/>
          <w:lang w:val="en-US"/>
        </w:rPr>
        <w:t xml:space="preserve"> to</w:t>
      </w:r>
      <w:r w:rsidRPr="00B85659">
        <w:rPr>
          <w:sz w:val="20"/>
          <w:szCs w:val="18"/>
          <w:lang w:val="en-US"/>
        </w:rPr>
        <w:t xml:space="preserve"> follow the CSRD approach, which grants large undertakings new to reporting an additional year for their first implementation, recognizing the time and investment required to establish data collection systems and processes. However, it is unclear why this approach is necessary in the proposed RTS, as it may cause confusion and unnecessary delays. </w:t>
      </w:r>
      <w:r w:rsidRPr="00B85659">
        <w:rPr>
          <w:b/>
          <w:bCs/>
          <w:sz w:val="20"/>
          <w:szCs w:val="18"/>
          <w:lang w:val="en-US"/>
        </w:rPr>
        <w:t>There is no clear justification or evidence for treating large private companies differently from PIEs.</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1DF50AC8" w14:textId="30C8E4C5" w:rsidR="00533B82" w:rsidRPr="00533B82" w:rsidRDefault="00533B82" w:rsidP="00533B82">
      <w:pPr>
        <w:rPr>
          <w:sz w:val="20"/>
          <w:szCs w:val="18"/>
        </w:rPr>
      </w:pPr>
      <w:permStart w:id="91707497" w:edGrp="everyone"/>
      <w:r w:rsidRPr="00533B82">
        <w:rPr>
          <w:sz w:val="20"/>
          <w:szCs w:val="18"/>
        </w:rPr>
        <w:t xml:space="preserve">The RTS proposal identifies 3 phases across which data reported under the ESRS standards should be marked up. The 3 phases are as shown in the table of “Figure 6: Summary of Phases and Content” of the proposed RTS shown below to provide the proposed content of the mark-up content requirements for per phase: </w:t>
      </w:r>
    </w:p>
    <w:p w14:paraId="5CAB5F24" w14:textId="77777777" w:rsidR="00533B82" w:rsidRPr="00533B82" w:rsidRDefault="00533B82" w:rsidP="00533B82">
      <w:pPr>
        <w:jc w:val="center"/>
        <w:rPr>
          <w:sz w:val="20"/>
          <w:szCs w:val="18"/>
        </w:rPr>
      </w:pPr>
      <w:r w:rsidRPr="00533B82">
        <w:rPr>
          <w:sz w:val="20"/>
          <w:szCs w:val="18"/>
        </w:rPr>
        <w:drawing>
          <wp:inline distT="0" distB="0" distL="0" distR="0" wp14:anchorId="1E435F49" wp14:editId="19AB4891">
            <wp:extent cx="5175518" cy="3105310"/>
            <wp:effectExtent l="0" t="0" r="0" b="0"/>
            <wp:docPr id="1089510889" name="Picture 108951088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10889" name="Picture 1089510889" descr="A screenshot of a computer&#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175518" cy="3105310"/>
                    </a:xfrm>
                    <a:prstGeom prst="rect">
                      <a:avLst/>
                    </a:prstGeom>
                  </pic:spPr>
                </pic:pic>
              </a:graphicData>
            </a:graphic>
          </wp:inline>
        </w:drawing>
      </w:r>
    </w:p>
    <w:p w14:paraId="6541704A" w14:textId="091CC4A1" w:rsidR="00533B82" w:rsidRPr="00533B82" w:rsidRDefault="00533B82" w:rsidP="00533B82">
      <w:pPr>
        <w:rPr>
          <w:sz w:val="20"/>
          <w:szCs w:val="18"/>
        </w:rPr>
      </w:pPr>
      <w:r w:rsidRPr="00533B82">
        <w:rPr>
          <w:sz w:val="20"/>
          <w:szCs w:val="18"/>
        </w:rPr>
        <w:t xml:space="preserve">As shown in the image, </w:t>
      </w:r>
      <w:r w:rsidRPr="00533B82">
        <w:rPr>
          <w:b/>
          <w:bCs/>
          <w:sz w:val="20"/>
          <w:szCs w:val="18"/>
        </w:rPr>
        <w:t>CDP considers the proposal highly complex and believes it could lead to the very issue it aims to prevent: an increased burden of digital reporting</w:t>
      </w:r>
      <w:r w:rsidRPr="00533B82">
        <w:rPr>
          <w:sz w:val="20"/>
          <w:szCs w:val="18"/>
        </w:rPr>
        <w:t>. Under this approach, practitioners may face a higher workload by having to assess and map out which data points should not be tagged, rather than adopting a more holistic approach. For example, excluding different levels of narrative data in phase 1 could be more complicated than simply tagging all narrative data.</w:t>
      </w:r>
    </w:p>
    <w:p w14:paraId="651D963E" w14:textId="4672D765" w:rsidR="00533B82" w:rsidRPr="00533B82" w:rsidRDefault="00533B82" w:rsidP="00533B82">
      <w:pPr>
        <w:rPr>
          <w:sz w:val="20"/>
          <w:szCs w:val="18"/>
        </w:rPr>
      </w:pPr>
      <w:r w:rsidRPr="00533B82">
        <w:rPr>
          <w:sz w:val="20"/>
          <w:szCs w:val="18"/>
        </w:rPr>
        <w:t xml:space="preserve">Having said the above and following the recommendation of the phases in question 2, CDP agrees with the approach of prioritising (as the first datatype to star tagging) quantitative data, aiming to enabling data analysis and quality at the outset. </w:t>
      </w:r>
      <w:proofErr w:type="gramStart"/>
      <w:r w:rsidRPr="00533B82">
        <w:rPr>
          <w:sz w:val="20"/>
          <w:szCs w:val="18"/>
        </w:rPr>
        <w:t>In light of</w:t>
      </w:r>
      <w:proofErr w:type="gramEnd"/>
      <w:r w:rsidRPr="00533B82">
        <w:rPr>
          <w:sz w:val="20"/>
          <w:szCs w:val="18"/>
        </w:rPr>
        <w:t xml:space="preserve"> this, </w:t>
      </w:r>
      <w:r w:rsidRPr="00533B82">
        <w:rPr>
          <w:b/>
          <w:bCs/>
          <w:sz w:val="20"/>
          <w:szCs w:val="18"/>
        </w:rPr>
        <w:t>CDP recommends 2 phases</w:t>
      </w:r>
      <w:r w:rsidRPr="00533B82">
        <w:rPr>
          <w:sz w:val="20"/>
          <w:szCs w:val="18"/>
        </w:rPr>
        <w:t>:</w:t>
      </w:r>
    </w:p>
    <w:p w14:paraId="3B19ACA1" w14:textId="4F901223" w:rsidR="00533B82" w:rsidRPr="00533B82" w:rsidRDefault="00533B82" w:rsidP="00533B82">
      <w:pPr>
        <w:numPr>
          <w:ilvl w:val="1"/>
          <w:numId w:val="48"/>
        </w:numPr>
        <w:rPr>
          <w:sz w:val="20"/>
          <w:szCs w:val="18"/>
        </w:rPr>
      </w:pPr>
      <w:r w:rsidRPr="00533B82">
        <w:rPr>
          <w:b/>
          <w:bCs/>
          <w:sz w:val="20"/>
          <w:szCs w:val="18"/>
        </w:rPr>
        <w:t>Phase 1</w:t>
      </w:r>
      <w:r w:rsidRPr="00533B82">
        <w:rPr>
          <w:sz w:val="20"/>
          <w:szCs w:val="18"/>
        </w:rPr>
        <w:t xml:space="preserve">: Complete marking-up all ESRS </w:t>
      </w:r>
      <w:r w:rsidRPr="00533B82">
        <w:rPr>
          <w:b/>
          <w:bCs/>
          <w:sz w:val="20"/>
          <w:szCs w:val="18"/>
        </w:rPr>
        <w:t xml:space="preserve">quantitative </w:t>
      </w:r>
      <w:r w:rsidRPr="00533B82">
        <w:rPr>
          <w:sz w:val="20"/>
          <w:szCs w:val="18"/>
        </w:rPr>
        <w:t>datapoints (</w:t>
      </w:r>
      <w:proofErr w:type="spellStart"/>
      <w:r w:rsidR="00656AB6">
        <w:rPr>
          <w:sz w:val="20"/>
          <w:szCs w:val="18"/>
        </w:rPr>
        <w:t>volunatry</w:t>
      </w:r>
      <w:proofErr w:type="spellEnd"/>
      <w:r w:rsidRPr="00533B82">
        <w:rPr>
          <w:sz w:val="20"/>
          <w:szCs w:val="18"/>
        </w:rPr>
        <w:t xml:space="preserve"> entity-specific and “may datapoints). Flexibility for voluntarily marking up semi-narrative and narrative datapoints.</w:t>
      </w:r>
    </w:p>
    <w:p w14:paraId="630069BD" w14:textId="77777777" w:rsidR="00533B82" w:rsidRPr="00533B82" w:rsidRDefault="00533B82" w:rsidP="00533B82">
      <w:pPr>
        <w:numPr>
          <w:ilvl w:val="1"/>
          <w:numId w:val="48"/>
        </w:numPr>
        <w:rPr>
          <w:sz w:val="20"/>
          <w:szCs w:val="18"/>
        </w:rPr>
      </w:pPr>
      <w:r w:rsidRPr="00533B82">
        <w:rPr>
          <w:b/>
          <w:bCs/>
          <w:sz w:val="20"/>
          <w:szCs w:val="18"/>
        </w:rPr>
        <w:t>Phase 2</w:t>
      </w:r>
      <w:r w:rsidRPr="00533B82">
        <w:rPr>
          <w:sz w:val="20"/>
          <w:szCs w:val="18"/>
        </w:rPr>
        <w:t xml:space="preserve">: Complete marking-up all ESRS </w:t>
      </w:r>
      <w:r w:rsidRPr="00533B82">
        <w:rPr>
          <w:b/>
          <w:bCs/>
          <w:sz w:val="20"/>
          <w:szCs w:val="18"/>
        </w:rPr>
        <w:t>quantitative, semi-narrative and narrative</w:t>
      </w:r>
      <w:r w:rsidRPr="00533B82">
        <w:rPr>
          <w:sz w:val="20"/>
          <w:szCs w:val="18"/>
        </w:rPr>
        <w:t xml:space="preserve"> datapoints. </w:t>
      </w:r>
    </w:p>
    <w:p w14:paraId="21E55BEB" w14:textId="77777777" w:rsidR="00533B82" w:rsidRDefault="00533B82" w:rsidP="00533B82">
      <w:pPr>
        <w:rPr>
          <w:sz w:val="20"/>
          <w:szCs w:val="18"/>
        </w:rPr>
      </w:pPr>
      <w:r w:rsidRPr="00533B82">
        <w:rPr>
          <w:sz w:val="20"/>
          <w:szCs w:val="18"/>
        </w:rPr>
        <w:t>CDP acknowledges the importance of semi-narrative markups in bringing structure to narratives. The proposal to move these data points to the second phase aims to reduce the burden of preparing digital reports for the first time and to prioritize efforts on quantitative figures. Additionally, the proposed timelines would help streamline the collection of this data, making the process more efficient and expedient.</w:t>
      </w:r>
    </w:p>
    <w:p w14:paraId="7703FB31" w14:textId="24AE350B" w:rsidR="00533B82" w:rsidRPr="00533B82" w:rsidRDefault="003766D0" w:rsidP="00533B82">
      <w:pPr>
        <w:rPr>
          <w:b/>
          <w:bCs/>
          <w:sz w:val="20"/>
          <w:szCs w:val="18"/>
        </w:rPr>
      </w:pPr>
      <w:r w:rsidRPr="003766D0">
        <w:rPr>
          <w:b/>
          <w:bCs/>
          <w:sz w:val="20"/>
          <w:szCs w:val="18"/>
        </w:rPr>
        <w:t xml:space="preserve">The suggested 2 phased approach should be accompanied by the development of clear validation rules and guidelines to streamline multi-markups. </w:t>
      </w:r>
      <w:r w:rsidRPr="003766D0">
        <w:rPr>
          <w:sz w:val="20"/>
          <w:szCs w:val="18"/>
        </w:rPr>
        <w:t xml:space="preserve">Particularly, </w:t>
      </w:r>
      <w:r w:rsidR="00FB098D">
        <w:rPr>
          <w:sz w:val="20"/>
          <w:szCs w:val="18"/>
        </w:rPr>
        <w:t>P</w:t>
      </w:r>
      <w:r w:rsidRPr="003766D0">
        <w:rPr>
          <w:sz w:val="20"/>
          <w:szCs w:val="18"/>
        </w:rPr>
        <w:t xml:space="preserve">hase 1's focus on quantitative data points should include additional validation rules, </w:t>
      </w:r>
      <w:proofErr w:type="gramStart"/>
      <w:r w:rsidRPr="003766D0">
        <w:rPr>
          <w:sz w:val="20"/>
          <w:szCs w:val="18"/>
        </w:rPr>
        <w:t>similar to</w:t>
      </w:r>
      <w:proofErr w:type="gramEnd"/>
      <w:r w:rsidRPr="003766D0">
        <w:rPr>
          <w:sz w:val="20"/>
          <w:szCs w:val="18"/>
        </w:rPr>
        <w:t xml:space="preserve"> those suggested for Phase 2 in the original proposal. These validation rules are extremely important for ensuring the quality of quantitative data, particularly regarding units. The RTS should specify units as metadata for quantitative data points to enhance comparability</w:t>
      </w:r>
      <w:r w:rsidRPr="003766D0">
        <w:rPr>
          <w:sz w:val="20"/>
          <w:szCs w:val="18"/>
        </w:rPr>
        <w:t>. These efforts could be further enhanced with capacity-building initiatives that guide practitioners and simplify the digital reporting process</w:t>
      </w:r>
      <w:r w:rsidR="00533B82" w:rsidRPr="00533B82">
        <w:rPr>
          <w:sz w:val="20"/>
          <w:szCs w:val="18"/>
        </w:rPr>
        <w:t>.</w:t>
      </w:r>
    </w:p>
    <w:p w14:paraId="2F4B7CE0" w14:textId="6BC5793E" w:rsidR="007D4F05" w:rsidRPr="00AF763D" w:rsidRDefault="00533B82" w:rsidP="00533B82">
      <w:pPr>
        <w:rPr>
          <w:sz w:val="20"/>
          <w:szCs w:val="18"/>
        </w:rPr>
      </w:pPr>
      <w:r w:rsidRPr="00533B82">
        <w:rPr>
          <w:sz w:val="20"/>
          <w:szCs w:val="18"/>
        </w:rPr>
        <w:t>Finally, in the context of the Omnibus Simplification Package proposal to remove the sector-specific standards, CDP makes a call to ESMA to further develop</w:t>
      </w:r>
      <w:r w:rsidR="007A3DDD">
        <w:rPr>
          <w:sz w:val="20"/>
          <w:szCs w:val="18"/>
        </w:rPr>
        <w:t xml:space="preserve"> guidance</w:t>
      </w:r>
      <w:r w:rsidRPr="00533B82">
        <w:rPr>
          <w:sz w:val="20"/>
          <w:szCs w:val="18"/>
        </w:rPr>
        <w:t xml:space="preserve"> and consider the plans on “</w:t>
      </w:r>
      <w:r w:rsidRPr="00533B82">
        <w:rPr>
          <w:i/>
          <w:iCs/>
          <w:sz w:val="20"/>
          <w:szCs w:val="18"/>
        </w:rPr>
        <w:t>establishing digital relationships between IROs, Policies, Actions, Targets and Metrics to be marked up in the corresponding sectoral disclosures using the corresponding fact-to-fact relationship defined in the ESRS XBRL core taxonomy</w:t>
      </w:r>
      <w:r w:rsidRPr="00533B82">
        <w:rPr>
          <w:sz w:val="20"/>
          <w:szCs w:val="18"/>
        </w:rPr>
        <w:t>”.</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5A7A9FE6" w14:textId="4C6D5F2F" w:rsidR="007D4F05" w:rsidRPr="007D14C5" w:rsidRDefault="007D14C5" w:rsidP="007D4F05">
      <w:pPr>
        <w:spacing w:after="0"/>
        <w:rPr>
          <w:sz w:val="20"/>
          <w:szCs w:val="18"/>
          <w:lang w:val="en-US"/>
        </w:rPr>
      </w:pPr>
      <w:permStart w:id="1008013103" w:edGrp="everyone"/>
      <w:r w:rsidRPr="007D14C5">
        <w:rPr>
          <w:b/>
          <w:bCs/>
          <w:sz w:val="20"/>
          <w:szCs w:val="18"/>
        </w:rPr>
        <w:t>CDP shares ESMA’s view on the relevance of having clarity on the implementation timelines</w:t>
      </w:r>
      <w:r w:rsidRPr="007D14C5">
        <w:rPr>
          <w:sz w:val="20"/>
          <w:szCs w:val="18"/>
        </w:rPr>
        <w:t xml:space="preserve">. Nonetheless, the content demarcation under each of the suggested phase-in seems too complicated (as described in Questions 2, 3 &amp; 4). </w:t>
      </w:r>
      <w:r w:rsidRPr="007D14C5">
        <w:rPr>
          <w:sz w:val="20"/>
          <w:szCs w:val="18"/>
          <w:lang w:val="en-US"/>
        </w:rPr>
        <w:t xml:space="preserve">Instead of the suggested approach and following the previous recommendation on the content for the timelines, </w:t>
      </w:r>
      <w:r w:rsidRPr="007D14C5">
        <w:rPr>
          <w:sz w:val="20"/>
          <w:szCs w:val="18"/>
        </w:rPr>
        <w:t>CDP proposes the limiting of the phases to 2 at the most, giving starting priority to numerical quantitative mark-ups while retaining the flexibility for voluntarily semi-narrative and narrative markups.</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1CE1FBD6" w:rsidR="007D4F05" w:rsidRPr="00AF763D" w:rsidRDefault="00E079DC" w:rsidP="007D4F05">
      <w:pPr>
        <w:spacing w:after="0"/>
        <w:rPr>
          <w:sz w:val="20"/>
          <w:szCs w:val="18"/>
        </w:rPr>
      </w:pPr>
      <w:permStart w:id="772892299" w:edGrp="everyone"/>
      <w:r w:rsidRPr="00E079DC">
        <w:rPr>
          <w:sz w:val="20"/>
          <w:szCs w:val="18"/>
          <w:lang w:val="en-US"/>
        </w:rPr>
        <w:lastRenderedPageBreak/>
        <w:t>CDP supports the approach to limit XBRL extensions as much as possible, given that extension elements are typically not comparable across entities, making them less useful than base taxonomy elements. However, these extensions can be valuable for longitudinal analysis and completeness. The ability to develop extensions allows standard and framework setters to identify opportunities for improving base taxonomies. For example, CDP's disclosure platform collecting on plastics and sector-specific datapoints showcases the benefits from this flexibility</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77777777" w:rsidR="007D4F05" w:rsidRPr="00AF763D" w:rsidRDefault="007D4F05" w:rsidP="007D4F05">
      <w:pPr>
        <w:spacing w:after="0"/>
        <w:rPr>
          <w:sz w:val="20"/>
          <w:szCs w:val="18"/>
        </w:rPr>
      </w:pPr>
      <w:permStart w:id="638739279" w:edGrp="everyone"/>
      <w:r w:rsidRPr="00AF763D">
        <w:rPr>
          <w:sz w:val="20"/>
          <w:szCs w:val="18"/>
        </w:rPr>
        <w:t>TYPE YOUR TEXT HERE</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DC6361"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77777777" w:rsidR="006A64ED" w:rsidRPr="00AF763D" w:rsidRDefault="006A64ED" w:rsidP="006A64ED">
      <w:pPr>
        <w:spacing w:after="0"/>
        <w:rPr>
          <w:sz w:val="20"/>
          <w:szCs w:val="18"/>
        </w:rPr>
      </w:pPr>
      <w:permStart w:id="43591955" w:edGrp="everyone"/>
      <w:r w:rsidRPr="00AF763D">
        <w:rPr>
          <w:sz w:val="20"/>
          <w:szCs w:val="18"/>
        </w:rPr>
        <w:t>TYPE YOUR TEXT HERE</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0975A356" w:rsidR="006A64ED" w:rsidRPr="00AF763D" w:rsidRDefault="00682BCA" w:rsidP="006A64ED">
      <w:pPr>
        <w:spacing w:after="0"/>
        <w:rPr>
          <w:sz w:val="20"/>
          <w:szCs w:val="18"/>
        </w:rPr>
      </w:pPr>
      <w:permStart w:id="611662945" w:edGrp="everyone"/>
      <w:r w:rsidRPr="00682BCA">
        <w:rPr>
          <w:sz w:val="20"/>
          <w:szCs w:val="18"/>
        </w:rPr>
        <w:t>Following the rationale provided in response to Question 3, CDP considers the differentiation between PIEs and large non-PIEs to be unclear and unfounded, as there is no clear justification or explanation of its benefits. Therefore, CDP recommends not pursuing this differentiation when entities mark up their Article 8 sustainability disclosures</w:t>
      </w:r>
      <w:r>
        <w:rPr>
          <w:sz w:val="20"/>
          <w:szCs w:val="18"/>
        </w:rPr>
        <w:t>.</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77777777" w:rsidR="006A64ED" w:rsidRPr="00AF763D" w:rsidRDefault="006A64ED" w:rsidP="006A64ED">
      <w:pPr>
        <w:spacing w:after="0"/>
        <w:rPr>
          <w:sz w:val="20"/>
          <w:szCs w:val="18"/>
        </w:rPr>
      </w:pPr>
      <w:permStart w:id="2102669281" w:edGrp="everyone"/>
      <w:r w:rsidRPr="00AF763D">
        <w:rPr>
          <w:sz w:val="20"/>
          <w:szCs w:val="18"/>
        </w:rPr>
        <w:t>TYPE YOUR TEXT HERE</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77777777" w:rsidR="006A64ED" w:rsidRPr="00AF763D" w:rsidRDefault="006A64ED" w:rsidP="006A64ED">
      <w:pPr>
        <w:spacing w:after="0"/>
        <w:rPr>
          <w:sz w:val="20"/>
          <w:szCs w:val="18"/>
        </w:rPr>
      </w:pPr>
      <w:permStart w:id="74010525" w:edGrp="everyone"/>
      <w:r w:rsidRPr="00AF763D">
        <w:rPr>
          <w:sz w:val="20"/>
          <w:szCs w:val="18"/>
        </w:rPr>
        <w:t>TYPE YOUR TEXT HERE</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DC6361"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lastRenderedPageBreak/>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777777" w:rsidR="006A64ED" w:rsidRPr="00AF763D" w:rsidRDefault="006A64ED"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7777777"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5CFCA40D" w14:textId="77777777" w:rsidR="006A64ED" w:rsidRPr="00AF763D" w:rsidRDefault="006A64ED" w:rsidP="006A64ED">
      <w:pPr>
        <w:spacing w:after="0"/>
        <w:rPr>
          <w:sz w:val="20"/>
          <w:szCs w:val="18"/>
        </w:rPr>
      </w:pPr>
      <w:permStart w:id="1401631365" w:edGrp="everyone"/>
      <w:r w:rsidRPr="00AF763D">
        <w:rPr>
          <w:sz w:val="20"/>
          <w:szCs w:val="18"/>
        </w:rPr>
        <w:t>TYPE YOUR TEXT HERE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DC6361"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8A15A24" w14:textId="77777777" w:rsidR="006A64ED" w:rsidRPr="00AF763D" w:rsidRDefault="006A64ED" w:rsidP="006A64ED">
      <w:pPr>
        <w:spacing w:after="0"/>
        <w:rPr>
          <w:sz w:val="20"/>
          <w:szCs w:val="18"/>
        </w:rPr>
      </w:pPr>
      <w:permStart w:id="1970232525" w:edGrp="everyone"/>
      <w:r w:rsidRPr="00AF763D">
        <w:rPr>
          <w:sz w:val="20"/>
          <w:szCs w:val="18"/>
        </w:rPr>
        <w:t>TYPE YOUR TEXT HERE</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70277F5" w14:textId="77777777" w:rsidR="006A64ED" w:rsidRPr="00AF763D" w:rsidRDefault="006A64ED" w:rsidP="006A64ED">
      <w:pPr>
        <w:spacing w:after="0"/>
        <w:rPr>
          <w:sz w:val="20"/>
          <w:szCs w:val="18"/>
        </w:rPr>
      </w:pPr>
      <w:permStart w:id="481916913" w:edGrp="everyone"/>
      <w:r w:rsidRPr="00AF763D">
        <w:rPr>
          <w:sz w:val="20"/>
          <w:szCs w:val="18"/>
        </w:rPr>
        <w:t>TYPE YOUR TEXT HERE</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471B4256" w14:textId="77777777" w:rsidR="006A64ED" w:rsidRPr="00AF763D" w:rsidRDefault="006A64ED" w:rsidP="006A64ED">
      <w:pPr>
        <w:spacing w:after="0"/>
        <w:rPr>
          <w:sz w:val="20"/>
          <w:szCs w:val="18"/>
        </w:rPr>
      </w:pPr>
      <w:permStart w:id="662070572" w:edGrp="everyone"/>
      <w:r w:rsidRPr="00AF763D">
        <w:rPr>
          <w:sz w:val="20"/>
          <w:szCs w:val="18"/>
        </w:rPr>
        <w:t>TYPE YOUR TEXT HERE</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lastRenderedPageBreak/>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3DB53B89" w14:textId="77777777" w:rsidR="006A64ED" w:rsidRPr="00AF763D" w:rsidRDefault="006A64ED" w:rsidP="006A64ED">
      <w:pPr>
        <w:spacing w:after="0"/>
        <w:rPr>
          <w:sz w:val="20"/>
          <w:szCs w:val="18"/>
        </w:rPr>
      </w:pPr>
      <w:permStart w:id="419173650" w:edGrp="everyone"/>
      <w:r w:rsidRPr="00AF763D">
        <w:rPr>
          <w:sz w:val="20"/>
          <w:szCs w:val="18"/>
        </w:rPr>
        <w:t>TYPE YOUR TEXT HERE</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1A6B95C" w14:textId="77777777" w:rsidR="006A64ED" w:rsidRPr="00AF763D" w:rsidRDefault="006A64ED" w:rsidP="006A64ED">
      <w:pPr>
        <w:spacing w:after="0"/>
        <w:rPr>
          <w:sz w:val="20"/>
          <w:szCs w:val="18"/>
        </w:rPr>
      </w:pPr>
      <w:permStart w:id="83845519" w:edGrp="everyone"/>
      <w:r w:rsidRPr="00AF763D">
        <w:rPr>
          <w:sz w:val="20"/>
          <w:szCs w:val="18"/>
        </w:rPr>
        <w:t>TYPE YOUR TEXT HERE</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7E11D364" w14:textId="77777777" w:rsidR="006A64ED" w:rsidRPr="00AF763D" w:rsidRDefault="006A64ED" w:rsidP="006A64ED">
      <w:pPr>
        <w:spacing w:after="0"/>
        <w:rPr>
          <w:sz w:val="20"/>
          <w:szCs w:val="18"/>
        </w:rPr>
      </w:pPr>
      <w:permStart w:id="1357663695" w:edGrp="everyone"/>
      <w:r w:rsidRPr="00AF763D">
        <w:rPr>
          <w:sz w:val="20"/>
          <w:szCs w:val="18"/>
        </w:rPr>
        <w:t>TYPE YOUR TEXT HERE</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B128B8D" w14:textId="77777777" w:rsidR="006A64ED" w:rsidRPr="00AF763D" w:rsidRDefault="006A64ED" w:rsidP="006A64ED">
      <w:pPr>
        <w:spacing w:after="0"/>
        <w:rPr>
          <w:sz w:val="20"/>
          <w:szCs w:val="18"/>
        </w:rPr>
      </w:pPr>
      <w:permStart w:id="268056993" w:edGrp="everyone"/>
      <w:r w:rsidRPr="00AF763D">
        <w:rPr>
          <w:sz w:val="20"/>
          <w:szCs w:val="18"/>
        </w:rPr>
        <w:t>TYPE YOUR TEXT HERE</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0AC41E" w14:textId="77777777" w:rsidR="006A64ED" w:rsidRPr="00AF763D" w:rsidRDefault="006A64ED" w:rsidP="006A64ED">
      <w:pPr>
        <w:spacing w:after="0"/>
        <w:rPr>
          <w:sz w:val="20"/>
          <w:szCs w:val="18"/>
        </w:rPr>
      </w:pPr>
      <w:permStart w:id="1477533567" w:edGrp="everyone"/>
      <w:r w:rsidRPr="00AF763D">
        <w:rPr>
          <w:sz w:val="20"/>
          <w:szCs w:val="18"/>
        </w:rPr>
        <w:t>TYPE YOUR TEXT HERE</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DC6361"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DC6361">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DC6361"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EE90BB9" w14:textId="77777777" w:rsidR="00AF763D" w:rsidRPr="00AF763D" w:rsidRDefault="00AF763D" w:rsidP="00AF763D">
      <w:pPr>
        <w:spacing w:after="0"/>
        <w:rPr>
          <w:sz w:val="20"/>
          <w:szCs w:val="18"/>
        </w:rPr>
      </w:pPr>
      <w:permStart w:id="1231181901" w:edGrp="everyone"/>
      <w:r w:rsidRPr="00AF763D">
        <w:rPr>
          <w:sz w:val="20"/>
          <w:szCs w:val="18"/>
        </w:rPr>
        <w:t>TYPE YOUR TEXT HERE</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lastRenderedPageBreak/>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DC6361">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DC6361"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lastRenderedPageBreak/>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79AF" w14:textId="77777777" w:rsidR="00A54EA6" w:rsidRDefault="00A54EA6" w:rsidP="00F716D4">
      <w:r>
        <w:separator/>
      </w:r>
    </w:p>
    <w:p w14:paraId="2DBB23FD" w14:textId="77777777" w:rsidR="00A54EA6" w:rsidRDefault="00A54EA6" w:rsidP="00F716D4"/>
  </w:endnote>
  <w:endnote w:type="continuationSeparator" w:id="0">
    <w:p w14:paraId="3132A1DE" w14:textId="77777777" w:rsidR="00A54EA6" w:rsidRDefault="00A54EA6" w:rsidP="00F716D4">
      <w:r>
        <w:continuationSeparator/>
      </w:r>
    </w:p>
    <w:p w14:paraId="7E78805C" w14:textId="77777777" w:rsidR="00A54EA6" w:rsidRDefault="00A54EA6" w:rsidP="00F716D4"/>
  </w:endnote>
  <w:endnote w:type="continuationNotice" w:id="1">
    <w:p w14:paraId="31032E99" w14:textId="77777777" w:rsidR="00A54EA6" w:rsidRDefault="00A54EA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FCB8" w14:textId="77777777" w:rsidR="00A54EA6" w:rsidRDefault="00A54EA6" w:rsidP="00F716D4">
      <w:r>
        <w:separator/>
      </w:r>
    </w:p>
    <w:p w14:paraId="4144F7C9" w14:textId="77777777" w:rsidR="00A54EA6" w:rsidRDefault="00A54EA6" w:rsidP="00F716D4"/>
  </w:footnote>
  <w:footnote w:type="continuationSeparator" w:id="0">
    <w:p w14:paraId="4AD90A96" w14:textId="77777777" w:rsidR="00A54EA6" w:rsidRDefault="00A54EA6" w:rsidP="00F716D4">
      <w:r>
        <w:continuationSeparator/>
      </w:r>
    </w:p>
    <w:p w14:paraId="03780C97" w14:textId="77777777" w:rsidR="00A54EA6" w:rsidRDefault="00A54EA6" w:rsidP="00F716D4"/>
  </w:footnote>
  <w:footnote w:type="continuationNotice" w:id="1">
    <w:p w14:paraId="01FD9025" w14:textId="77777777" w:rsidR="00A54EA6" w:rsidRDefault="00A54EA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793EC5"/>
    <w:multiLevelType w:val="hybridMultilevel"/>
    <w:tmpl w:val="9998D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52E381F"/>
    <w:multiLevelType w:val="hybridMultilevel"/>
    <w:tmpl w:val="767AB97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9C7B95"/>
    <w:multiLevelType w:val="hybridMultilevel"/>
    <w:tmpl w:val="927C4C6C"/>
    <w:lvl w:ilvl="0" w:tplc="D1A42100">
      <w:numFmt w:val="bullet"/>
      <w:lvlText w:val="-"/>
      <w:lvlJc w:val="left"/>
      <w:pPr>
        <w:ind w:left="720" w:hanging="360"/>
      </w:pPr>
      <w:rPr>
        <w:rFonts w:ascii="Roboto Light" w:eastAsiaTheme="minorHAnsi" w:hAnsi="Roboto Light"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4"/>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2"/>
  </w:num>
  <w:num w:numId="9" w16cid:durableId="100884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8"/>
  </w:num>
  <w:num w:numId="12" w16cid:durableId="1500659627">
    <w:abstractNumId w:val="31"/>
  </w:num>
  <w:num w:numId="13" w16cid:durableId="1879658227">
    <w:abstractNumId w:val="23"/>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6"/>
  </w:num>
  <w:num w:numId="20" w16cid:durableId="1805388212">
    <w:abstractNumId w:val="36"/>
  </w:num>
  <w:num w:numId="21" w16cid:durableId="538709007">
    <w:abstractNumId w:val="25"/>
  </w:num>
  <w:num w:numId="22" w16cid:durableId="104540172">
    <w:abstractNumId w:val="8"/>
  </w:num>
  <w:num w:numId="23" w16cid:durableId="1824349076">
    <w:abstractNumId w:val="30"/>
  </w:num>
  <w:num w:numId="24" w16cid:durableId="672032853">
    <w:abstractNumId w:val="29"/>
  </w:num>
  <w:num w:numId="25" w16cid:durableId="48917541">
    <w:abstractNumId w:val="20"/>
  </w:num>
  <w:num w:numId="26" w16cid:durableId="978925443">
    <w:abstractNumId w:val="33"/>
  </w:num>
  <w:num w:numId="27" w16cid:durableId="1036613928">
    <w:abstractNumId w:val="38"/>
  </w:num>
  <w:num w:numId="28" w16cid:durableId="872039349">
    <w:abstractNumId w:val="6"/>
  </w:num>
  <w:num w:numId="29" w16cid:durableId="924530660">
    <w:abstractNumId w:val="2"/>
  </w:num>
  <w:num w:numId="30" w16cid:durableId="419180233">
    <w:abstractNumId w:val="22"/>
  </w:num>
  <w:num w:numId="31" w16cid:durableId="276761337">
    <w:abstractNumId w:val="21"/>
  </w:num>
  <w:num w:numId="32" w16cid:durableId="1166238383">
    <w:abstractNumId w:val="35"/>
  </w:num>
  <w:num w:numId="33" w16cid:durableId="2076850202">
    <w:abstractNumId w:val="34"/>
  </w:num>
  <w:num w:numId="34" w16cid:durableId="469176496">
    <w:abstractNumId w:val="11"/>
  </w:num>
  <w:num w:numId="35" w16cid:durableId="674843309">
    <w:abstractNumId w:val="17"/>
  </w:num>
  <w:num w:numId="36" w16cid:durableId="1954971501">
    <w:abstractNumId w:val="39"/>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 w:numId="46" w16cid:durableId="397434990">
    <w:abstractNumId w:val="5"/>
  </w:num>
  <w:num w:numId="47" w16cid:durableId="743840320">
    <w:abstractNumId w:val="19"/>
  </w:num>
  <w:num w:numId="48" w16cid:durableId="2035576918">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8">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75D"/>
    <w:rsid w:val="00300F56"/>
    <w:rsid w:val="00301006"/>
    <w:rsid w:val="0030108F"/>
    <w:rsid w:val="00301C2B"/>
    <w:rsid w:val="00304A71"/>
    <w:rsid w:val="003066C8"/>
    <w:rsid w:val="003071AD"/>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64"/>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6D0"/>
    <w:rsid w:val="00376B02"/>
    <w:rsid w:val="0037733A"/>
    <w:rsid w:val="003776DC"/>
    <w:rsid w:val="003779C1"/>
    <w:rsid w:val="00380FEC"/>
    <w:rsid w:val="00381226"/>
    <w:rsid w:val="00381B1B"/>
    <w:rsid w:val="00381FF6"/>
    <w:rsid w:val="00383D7D"/>
    <w:rsid w:val="00384CCE"/>
    <w:rsid w:val="003865E5"/>
    <w:rsid w:val="003906FE"/>
    <w:rsid w:val="003926C1"/>
    <w:rsid w:val="00392900"/>
    <w:rsid w:val="00393357"/>
    <w:rsid w:val="00395008"/>
    <w:rsid w:val="00395E7B"/>
    <w:rsid w:val="00395F18"/>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E9C"/>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6D3A"/>
    <w:rsid w:val="004B71C7"/>
    <w:rsid w:val="004C03AA"/>
    <w:rsid w:val="004C0B9A"/>
    <w:rsid w:val="004C14E7"/>
    <w:rsid w:val="004C1D89"/>
    <w:rsid w:val="004C28D5"/>
    <w:rsid w:val="004C2A94"/>
    <w:rsid w:val="004C2CD0"/>
    <w:rsid w:val="004C3DAB"/>
    <w:rsid w:val="004C5766"/>
    <w:rsid w:val="004C5F54"/>
    <w:rsid w:val="004C6BF7"/>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3B82"/>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73B"/>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1E4"/>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56AB6"/>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2BCA"/>
    <w:rsid w:val="00683920"/>
    <w:rsid w:val="00685147"/>
    <w:rsid w:val="00685653"/>
    <w:rsid w:val="0068590D"/>
    <w:rsid w:val="006859AF"/>
    <w:rsid w:val="00685A89"/>
    <w:rsid w:val="006861B3"/>
    <w:rsid w:val="00686FA2"/>
    <w:rsid w:val="006870C5"/>
    <w:rsid w:val="00690F0E"/>
    <w:rsid w:val="006911C0"/>
    <w:rsid w:val="00691B7C"/>
    <w:rsid w:val="00691E9E"/>
    <w:rsid w:val="00692ADF"/>
    <w:rsid w:val="00694B73"/>
    <w:rsid w:val="00694DF2"/>
    <w:rsid w:val="00695F80"/>
    <w:rsid w:val="006966CD"/>
    <w:rsid w:val="00696735"/>
    <w:rsid w:val="00696E68"/>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2EC3"/>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3DDD"/>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14C5"/>
    <w:rsid w:val="007D21D5"/>
    <w:rsid w:val="007D3E8D"/>
    <w:rsid w:val="007D4F05"/>
    <w:rsid w:val="007D5915"/>
    <w:rsid w:val="007D5B4F"/>
    <w:rsid w:val="007D5C30"/>
    <w:rsid w:val="007E01DA"/>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46A6"/>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4E7"/>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1AC2"/>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0E1"/>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59"/>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1634"/>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A8"/>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332"/>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836"/>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361"/>
    <w:rsid w:val="00DC6463"/>
    <w:rsid w:val="00DC7822"/>
    <w:rsid w:val="00DC78C1"/>
    <w:rsid w:val="00DC7AF1"/>
    <w:rsid w:val="00DD2CDA"/>
    <w:rsid w:val="00DD2D92"/>
    <w:rsid w:val="00DD3026"/>
    <w:rsid w:val="00DD33DC"/>
    <w:rsid w:val="00DD3BB0"/>
    <w:rsid w:val="00DD61F5"/>
    <w:rsid w:val="00DD7418"/>
    <w:rsid w:val="00DE2E6A"/>
    <w:rsid w:val="00DE432B"/>
    <w:rsid w:val="00DE64A6"/>
    <w:rsid w:val="00DE66EB"/>
    <w:rsid w:val="00DE7035"/>
    <w:rsid w:val="00DF12E3"/>
    <w:rsid w:val="00DF1FCE"/>
    <w:rsid w:val="00DF2A20"/>
    <w:rsid w:val="00DF3F1D"/>
    <w:rsid w:val="00DF595C"/>
    <w:rsid w:val="00DF7EA7"/>
    <w:rsid w:val="00E0135F"/>
    <w:rsid w:val="00E04548"/>
    <w:rsid w:val="00E0484E"/>
    <w:rsid w:val="00E063F8"/>
    <w:rsid w:val="00E079DC"/>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6C97"/>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098D"/>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uiPriority w:val="99"/>
    <w:locked/>
    <w:rsid w:val="004B1E61"/>
    <w:rPr>
      <w:sz w:val="16"/>
      <w:szCs w:val="16"/>
    </w:rPr>
  </w:style>
  <w:style w:type="paragraph" w:styleId="CommentText">
    <w:name w:val="annotation text"/>
    <w:basedOn w:val="Normal"/>
    <w:link w:val="CommentTextChar"/>
    <w:uiPriority w:val="99"/>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81818"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81818"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81818"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F0000"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DefaultParagraphFont"/>
    <w:rsid w:val="004E60D2"/>
  </w:style>
  <w:style w:type="character" w:customStyle="1" w:styleId="mandatory">
    <w:name w:val="mandatory"/>
    <w:basedOn w:val="DefaultParagraphFont"/>
    <w:rsid w:val="00E54596"/>
  </w:style>
  <w:style w:type="character" w:customStyle="1" w:styleId="screen-reader-only">
    <w:name w:val="screen-reader-only"/>
    <w:basedOn w:val="DefaultParagraphFont"/>
    <w:rsid w:val="00E54596"/>
  </w:style>
  <w:style w:type="paragraph" w:styleId="NoSpacing">
    <w:name w:val="No Spacing"/>
    <w:uiPriority w:val="1"/>
    <w:qFormat/>
    <w:locked/>
    <w:rsid w:val="000B1586"/>
    <w:pPr>
      <w:jc w:val="both"/>
    </w:pPr>
    <w:rPr>
      <w:rFonts w:ascii="Arial" w:eastAsiaTheme="minorEastAsia" w:hAnsi="Arial" w:cs="Arial"/>
      <w:color w:val="181818" w:themeColor="background1" w:themeShade="1A"/>
      <w:sz w:val="22"/>
      <w:lang w:eastAsia="en-US"/>
    </w:rPr>
  </w:style>
  <w:style w:type="character" w:styleId="Mention">
    <w:name w:val="Mention"/>
    <w:basedOn w:val="DefaultParagraphFont"/>
    <w:uiPriority w:val="99"/>
    <w:unhideWhenUsed/>
    <w:rsid w:val="00C716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b03df4-19ba-413a-9b5e-2388a59103ad" xsi:nil="true"/>
    <lcf76f155ced4ddcb4097134ff3c332f xmlns="3d57f608-8600-4fb6-a8dd-0a08e237b0f0">
      <Terms xmlns="http://schemas.microsoft.com/office/infopath/2007/PartnerControls"/>
    </lcf76f155ced4ddcb4097134ff3c332f>
    <_ip_UnifiedCompliancePolicyUIAction xmlns="http://schemas.microsoft.com/sharepoint/v3" xsi:nil="true"/>
    <Comment xmlns="3d57f608-8600-4fb6-a8dd-0a08e237b0f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4DC9C54989AC478F466B431284A55B" ma:contentTypeVersion="20" ma:contentTypeDescription="Create a new document." ma:contentTypeScope="" ma:versionID="03b8f4b1eb5f712c411c61f75319e4e2">
  <xsd:schema xmlns:xsd="http://www.w3.org/2001/XMLSchema" xmlns:xs="http://www.w3.org/2001/XMLSchema" xmlns:p="http://schemas.microsoft.com/office/2006/metadata/properties" xmlns:ns1="http://schemas.microsoft.com/sharepoint/v3" xmlns:ns2="3d57f608-8600-4fb6-a8dd-0a08e237b0f0" xmlns:ns3="a6b03df4-19ba-413a-9b5e-2388a59103ad" targetNamespace="http://schemas.microsoft.com/office/2006/metadata/properties" ma:root="true" ma:fieldsID="c7503b8e3c1a3acd55c29be61e3d5e86" ns1:_="" ns2:_="" ns3:_="">
    <xsd:import namespace="http://schemas.microsoft.com/sharepoint/v3"/>
    <xsd:import namespace="3d57f608-8600-4fb6-a8dd-0a08e237b0f0"/>
    <xsd:import namespace="a6b03df4-19ba-413a-9b5e-2388a59103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7f608-8600-4fb6-a8dd-0a08e237b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800a4d-6b75-4023-8f7b-3ccf3fa91e54" ma:termSetId="09814cd3-568e-fe90-9814-8d621ff8fb84" ma:anchorId="fba54fb3-c3e1-fe81-a776-ca4b69148c4d" ma:open="true" ma:isKeyword="false">
      <xsd:complexType>
        <xsd:sequence>
          <xsd:element ref="pc:Terms" minOccurs="0" maxOccurs="1"/>
        </xsd:sequence>
      </xsd:complexType>
    </xsd:element>
    <xsd:element name="Comment" ma:index="25" nillable="true" ma:displayName="Comment" ma:format="Dropdown" ma:internalName="Comment">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03df4-19ba-413a-9b5e-2388a59103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384a2-e9e5-4cd5-8d4d-63dfe2486080}" ma:internalName="TaxCatchAll" ma:showField="CatchAllData" ma:web="a6b03df4-19ba-413a-9b5e-2388a5910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C169-B082-42D7-95A8-39DCDC7C43D3}">
  <ds:schemaRefs>
    <ds:schemaRef ds:uri="d0fb0f98-34f9-4d57-9559-eb8efd17aa5e"/>
    <ds:schemaRef ds:uri="http://schemas.microsoft.com/office/2006/metadata/properties"/>
    <ds:schemaRef ds:uri="http://purl.org/dc/terms/"/>
    <ds:schemaRef ds:uri="http://schemas.microsoft.com/office/2006/documentManagement/types"/>
    <ds:schemaRef ds:uri="http://www.w3.org/XML/1998/namespace"/>
    <ds:schemaRef ds:uri="ea984c69-31c5-4466-9245-f1525cd690b9"/>
    <ds:schemaRef ds:uri="http://purl.org/dc/elements/1.1/"/>
    <ds:schemaRef ds:uri="http://schemas.microsoft.com/office/infopath/2007/PartnerControls"/>
    <ds:schemaRef ds:uri="http://schemas.openxmlformats.org/package/2006/metadata/core-properties"/>
    <ds:schemaRef ds:uri="http://purl.org/dc/dcmitype/"/>
    <ds:schemaRef ds:uri="a6b03df4-19ba-413a-9b5e-2388a59103ad"/>
    <ds:schemaRef ds:uri="3d57f608-8600-4fb6-a8dd-0a08e237b0f0"/>
    <ds:schemaRef ds:uri="http://schemas.microsoft.com/sharepoint/v3"/>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A4494BD0-103C-43F6-BAC3-EB3C01B6A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57f608-8600-4fb6-a8dd-0a08e237b0f0"/>
    <ds:schemaRef ds:uri="a6b03df4-19ba-413a-9b5e-2388a5910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Marco Sanchez</cp:lastModifiedBy>
  <cp:revision>2</cp:revision>
  <cp:lastPrinted>2015-02-18T20:01:00Z</cp:lastPrinted>
  <dcterms:created xsi:type="dcterms:W3CDTF">2025-03-31T16:25:00Z</dcterms:created>
  <dcterms:modified xsi:type="dcterms:W3CDTF">2025-03-31T16:25:00Z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0x010100D94DC9C54989AC478F466B431284A55B</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