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EB94E" id="Freeform: Shap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Fonts w:ascii="Aptos" w:eastAsia="Times New Roman" w:hAnsi="Aptos" w:cs="Calibri"/>
              <w:noProof/>
              <w:color w:val="auto"/>
              <w:sz w:val="24"/>
              <w:szCs w:val="24"/>
            </w:rPr>
            <w:id w:val="-179280767"/>
            <w:text/>
          </w:sdtPr>
          <w:sdtContent>
            <w:tc>
              <w:tcPr>
                <w:tcW w:w="6997" w:type="dxa"/>
                <w:gridSpan w:val="4"/>
              </w:tcPr>
              <w:p w14:paraId="0D7893C6" w14:textId="6B7C74AD" w:rsidR="0030108F" w:rsidRDefault="00A07CD6" w:rsidP="008A50BE">
                <w:pPr>
                  <w:spacing w:after="120"/>
                  <w:rPr>
                    <w:sz w:val="20"/>
                    <w:szCs w:val="18"/>
                  </w:rPr>
                </w:pPr>
                <w:r w:rsidRPr="00A07CD6">
                  <w:rPr>
                    <w:rFonts w:ascii="Aptos" w:eastAsia="Times New Roman" w:hAnsi="Aptos" w:cs="Calibri"/>
                    <w:noProof/>
                    <w:color w:val="auto"/>
                    <w:sz w:val="24"/>
                    <w:szCs w:val="24"/>
                  </w:rPr>
                  <w:t>Deloitte Touche Tohmatsu Limited</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6997" w:type="dxa"/>
                <w:gridSpan w:val="4"/>
                <w:vAlign w:val="center"/>
              </w:tcPr>
              <w:p w14:paraId="4CD6FA00" w14:textId="5A1BF760" w:rsidR="00DE432B" w:rsidRDefault="00A07CD6" w:rsidP="008A50BE">
                <w:pPr>
                  <w:spacing w:after="120"/>
                  <w:rPr>
                    <w:sz w:val="20"/>
                    <w:szCs w:val="18"/>
                  </w:rPr>
                </w:pPr>
                <w:r>
                  <w:rPr>
                    <w:sz w:val="20"/>
                    <w:szCs w:val="18"/>
                  </w:rPr>
                  <w:t>International</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Public interest entity (entities governed by the law of an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1"/>
              <w14:checkedState w14:val="2612" w14:font="MS Gothic"/>
              <w14:uncheckedState w14:val="2610" w14:font="MS Gothic"/>
            </w14:checkbox>
          </w:sdtPr>
          <w:sdtContent>
            <w:tc>
              <w:tcPr>
                <w:tcW w:w="425" w:type="dxa"/>
              </w:tcPr>
              <w:p w14:paraId="1008BA75" w14:textId="30C5D0CE" w:rsidR="00A10F6D" w:rsidRDefault="00A07CD6"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showingPlcHdr/>
            <w:text/>
          </w:sdt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cehold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manner in which the various elements and factors are to be considered in developing the marking up rules and the phased approach? If not, please explain your reasons and suggest any elements or factors that should be added or removed, or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5371C29A" w14:textId="77777777" w:rsidR="008A0297" w:rsidRPr="00247CCD" w:rsidRDefault="008A0297" w:rsidP="008A0297">
      <w:pPr>
        <w:spacing w:after="120"/>
        <w:rPr>
          <w:rStyle w:val="cf01"/>
          <w:rFonts w:asciiTheme="minorHAnsi" w:hAnsiTheme="minorHAnsi" w:cstheme="minorHAnsi"/>
          <w:sz w:val="24"/>
          <w:szCs w:val="24"/>
        </w:rPr>
      </w:pPr>
      <w:permStart w:id="1107116594" w:edGrp="everyone"/>
      <w:r w:rsidRPr="00247CCD">
        <w:rPr>
          <w:rFonts w:asciiTheme="minorHAnsi" w:hAnsiTheme="minorHAnsi"/>
        </w:rPr>
        <w:t xml:space="preserve">Among its proposals, the EC’s Omnibus proposals include revisions to European Sustainability Reporting Standards (ESRS). We strongly recommend that any requirements for marking up the ESRS sustainability disclosures be implemented after any amended ESRS are issued by the EC. This will avoid any unnecessary burden to undertakings who would otherwise be required to implement marking up requirements based on current ESRS and then make changes once the standards are amended. </w:t>
      </w:r>
    </w:p>
    <w:p w14:paraId="4E436C21" w14:textId="77777777" w:rsidR="008A0297" w:rsidRPr="00247CCD" w:rsidRDefault="008A0297" w:rsidP="008A0297">
      <w:pPr>
        <w:spacing w:after="120"/>
        <w:rPr>
          <w:rFonts w:asciiTheme="minorHAnsi" w:hAnsiTheme="minorHAnsi" w:cstheme="minorHAnsi"/>
        </w:rPr>
      </w:pPr>
      <w:r w:rsidRPr="00247CCD">
        <w:rPr>
          <w:rFonts w:asciiTheme="minorHAnsi" w:hAnsiTheme="minorHAnsi" w:cstheme="minorBidi"/>
        </w:rPr>
        <w:t xml:space="preserve">We underline the importance of </w:t>
      </w:r>
      <w:r w:rsidRPr="00247CCD">
        <w:rPr>
          <w:rFonts w:asciiTheme="minorHAnsi" w:hAnsiTheme="minorHAnsi"/>
        </w:rPr>
        <w:t>recognising that marking up sustainability and financial disclosures should not be a separate reporting exercise but viewed as an integrated part of the overall reporting process. This ensures that the data remains consistent, coherent, and directly reflective of the source information without requiring additional reporting layers. Structuring reports without concurrent consideration of alignment with the digital taxonomy could lead to increased cost due to added time to mark up, reduced accuracy due to complexity of mapping, increased timeline to publish and provide assurance on report, and a potential need to revisit the structure of the sustainability report in the first year of marking up to adopt a more digital taxonomy-aligned approach. Therefore, it is important that disclosures are presented in a way that is most useful to users as well as facilitating the marking up of disclosures. We encourage ESMA to publish appropriate guidance to help undertakings integrate digital reporting into their reporting process, as this will reinforce the need for a simplified and unified methodology for marking up disclosures across different reporting frameworks.</w:t>
      </w:r>
    </w:p>
    <w:p w14:paraId="0B981432" w14:textId="77777777" w:rsidR="008A0297" w:rsidRPr="00247CCD" w:rsidRDefault="008A0297" w:rsidP="008A0297">
      <w:pPr>
        <w:spacing w:after="120"/>
        <w:rPr>
          <w:rFonts w:asciiTheme="minorHAnsi" w:hAnsiTheme="minorHAnsi"/>
        </w:rPr>
      </w:pPr>
      <w:r w:rsidRPr="00247CCD">
        <w:rPr>
          <w:rFonts w:asciiTheme="minorHAnsi" w:hAnsiTheme="minorHAnsi" w:cstheme="minorHAnsi"/>
        </w:rPr>
        <w:t xml:space="preserve">While we understand the message in paragraph 29, which indicates that when preparing the human-readable sustainability statement the adoption of the data modelling of the taxonomy as a structure (i.e. taxonomy-centric preparation) will facilitate marking up, this needs to be carefully balanced with the need for </w:t>
      </w:r>
      <w:r w:rsidRPr="00DA5E59">
        <w:rPr>
          <w:rStyle w:val="cf01"/>
          <w:rFonts w:asciiTheme="minorHAnsi" w:hAnsiTheme="minorHAnsi"/>
          <w:sz w:val="24"/>
          <w:szCs w:val="24"/>
        </w:rPr>
        <w:t>“</w:t>
      </w:r>
      <w:r w:rsidRPr="00247CCD">
        <w:rPr>
          <w:rStyle w:val="cf01"/>
          <w:rFonts w:asciiTheme="minorHAnsi" w:hAnsiTheme="minorHAnsi" w:cstheme="minorHAnsi"/>
          <w:sz w:val="24"/>
          <w:szCs w:val="24"/>
        </w:rPr>
        <w:t>some degree of freedom to issuers in the way they organise information within the defined parts</w:t>
      </w:r>
      <w:r w:rsidRPr="00DA5E59">
        <w:rPr>
          <w:rStyle w:val="cf01"/>
          <w:rFonts w:asciiTheme="minorHAnsi" w:hAnsiTheme="minorHAnsi" w:cstheme="minorHAnsi"/>
          <w:sz w:val="24"/>
          <w:szCs w:val="24"/>
        </w:rPr>
        <w:t>”</w:t>
      </w:r>
      <w:r w:rsidRPr="00247CCD">
        <w:rPr>
          <w:rStyle w:val="cf01"/>
          <w:rFonts w:asciiTheme="minorHAnsi" w:hAnsiTheme="minorHAnsi" w:cstheme="minorHAnsi"/>
          <w:sz w:val="24"/>
          <w:szCs w:val="24"/>
        </w:rPr>
        <w:t xml:space="preserve"> as per ESMA’s </w:t>
      </w:r>
      <w:r w:rsidRPr="00CD1F5E">
        <w:rPr>
          <w:rFonts w:asciiTheme="minorHAnsi" w:hAnsiTheme="minorHAnsi" w:cstheme="minorHAnsi"/>
        </w:rPr>
        <w:t xml:space="preserve">public statement on 5 </w:t>
      </w:r>
      <w:r w:rsidRPr="00CD1F5E">
        <w:rPr>
          <w:rStyle w:val="cf01"/>
          <w:rFonts w:asciiTheme="minorHAnsi" w:hAnsiTheme="minorHAnsi" w:cstheme="minorHAnsi"/>
          <w:sz w:val="24"/>
          <w:szCs w:val="24"/>
        </w:rPr>
        <w:t>July 2024</w:t>
      </w:r>
      <w:r w:rsidRPr="00247CCD">
        <w:rPr>
          <w:rStyle w:val="cf01"/>
          <w:rFonts w:asciiTheme="minorHAnsi" w:hAnsiTheme="minorHAnsi" w:cstheme="minorHAnsi"/>
          <w:sz w:val="24"/>
          <w:szCs w:val="24"/>
        </w:rPr>
        <w:t>. This flexibility</w:t>
      </w:r>
      <w:r w:rsidRPr="00247CCD">
        <w:rPr>
          <w:rFonts w:asciiTheme="minorHAnsi" w:hAnsiTheme="minorHAnsi"/>
        </w:rPr>
        <w:t xml:space="preserve"> is essential to ensure that disclosures are presented in a way that is most useful to users. </w:t>
      </w:r>
    </w:p>
    <w:p w14:paraId="644B6C59" w14:textId="77777777" w:rsidR="008A0297" w:rsidRPr="00247CCD" w:rsidRDefault="008A0297" w:rsidP="008A0297">
      <w:pPr>
        <w:spacing w:after="120"/>
        <w:rPr>
          <w:rFonts w:asciiTheme="minorHAnsi" w:hAnsiTheme="minorHAnsi"/>
        </w:rPr>
      </w:pPr>
      <w:r w:rsidRPr="00247CCD">
        <w:rPr>
          <w:rFonts w:asciiTheme="minorHAnsi" w:hAnsiTheme="minorHAnsi"/>
        </w:rPr>
        <w:t xml:space="preserve">We believe that field testing of the proposed rules for marking up sustainability reporting is necessary prior to finalising the rules but after the revised ESRS are issued by the EC. Applying proposed </w:t>
      </w:r>
      <w:proofErr w:type="spellStart"/>
      <w:r w:rsidRPr="00247CCD">
        <w:rPr>
          <w:rFonts w:asciiTheme="minorHAnsi" w:hAnsiTheme="minorHAnsi"/>
        </w:rPr>
        <w:t>mark up</w:t>
      </w:r>
      <w:proofErr w:type="spellEnd"/>
      <w:r w:rsidRPr="00247CCD">
        <w:rPr>
          <w:rFonts w:asciiTheme="minorHAnsi" w:hAnsiTheme="minorHAnsi"/>
        </w:rPr>
        <w:t xml:space="preserve"> rules to actual sustainability reports is the best way to determine practicality of the rules and to identify the</w:t>
      </w:r>
      <w:r w:rsidRPr="00247CCD">
        <w:rPr>
          <w:rFonts w:asciiTheme="minorHAnsi" w:hAnsiTheme="minorHAnsi" w:cstheme="minorHAnsi"/>
        </w:rPr>
        <w:t xml:space="preserve"> potential benefits and costs to preparers and users</w:t>
      </w:r>
      <w:r w:rsidRPr="00247CCD">
        <w:rPr>
          <w:rFonts w:asciiTheme="minorHAnsi" w:hAnsiTheme="minorHAnsi"/>
        </w:rPr>
        <w:t xml:space="preserve">. Field testing, or a dry-run, would allow for evaluation of phased approaches, the ability to accurately </w:t>
      </w:r>
      <w:proofErr w:type="spellStart"/>
      <w:r w:rsidRPr="00247CCD">
        <w:rPr>
          <w:rFonts w:asciiTheme="minorHAnsi" w:hAnsiTheme="minorHAnsi"/>
        </w:rPr>
        <w:t>mark up</w:t>
      </w:r>
      <w:proofErr w:type="spellEnd"/>
      <w:r w:rsidRPr="00247CCD">
        <w:rPr>
          <w:rFonts w:asciiTheme="minorHAnsi" w:hAnsiTheme="minorHAnsi"/>
        </w:rPr>
        <w:t xml:space="preserve"> disclosures and determine the effort needed to apply the rules. We noted that the lack of marked up actual reports made it more difficult to respond to the Consultation. The structure of actual reports and how they interplay with the core taxonomy is key in determining practicality of the rules. We also believe that it would be valuable for ESMA to create examples of marked up disclosures and clear guidance on applying the core digital taxonomy to typical disclosures including disclosures that represent challenging marking up situations.</w:t>
      </w:r>
    </w:p>
    <w:p w14:paraId="3C887649" w14:textId="77777777" w:rsidR="008A0297" w:rsidRPr="00247CCD" w:rsidRDefault="008A0297" w:rsidP="008A0297">
      <w:pPr>
        <w:spacing w:after="120"/>
        <w:rPr>
          <w:rFonts w:asciiTheme="minorHAnsi" w:hAnsiTheme="minorHAnsi"/>
          <w:b/>
          <w:bCs/>
        </w:rPr>
      </w:pPr>
      <w:r w:rsidRPr="00247CCD">
        <w:rPr>
          <w:rFonts w:asciiTheme="minorHAnsi" w:hAnsiTheme="minorHAnsi"/>
        </w:rPr>
        <w:lastRenderedPageBreak/>
        <w:t xml:space="preserve">Undertakings may be mandated or wish to apply more than one digital taxonomy in their sustainability disclosures (e.g. the ISSB Standards in the same general purpose financial report as the disclosure requirements of CSRD). We therefore highlight that interoperability between the digital taxonomy requirements is important in the same way as interoperability between the reporting standards. </w:t>
      </w:r>
    </w:p>
    <w:p w14:paraId="5A2EB432" w14:textId="77777777" w:rsidR="008A0297" w:rsidRPr="00247CCD" w:rsidRDefault="008A0297" w:rsidP="008A0297">
      <w:pPr>
        <w:spacing w:after="120"/>
        <w:rPr>
          <w:rFonts w:asciiTheme="minorHAnsi" w:hAnsiTheme="minorHAnsi"/>
        </w:rPr>
      </w:pPr>
      <w:r w:rsidRPr="00247CCD">
        <w:rPr>
          <w:rFonts w:asciiTheme="minorHAnsi" w:hAnsiTheme="minorHAnsi"/>
        </w:rPr>
        <w:t xml:space="preserve">We encourage the continued efforts to ensure interoperability between the digital domain of the IFRS Sustainability Disclosure Standards digital taxonomy and the ESRS digital taxonomy. Interoperability between the two taxonomies will result in a significant reduction of effort to </w:t>
      </w:r>
      <w:proofErr w:type="spellStart"/>
      <w:r w:rsidRPr="00247CCD">
        <w:rPr>
          <w:rFonts w:asciiTheme="minorHAnsi" w:hAnsiTheme="minorHAnsi"/>
        </w:rPr>
        <w:t>mark up</w:t>
      </w:r>
      <w:proofErr w:type="spellEnd"/>
      <w:r w:rsidRPr="00247CCD">
        <w:rPr>
          <w:rFonts w:asciiTheme="minorHAnsi" w:hAnsiTheme="minorHAnsi"/>
        </w:rPr>
        <w:t xml:space="preserve"> disclosures for undertakings that report under these frameworks. As thinking about interoperability evolves, it will be important to engage further with stakeholders to understand how this will be considered in developing the marking up rules.</w:t>
      </w:r>
    </w:p>
    <w:p w14:paraId="472EA06A" w14:textId="654C6862" w:rsidR="006B5DF1" w:rsidRPr="00AF763D" w:rsidRDefault="008A0297" w:rsidP="008A0297">
      <w:pPr>
        <w:spacing w:after="0"/>
        <w:rPr>
          <w:sz w:val="20"/>
          <w:szCs w:val="18"/>
        </w:rPr>
      </w:pPr>
      <w:r w:rsidRPr="00247CCD">
        <w:rPr>
          <w:rFonts w:asciiTheme="minorHAnsi" w:hAnsiTheme="minorHAnsi"/>
        </w:rPr>
        <w:t>We consider that the description of levels in paragraph 41 is insufficient, particularly in how it addresses data points (DP) at a paragraph level, rather than at an (a, b, c) level. See for example ESRS 2.GOV-1 (the example disclosure requirement (DR) shown for levels in the Consultation) paragraph 23, which is identified in EFRAG’s IG3 as separate DP at a paragraph level. For DPs that are at a paragraph level, we suggest making it clearer which of the three proposed levels in the consultation they should be categorised as.</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5771B8F2" w14:textId="77777777" w:rsidR="007D721C" w:rsidRPr="00247CCD" w:rsidRDefault="007D721C" w:rsidP="007D721C">
      <w:pPr>
        <w:spacing w:after="120"/>
        <w:rPr>
          <w:rFonts w:asciiTheme="minorHAnsi" w:hAnsiTheme="minorHAnsi"/>
        </w:rPr>
      </w:pPr>
      <w:permStart w:id="731332295" w:edGrp="everyone"/>
      <w:r w:rsidRPr="00247CCD">
        <w:rPr>
          <w:rFonts w:asciiTheme="minorHAnsi" w:hAnsiTheme="minorHAnsi"/>
        </w:rPr>
        <w:t xml:space="preserve">We agree with a phased approach (see comments on needed simplification in subsequent questions), but we do not agree with the proposed timeline, particularly the prospects of new reporting requirements entering into practice mid-year. </w:t>
      </w:r>
    </w:p>
    <w:p w14:paraId="40D0F5C1" w14:textId="77777777" w:rsidR="007D721C" w:rsidRPr="00247CCD" w:rsidRDefault="007D721C" w:rsidP="007D721C">
      <w:pPr>
        <w:spacing w:after="120"/>
        <w:rPr>
          <w:rFonts w:asciiTheme="minorHAnsi" w:hAnsiTheme="minorHAnsi"/>
        </w:rPr>
      </w:pPr>
      <w:r w:rsidRPr="00247CCD">
        <w:rPr>
          <w:rFonts w:asciiTheme="minorHAnsi" w:hAnsiTheme="minorHAnsi"/>
        </w:rPr>
        <w:t xml:space="preserve">We recommend that the first phase implementation date should be in the second year in which an undertaking reports under simplified ESRS as per the Omnibus proposal. </w:t>
      </w:r>
      <w:r w:rsidRPr="00247CCD">
        <w:rPr>
          <w:rFonts w:asciiTheme="minorHAnsi" w:hAnsiTheme="minorHAnsi" w:cstheme="minorHAnsi"/>
        </w:rPr>
        <w:t xml:space="preserve">Reporting </w:t>
      </w:r>
      <w:r w:rsidRPr="00247CCD">
        <w:rPr>
          <w:rFonts w:asciiTheme="minorHAnsi" w:hAnsiTheme="minorHAnsi"/>
        </w:rPr>
        <w:t xml:space="preserve">for the first time creates significant challenges for undertakings who will need adequate time to learn from year one reporting, as well as prepare for the new marking up requirements. Undertakings may also find it useful to use this implementation period to conduct a dry run of the marking up process, and also allow assurance providers to assess for assurance readiness. </w:t>
      </w:r>
    </w:p>
    <w:p w14:paraId="2B70BEC9" w14:textId="77777777" w:rsidR="007D721C" w:rsidRPr="00247CCD" w:rsidRDefault="007D721C" w:rsidP="007D721C">
      <w:pPr>
        <w:spacing w:after="120"/>
        <w:rPr>
          <w:rFonts w:asciiTheme="minorHAnsi" w:hAnsiTheme="minorHAnsi"/>
        </w:rPr>
      </w:pPr>
      <w:r w:rsidRPr="00247CCD">
        <w:rPr>
          <w:rFonts w:asciiTheme="minorHAnsi" w:hAnsiTheme="minorHAnsi"/>
        </w:rPr>
        <w:t>Going forward after that, we suggest the first marking up requirement for undertakings should be at least one year after they are in scope of CSRD reporting. Having prepared a CSRD report in a prior year will substantially assist in preparing the first marked up report and will mitigate concerns about the potential delays in report publication due to the additional marking up and assurance requirements.</w:t>
      </w:r>
    </w:p>
    <w:p w14:paraId="1F53FE69" w14:textId="77777777" w:rsidR="007D721C" w:rsidRPr="00247CCD" w:rsidRDefault="007D721C" w:rsidP="007D721C">
      <w:pPr>
        <w:spacing w:after="120"/>
        <w:rPr>
          <w:rFonts w:asciiTheme="minorHAnsi" w:hAnsiTheme="minorHAnsi"/>
        </w:rPr>
      </w:pPr>
      <w:r w:rsidRPr="00247CCD">
        <w:rPr>
          <w:rFonts w:asciiTheme="minorHAnsi" w:hAnsiTheme="minorHAnsi"/>
        </w:rPr>
        <w:t xml:space="preserve">ESMA might consider encouraging undertakings to mark up their initial CSRD report, which is not required to be marked up, soon after the report is published, as a beneficial practice exercise. The </w:t>
      </w:r>
      <w:proofErr w:type="spellStart"/>
      <w:r w:rsidRPr="00247CCD">
        <w:rPr>
          <w:rFonts w:asciiTheme="minorHAnsi" w:hAnsiTheme="minorHAnsi"/>
        </w:rPr>
        <w:t>mark up</w:t>
      </w:r>
      <w:proofErr w:type="spellEnd"/>
      <w:r w:rsidRPr="00247CCD">
        <w:rPr>
          <w:rFonts w:asciiTheme="minorHAnsi" w:hAnsiTheme="minorHAnsi"/>
        </w:rPr>
        <w:t xml:space="preserve"> could then easily be transferred, as appropriate, in a subsequent year to the first CSRD report that requires mark up. This would move some of the </w:t>
      </w:r>
      <w:proofErr w:type="spellStart"/>
      <w:r w:rsidRPr="00247CCD">
        <w:rPr>
          <w:rFonts w:asciiTheme="minorHAnsi" w:hAnsiTheme="minorHAnsi"/>
        </w:rPr>
        <w:t>mark up</w:t>
      </w:r>
      <w:proofErr w:type="spellEnd"/>
      <w:r w:rsidRPr="00247CCD">
        <w:rPr>
          <w:rFonts w:asciiTheme="minorHAnsi" w:hAnsiTheme="minorHAnsi"/>
        </w:rPr>
        <w:t xml:space="preserve"> effort to an earlier time, i.e. prior to the filing season of the first marked up report.</w:t>
      </w:r>
    </w:p>
    <w:p w14:paraId="3487238F" w14:textId="7453D05E" w:rsidR="006B5DF1" w:rsidRPr="00AF763D" w:rsidRDefault="007D721C" w:rsidP="007D721C">
      <w:pPr>
        <w:spacing w:after="0"/>
        <w:rPr>
          <w:sz w:val="20"/>
          <w:szCs w:val="18"/>
        </w:rPr>
      </w:pPr>
      <w:r w:rsidRPr="00247CCD">
        <w:rPr>
          <w:rFonts w:asciiTheme="minorHAnsi" w:hAnsiTheme="minorHAnsi"/>
        </w:rPr>
        <w:lastRenderedPageBreak/>
        <w:t xml:space="preserve">Furthermore, we believe that a phased approach should be applied to undertakings that come into a reporting scope after the initial phase-in exercise is and that such undertakings would also benefit from a requirement to </w:t>
      </w:r>
      <w:proofErr w:type="spellStart"/>
      <w:r w:rsidRPr="00247CCD">
        <w:rPr>
          <w:rFonts w:asciiTheme="minorHAnsi" w:hAnsiTheme="minorHAnsi"/>
        </w:rPr>
        <w:t>mark up</w:t>
      </w:r>
      <w:proofErr w:type="spellEnd"/>
      <w:r w:rsidRPr="00247CCD">
        <w:rPr>
          <w:rFonts w:asciiTheme="minorHAnsi" w:hAnsiTheme="minorHAnsi"/>
        </w:rPr>
        <w:t xml:space="preserve"> sustainability reporting at least one year after they are in scope of CSRD reporting, for reasons already outlined above</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2E0AA19A" w14:textId="77777777" w:rsidR="00A5194C" w:rsidRPr="00247CCD" w:rsidRDefault="00A5194C" w:rsidP="00A5194C">
      <w:pPr>
        <w:spacing w:after="120"/>
        <w:rPr>
          <w:rFonts w:asciiTheme="minorHAnsi" w:hAnsiTheme="minorHAnsi"/>
        </w:rPr>
      </w:pPr>
      <w:permStart w:id="2077629217" w:edGrp="everyone"/>
      <w:r w:rsidRPr="00247CCD">
        <w:rPr>
          <w:rFonts w:asciiTheme="minorHAnsi" w:hAnsiTheme="minorHAnsi"/>
        </w:rPr>
        <w:t xml:space="preserve">We agree with the principle of a staggered approach, based on when undertakings first come into scope of the CSRD and taking into consideration their size and likely resources to apply the digital tagging requirements. </w:t>
      </w:r>
    </w:p>
    <w:p w14:paraId="68E66071" w14:textId="77777777" w:rsidR="00A5194C" w:rsidRPr="00247CCD" w:rsidRDefault="00A5194C" w:rsidP="00A5194C">
      <w:pPr>
        <w:spacing w:after="120"/>
        <w:rPr>
          <w:rFonts w:asciiTheme="minorHAnsi" w:hAnsiTheme="minorHAnsi"/>
        </w:rPr>
      </w:pPr>
      <w:r w:rsidRPr="00247CCD">
        <w:rPr>
          <w:rFonts w:asciiTheme="minorHAnsi" w:hAnsiTheme="minorHAnsi"/>
        </w:rPr>
        <w:t>The Omnibus proposals would remove the distinction in the scoping requirements of the CSRD between PIEs and non-PIEs. If these proposals are approved, further consideration will be needed to determine who should be included in the first phase based on when the undertaking is first in scope of the CSRD, among other factors.</w:t>
      </w:r>
    </w:p>
    <w:p w14:paraId="4FE397B3" w14:textId="690EC489" w:rsidR="007D4F05" w:rsidRPr="00AF763D" w:rsidRDefault="00A5194C" w:rsidP="00A5194C">
      <w:pPr>
        <w:spacing w:after="0"/>
        <w:rPr>
          <w:sz w:val="20"/>
          <w:szCs w:val="18"/>
        </w:rPr>
      </w:pPr>
      <w:r w:rsidRPr="00247CCD">
        <w:rPr>
          <w:rFonts w:asciiTheme="minorHAnsi" w:hAnsiTheme="minorHAnsi"/>
        </w:rPr>
        <w:t>Regardless of the approach adopted or the requirements that are finalised in respect of scope under the CSRD, we believe that undertakings should always have at least one year of sustainability reporting before being required to mark up their sustainability disclosures.</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676AEC34" w14:textId="77777777" w:rsidR="00BA5582" w:rsidRPr="00247CCD" w:rsidRDefault="00BA5582" w:rsidP="00BA5582">
      <w:pPr>
        <w:spacing w:after="120"/>
        <w:rPr>
          <w:rFonts w:asciiTheme="minorHAnsi" w:hAnsiTheme="minorHAnsi"/>
        </w:rPr>
      </w:pPr>
      <w:permStart w:id="91707497" w:edGrp="everyone"/>
      <w:r w:rsidRPr="00247CCD">
        <w:rPr>
          <w:rFonts w:asciiTheme="minorHAnsi" w:hAnsiTheme="minorHAnsi"/>
        </w:rPr>
        <w:t>No. While we agree with a phased approach, the three phases proposed create an overly complicated approach. The phasing is based on too many attributes, such as mandatory-or-not ESRS, whether the disclosure is an entity-specific disclosure, the granularity (level) of the disclosure, the element’s data type (Boolean or extensible enumeration), and whether the disclosure is narrative or quantitative. Also, a three-phase approach increases the complexity (and therefore burden) of assurance as the assurance provider will not only be assuring the application of the markups themselves, but over a period of six years will be assuring that the phasing has been applied appropriately. This added complexity may also be confusing for preparers and users.</w:t>
      </w:r>
    </w:p>
    <w:p w14:paraId="0BF47E08" w14:textId="77777777" w:rsidR="00BA5582" w:rsidRPr="00247CCD" w:rsidRDefault="00BA5582" w:rsidP="00BA5582">
      <w:pPr>
        <w:spacing w:after="120"/>
        <w:rPr>
          <w:rFonts w:asciiTheme="minorHAnsi" w:hAnsiTheme="minorHAnsi"/>
        </w:rPr>
      </w:pPr>
      <w:r w:rsidRPr="00247CCD">
        <w:rPr>
          <w:rFonts w:asciiTheme="minorHAnsi" w:hAnsiTheme="minorHAnsi"/>
        </w:rPr>
        <w:t xml:space="preserve">Additionally, the two-year period between phases may not be needed, primarily because after the first phase is complete, most of the resources for marking up and submitting reports will be in place, such as XBRL software, service providers, internal skillsets, assurance providers, and established regulator rules. Also, the proposed first phase covers the majority of the initial work required so waiting four years until the completion of the two additional phases may not be necessary. It may be that undertakings do not need more than one year between phases, and we observe that longer periods will delay the benefit for users. </w:t>
      </w:r>
    </w:p>
    <w:p w14:paraId="3D93A50A" w14:textId="77777777" w:rsidR="00BA5582" w:rsidRPr="00247CCD" w:rsidRDefault="00BA5582" w:rsidP="00BA5582">
      <w:pPr>
        <w:spacing w:after="120"/>
        <w:rPr>
          <w:rFonts w:asciiTheme="minorHAnsi" w:hAnsiTheme="minorHAnsi"/>
        </w:rPr>
      </w:pPr>
      <w:r w:rsidRPr="00247CCD">
        <w:rPr>
          <w:rFonts w:asciiTheme="minorHAnsi" w:hAnsiTheme="minorHAnsi"/>
        </w:rPr>
        <w:t xml:space="preserve">The criteria to determine which sustainability disclosures to </w:t>
      </w:r>
      <w:proofErr w:type="spellStart"/>
      <w:r w:rsidRPr="00247CCD">
        <w:rPr>
          <w:rFonts w:asciiTheme="minorHAnsi" w:hAnsiTheme="minorHAnsi"/>
        </w:rPr>
        <w:t>mark up</w:t>
      </w:r>
      <w:proofErr w:type="spellEnd"/>
      <w:r w:rsidRPr="00247CCD">
        <w:rPr>
          <w:rFonts w:asciiTheme="minorHAnsi" w:hAnsiTheme="minorHAnsi"/>
        </w:rPr>
        <w:t xml:space="preserve"> first should be based usefulness of the information for the users. We consider the quantitative mark ups to provide the most useful information, as it is more useful for statistics and comparison across undertakings and industries. Furthermore, we expect an initial focus on mark up of quantitative disclosures to be less complex, and therefore reducing the burden, on preparers. This is based on the recognition that the structure of sustainability reports, under ESRS, will make it simpler to identity and mark up </w:t>
      </w:r>
      <w:r w:rsidRPr="00247CCD">
        <w:rPr>
          <w:rFonts w:asciiTheme="minorHAnsi" w:hAnsiTheme="minorHAnsi"/>
        </w:rPr>
        <w:lastRenderedPageBreak/>
        <w:t>quantitative data points than narrative disclosures, since there are fewer quantitative disclosures, and the narrative disclosures may be embedded in large blocks of text which are often intertwined with other disclosures. Lastly, for marking up purposes, entity-specific information is the least comparable, as the technical extensions will be unique to each report.</w:t>
      </w:r>
    </w:p>
    <w:p w14:paraId="642F49F2" w14:textId="77777777" w:rsidR="00BA5582" w:rsidRPr="00247CCD" w:rsidRDefault="00BA5582" w:rsidP="00BA5582">
      <w:pPr>
        <w:spacing w:after="120"/>
        <w:rPr>
          <w:rFonts w:asciiTheme="minorHAnsi" w:hAnsiTheme="minorHAnsi"/>
        </w:rPr>
      </w:pPr>
      <w:r w:rsidRPr="00247CCD">
        <w:rPr>
          <w:rFonts w:asciiTheme="minorHAnsi" w:hAnsiTheme="minorHAnsi"/>
        </w:rPr>
        <w:t xml:space="preserve">Based on the above criteria, we recommend there be no more than two phases of mark up, with the highest priority of data being quantitative and semi-narrative disclosures for all ESRS standards. Marking up a limited number of narrative disclosures may also be a priority if the disclosures are deemed valuable to users and the mark up doesn’t add complexity to the initial </w:t>
      </w:r>
      <w:proofErr w:type="spellStart"/>
      <w:r w:rsidRPr="00247CCD">
        <w:rPr>
          <w:rFonts w:asciiTheme="minorHAnsi" w:hAnsiTheme="minorHAnsi"/>
        </w:rPr>
        <w:t>mark up</w:t>
      </w:r>
      <w:proofErr w:type="spellEnd"/>
      <w:r w:rsidRPr="00247CCD">
        <w:rPr>
          <w:rFonts w:asciiTheme="minorHAnsi" w:hAnsiTheme="minorHAnsi"/>
        </w:rPr>
        <w:t xml:space="preserve"> exercise. The next priority would be the mark up of remaining narrative disclosures and, although considered valuable information to mark up, entity-specific disclosures would be a lower priority to phase in.</w:t>
      </w:r>
    </w:p>
    <w:p w14:paraId="0534B68A" w14:textId="77777777" w:rsidR="00BA5582" w:rsidRPr="00247CCD" w:rsidRDefault="00BA5582" w:rsidP="00BA5582">
      <w:pPr>
        <w:spacing w:after="120"/>
        <w:rPr>
          <w:rFonts w:asciiTheme="minorHAnsi" w:hAnsiTheme="minorHAnsi"/>
        </w:rPr>
      </w:pPr>
      <w:r w:rsidRPr="00247CCD">
        <w:rPr>
          <w:rFonts w:asciiTheme="minorHAnsi" w:hAnsiTheme="minorHAnsi"/>
        </w:rPr>
        <w:t>We believe that anchoring of digital extension taxonomy concepts for sustainability reporting would benefit from further input from stakeholders to determine if the extra effort is worth the benefit of the exercise. There is a need to determine whether a preparer can easily identify the appropriate anchors in the core digital taxonomy, since if this is not the case the exercise can be burdensome for the undertaking and difficult to assure.</w:t>
      </w:r>
    </w:p>
    <w:p w14:paraId="2F4B7CE0" w14:textId="524B75A4" w:rsidR="007D4F05" w:rsidRPr="00AF763D" w:rsidRDefault="00BA5582" w:rsidP="00BA5582">
      <w:pPr>
        <w:spacing w:after="0"/>
        <w:rPr>
          <w:sz w:val="20"/>
          <w:szCs w:val="18"/>
        </w:rPr>
      </w:pPr>
      <w:r w:rsidRPr="00247CCD">
        <w:rPr>
          <w:rFonts w:asciiTheme="minorHAnsi" w:hAnsiTheme="minorHAnsi"/>
        </w:rPr>
        <w:t>Also, in the final regulation / response to the Consultation feedback, it would be useful to have detailed examples of actual disclosures marked up showing the various phases.</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5784BB36" w:rsidR="007D4F05" w:rsidRPr="00AF763D" w:rsidRDefault="004F65D2" w:rsidP="007D4F05">
      <w:pPr>
        <w:spacing w:after="0"/>
        <w:rPr>
          <w:sz w:val="20"/>
          <w:szCs w:val="18"/>
        </w:rPr>
      </w:pPr>
      <w:permStart w:id="1008013103" w:edGrp="everyone"/>
      <w:r w:rsidRPr="00247CCD">
        <w:rPr>
          <w:rFonts w:asciiTheme="minorHAnsi" w:hAnsiTheme="minorHAnsi"/>
        </w:rPr>
        <w:t>Yes, establishing a clear timeline and content for each phase from the outset is crucial. It might also be important for users and assurance providers to consider implementing a mechanism that clearly identifies which filings correspond to each phase. This will ensure transparency, consistency, and effective tracking of progress, thereby facilitating smoother implementation and compliance.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68C2F908" w14:textId="77777777" w:rsidR="009A55B3" w:rsidRPr="00247CCD" w:rsidRDefault="009A55B3" w:rsidP="009A55B3">
      <w:pPr>
        <w:spacing w:after="120"/>
        <w:rPr>
          <w:rFonts w:asciiTheme="minorHAnsi" w:hAnsiTheme="minorHAnsi"/>
        </w:rPr>
      </w:pPr>
      <w:permStart w:id="772892299" w:edGrp="everyone"/>
      <w:r w:rsidRPr="00247CCD">
        <w:rPr>
          <w:rFonts w:asciiTheme="minorHAnsi" w:hAnsiTheme="minorHAnsi"/>
        </w:rPr>
        <w:t>Yes. Clear rules and guidance should be provided to minimise custom/entity-specific mark ups. An implementation guide showing marked up examples with typed dimensions would be helpful.</w:t>
      </w:r>
    </w:p>
    <w:p w14:paraId="71A8936D" w14:textId="1AD88BDD" w:rsidR="007D4F05" w:rsidRPr="00AF763D" w:rsidRDefault="009A55B3" w:rsidP="009A55B3">
      <w:pPr>
        <w:spacing w:after="0"/>
        <w:rPr>
          <w:sz w:val="20"/>
          <w:szCs w:val="18"/>
        </w:rPr>
      </w:pPr>
      <w:r w:rsidRPr="00247CCD">
        <w:rPr>
          <w:rFonts w:asciiTheme="minorHAnsi" w:hAnsiTheme="minorHAnsi"/>
        </w:rPr>
        <w:t>Of the two ways identified to capture entity-specific datapoints in the “Explanatory note and basis for conclusions”, we consider the second option of using ‘other’ elements is more appropriate, as this reduces the need for multi-tagging of narrative content.</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501E34B0" w:rsidR="007D4F05" w:rsidRPr="00AF763D" w:rsidRDefault="006A3A97" w:rsidP="007D4F05">
      <w:pPr>
        <w:spacing w:after="0"/>
        <w:rPr>
          <w:sz w:val="20"/>
          <w:szCs w:val="18"/>
        </w:rPr>
      </w:pPr>
      <w:permStart w:id="638739279" w:edGrp="everyone"/>
      <w:r w:rsidRPr="00247CCD">
        <w:rPr>
          <w:rFonts w:asciiTheme="minorHAnsi" w:hAnsiTheme="minorHAnsi"/>
        </w:rPr>
        <w:lastRenderedPageBreak/>
        <w:t xml:space="preserve">Yes. Beyond the reconsideration that should take place as a result of the Omnibus proposal, we consider the review clause to be useful and generally agree with its inclusion. Implementing a mechanism for ESMA to conduct periodic reviews and make necessary adjustments in response to evolving circumstances is beneficial, especially since new regulations are being applied. Additionally, we believe that field testing would be the optimal approach to evaluate the effectiveness of any adjustments to be made. This would help ensure that the changes are practical and beneficial in real-world scenarios. This approach would also be in line with the commitment in the </w:t>
      </w:r>
      <w:r w:rsidRPr="00247CCD">
        <w:rPr>
          <w:rFonts w:asciiTheme="minorHAnsi" w:hAnsiTheme="minorHAnsi"/>
          <w:i/>
        </w:rPr>
        <w:t>EU Compass to regain competitiveness</w:t>
      </w:r>
      <w:r w:rsidRPr="00247CCD">
        <w:rPr>
          <w:rFonts w:asciiTheme="minorHAnsi" w:hAnsiTheme="minorHAnsi"/>
        </w:rPr>
        <w:t xml:space="preserve"> to hold regular implementation dialogues with stakeholders and carry out reality checks.</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000000"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60B97EF8" w:rsidR="006A64ED" w:rsidRPr="00AF763D" w:rsidRDefault="00C84B29" w:rsidP="006A64ED">
      <w:pPr>
        <w:spacing w:after="0"/>
        <w:rPr>
          <w:sz w:val="20"/>
          <w:szCs w:val="18"/>
        </w:rPr>
      </w:pPr>
      <w:permStart w:id="43591955" w:edGrp="everyone"/>
      <w:r w:rsidRPr="00247CCD">
        <w:rPr>
          <w:rFonts w:asciiTheme="minorHAnsi" w:hAnsiTheme="minorHAnsi"/>
        </w:rPr>
        <w:t>We consider that a closed Taxonomy for Article 8 disclosures is likely to be appropriate because the Disclosure Delegated Acts stipulate fixed content, calculation methodologies for KPIs and presentation according to defined reporting templates that do not envisage modification. This approach should reduce or remove the need for extensions. While extensions could be considered for voluntary disclosures under the regulation, we think the initial focus should be on marking up requirements for mandatory disclosures.</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65A7DC3A" w:rsidR="006A64ED" w:rsidRPr="00AF763D" w:rsidRDefault="00E002A7" w:rsidP="006A64ED">
      <w:pPr>
        <w:spacing w:after="0"/>
        <w:rPr>
          <w:sz w:val="20"/>
          <w:szCs w:val="18"/>
        </w:rPr>
      </w:pPr>
      <w:permStart w:id="611662945" w:edGrp="everyone"/>
      <w:r w:rsidRPr="00247CCD">
        <w:rPr>
          <w:rFonts w:asciiTheme="minorHAnsi" w:hAnsiTheme="minorHAnsi"/>
        </w:rPr>
        <w:t>We think that there would not be a need to follow a phased approach in the same way as for ESRS disclosures given that the EU Taxonomy disclosures are highly template</w:t>
      </w:r>
      <w:r>
        <w:rPr>
          <w:rFonts w:asciiTheme="minorHAnsi" w:hAnsiTheme="minorHAnsi"/>
        </w:rPr>
        <w:t xml:space="preserve"> </w:t>
      </w:r>
      <w:r w:rsidRPr="00247CCD">
        <w:rPr>
          <w:rFonts w:asciiTheme="minorHAnsi" w:hAnsiTheme="minorHAnsi"/>
        </w:rPr>
        <w:t>driven. However, undertakings will still need time to implement the mark up requirements and should not be required to mark up their Article 8 sustainability disclosures prior to marking up their ESRS disclosures. We note that under the Omnibus proposals, only undertakings with more than 1000 employees and more than EUR 450m turnover would be mandated to disclose taxonomy information. However, we recommend considering further the direct feedback from undertakings on timing for implementation.</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2EABFE4A" w:rsidR="006A64ED" w:rsidRPr="00AF763D" w:rsidRDefault="00467489" w:rsidP="006A64ED">
      <w:pPr>
        <w:spacing w:after="0"/>
        <w:rPr>
          <w:sz w:val="20"/>
          <w:szCs w:val="18"/>
        </w:rPr>
      </w:pPr>
      <w:permStart w:id="2102669281" w:edGrp="everyone"/>
      <w:r w:rsidRPr="00247CCD">
        <w:rPr>
          <w:rFonts w:asciiTheme="minorHAnsi" w:hAnsiTheme="minorHAnsi"/>
        </w:rPr>
        <w:t xml:space="preserve">Please see our response to </w:t>
      </w:r>
      <w:r>
        <w:rPr>
          <w:rFonts w:asciiTheme="minorHAnsi" w:hAnsiTheme="minorHAnsi"/>
        </w:rPr>
        <w:t>Q</w:t>
      </w:r>
      <w:r w:rsidRPr="00247CCD">
        <w:rPr>
          <w:rFonts w:asciiTheme="minorHAnsi" w:hAnsiTheme="minorHAnsi"/>
        </w:rPr>
        <w:t>uestion 2.</w:t>
      </w:r>
    </w:p>
    <w:permEnd w:id="2102669281"/>
    <w:p w14:paraId="24D3A30A" w14:textId="77777777" w:rsidR="006A64ED" w:rsidRPr="00AF763D" w:rsidRDefault="006A64ED" w:rsidP="006A64ED">
      <w:pPr>
        <w:spacing w:after="0"/>
        <w:rPr>
          <w:sz w:val="20"/>
          <w:szCs w:val="18"/>
        </w:rPr>
      </w:pPr>
      <w:r w:rsidRPr="00AF763D">
        <w:rPr>
          <w:sz w:val="20"/>
          <w:szCs w:val="18"/>
        </w:rPr>
        <w:lastRenderedPageBreak/>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236D828E" w:rsidR="006A64ED" w:rsidRPr="00AF763D" w:rsidRDefault="00467489" w:rsidP="006A64ED">
      <w:pPr>
        <w:spacing w:after="0"/>
        <w:rPr>
          <w:sz w:val="20"/>
          <w:szCs w:val="18"/>
        </w:rPr>
      </w:pPr>
      <w:permStart w:id="74010525" w:edGrp="everyone"/>
      <w:r w:rsidRPr="00247CCD">
        <w:rPr>
          <w:rFonts w:asciiTheme="minorHAnsi" w:hAnsiTheme="minorHAnsi"/>
        </w:rPr>
        <w:t xml:space="preserve">Please see our response to </w:t>
      </w:r>
      <w:r>
        <w:rPr>
          <w:rFonts w:asciiTheme="minorHAnsi" w:hAnsiTheme="minorHAnsi"/>
        </w:rPr>
        <w:t>Q</w:t>
      </w:r>
      <w:r w:rsidRPr="00247CCD">
        <w:rPr>
          <w:rFonts w:asciiTheme="minorHAnsi" w:hAnsiTheme="minorHAnsi"/>
        </w:rPr>
        <w:t xml:space="preserve">uestion </w:t>
      </w:r>
      <w:r>
        <w:rPr>
          <w:rFonts w:asciiTheme="minorHAnsi" w:hAnsiTheme="minorHAnsi"/>
        </w:rPr>
        <w:t>7</w:t>
      </w:r>
      <w:r w:rsidRPr="00247CCD">
        <w:rPr>
          <w:rFonts w:asciiTheme="minorHAnsi" w:hAnsiTheme="minorHAnsi"/>
        </w:rPr>
        <w:t>.</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000000"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77777777" w:rsidR="006A64ED" w:rsidRPr="00AF763D" w:rsidRDefault="006A64E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similar to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77777777" w:rsidR="006A64ED" w:rsidRPr="00AF763D" w:rsidRDefault="006A64ED" w:rsidP="006A64ED">
      <w:pPr>
        <w:spacing w:after="0"/>
        <w:rPr>
          <w:sz w:val="20"/>
          <w:szCs w:val="18"/>
        </w:rPr>
      </w:pPr>
      <w:permStart w:id="1401631365" w:edGrp="everyone"/>
      <w:r w:rsidRPr="00AF763D">
        <w:rPr>
          <w:sz w:val="20"/>
          <w:szCs w:val="18"/>
        </w:rPr>
        <w:t>TYPE YOUR TEXT HERE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000000"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24E67CFA" w:rsidR="006A64ED" w:rsidRPr="00AF763D" w:rsidRDefault="009E5E61" w:rsidP="006A64ED">
      <w:pPr>
        <w:spacing w:after="0"/>
        <w:rPr>
          <w:sz w:val="20"/>
          <w:szCs w:val="18"/>
        </w:rPr>
      </w:pPr>
      <w:permStart w:id="1970232525" w:edGrp="everyone"/>
      <w:r w:rsidRPr="00247CCD">
        <w:rPr>
          <w:rFonts w:asciiTheme="minorHAnsi" w:hAnsiTheme="minorHAnsi"/>
        </w:rPr>
        <w:t>Yes, we believe it is necessary to revise the marking up rules for the notes to consolidated financial statements prepared applying IFRS Accounting Standards. The current method, which creates marking up of the same content multiple times, is more burdensome than required. A more streamlined approach which provides users with the appropriate information should be considered</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w:t>
      </w:r>
      <w:r w:rsidRPr="006A64ED">
        <w:rPr>
          <w:rFonts w:eastAsia="Times New Roman"/>
          <w:color w:val="auto"/>
          <w:szCs w:val="22"/>
          <w:lang w:eastAsia="en-GB"/>
        </w:rPr>
        <w:lastRenderedPageBreak/>
        <w:t xml:space="preserve">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3AFCDAA6" w14:textId="77777777" w:rsidR="009F068C" w:rsidRPr="00247CCD" w:rsidRDefault="009F068C" w:rsidP="009F068C">
      <w:pPr>
        <w:spacing w:after="120"/>
        <w:rPr>
          <w:rFonts w:asciiTheme="minorHAnsi" w:hAnsiTheme="minorHAnsi"/>
        </w:rPr>
      </w:pPr>
      <w:permStart w:id="481916913" w:edGrp="everyone"/>
      <w:r w:rsidRPr="00247CCD">
        <w:rPr>
          <w:rFonts w:asciiTheme="minorHAnsi" w:hAnsiTheme="minorHAnsi"/>
        </w:rPr>
        <w:t xml:space="preserve">We agree with the phased approach but disagree with the timeline. </w:t>
      </w:r>
    </w:p>
    <w:p w14:paraId="115CF3DD" w14:textId="77777777" w:rsidR="009F068C" w:rsidRPr="00247CCD" w:rsidRDefault="009F068C" w:rsidP="009F068C">
      <w:pPr>
        <w:spacing w:after="120"/>
        <w:rPr>
          <w:rFonts w:asciiTheme="minorHAnsi" w:hAnsiTheme="minorHAnsi"/>
        </w:rPr>
      </w:pPr>
      <w:r w:rsidRPr="00247CCD">
        <w:rPr>
          <w:rFonts w:asciiTheme="minorHAnsi" w:hAnsiTheme="minorHAnsi"/>
        </w:rPr>
        <w:t xml:space="preserve">The phased approach is appropriate since it will help streamline the transition of new rules by reducing the burden on undertakings during the initial implementation. </w:t>
      </w:r>
    </w:p>
    <w:p w14:paraId="170277F5" w14:textId="36042BCB" w:rsidR="006A64ED" w:rsidRPr="00AF763D" w:rsidRDefault="009F068C" w:rsidP="009F068C">
      <w:pPr>
        <w:spacing w:after="0"/>
        <w:rPr>
          <w:sz w:val="20"/>
          <w:szCs w:val="18"/>
        </w:rPr>
      </w:pPr>
      <w:r w:rsidRPr="00247CCD">
        <w:rPr>
          <w:rFonts w:asciiTheme="minorHAnsi" w:hAnsiTheme="minorHAnsi"/>
        </w:rPr>
        <w:t>Regarding the timeline, we propose implementing detailed marking up only one year after text block marking up of the notes to financial statements, rather than the suggested two-year period, since financial reports already exist, and resources are currently in place for marking up financial statements. Additionally, we foresee potential issues in the first year for undertakings with a short financial year-end, e.g. 1</w:t>
      </w:r>
      <w:r>
        <w:rPr>
          <w:rFonts w:asciiTheme="minorHAnsi" w:hAnsiTheme="minorHAnsi"/>
          <w:vertAlign w:val="superscript"/>
        </w:rPr>
        <w:t xml:space="preserve"> </w:t>
      </w:r>
      <w:r w:rsidRPr="00247CCD">
        <w:rPr>
          <w:rFonts w:asciiTheme="minorHAnsi" w:hAnsiTheme="minorHAnsi"/>
        </w:rPr>
        <w:t>January to 30 June. To mitigate this, we suggest either changing the publication date from 30 September to 30 June or specifically stating these undertakings are exempt from the first-year requirement.</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23914331" w14:textId="77777777" w:rsidR="007852A7" w:rsidRPr="00247CCD" w:rsidRDefault="007852A7" w:rsidP="007852A7">
      <w:pPr>
        <w:spacing w:after="120"/>
        <w:rPr>
          <w:rFonts w:asciiTheme="minorHAnsi" w:hAnsiTheme="minorHAnsi"/>
        </w:rPr>
      </w:pPr>
      <w:permStart w:id="662070572" w:edGrp="everyone"/>
      <w:r w:rsidRPr="00247CCD">
        <w:rPr>
          <w:rFonts w:asciiTheme="minorHAnsi" w:hAnsiTheme="minorHAnsi"/>
        </w:rPr>
        <w:t xml:space="preserve">No. For text block marking up of notes, we do not agree with marking up identifiable sections or headings within the notes to the consolidated financial statements prepared applying IFRS Accounting Standards, except for accounting policies, which we believe should be marked up separately if they are contained within a note. We believe marking up headings and sub-sections or sub-sub sections within a note will complicate the marking up process without adding significant value. We suggest considering two </w:t>
      </w:r>
      <w:r w:rsidRPr="00D6609A">
        <w:rPr>
          <w:rFonts w:asciiTheme="minorHAnsi" w:hAnsiTheme="minorHAnsi"/>
        </w:rPr>
        <w:t>alternatives</w:t>
      </w:r>
      <w:r w:rsidRPr="00247CCD">
        <w:rPr>
          <w:rFonts w:asciiTheme="minorHAnsi" w:hAnsiTheme="minorHAnsi"/>
        </w:rPr>
        <w:t>:</w:t>
      </w:r>
    </w:p>
    <w:p w14:paraId="16CB83FF" w14:textId="77777777" w:rsidR="007852A7" w:rsidRPr="00247CCD" w:rsidRDefault="007852A7" w:rsidP="007852A7">
      <w:pPr>
        <w:pStyle w:val="ListParagraph"/>
        <w:numPr>
          <w:ilvl w:val="0"/>
          <w:numId w:val="46"/>
        </w:numPr>
        <w:spacing w:after="120" w:line="320" w:lineRule="atLeast"/>
        <w:contextualSpacing w:val="0"/>
        <w:jc w:val="left"/>
        <w:rPr>
          <w:rFonts w:asciiTheme="minorHAnsi" w:hAnsiTheme="minorHAnsi"/>
        </w:rPr>
      </w:pPr>
      <w:r w:rsidRPr="00247CCD">
        <w:rPr>
          <w:rFonts w:asciiTheme="minorHAnsi" w:hAnsiTheme="minorHAnsi"/>
        </w:rPr>
        <w:t>Text block marking up of each explanatory note with one taxonomy element, text block marking up of each accounting policy with one taxonomy element, and text block marking up of each individual table with one taxonomy element. This creates a much more defined scope of what needs to be marked up and simplifies the effort required to text block mark up the notes or</w:t>
      </w:r>
    </w:p>
    <w:p w14:paraId="18939545" w14:textId="77777777" w:rsidR="007852A7" w:rsidRPr="00247CCD" w:rsidRDefault="007852A7" w:rsidP="007852A7">
      <w:pPr>
        <w:pStyle w:val="ListParagraph"/>
        <w:numPr>
          <w:ilvl w:val="0"/>
          <w:numId w:val="46"/>
        </w:numPr>
        <w:spacing w:after="120" w:line="320" w:lineRule="atLeast"/>
        <w:contextualSpacing w:val="0"/>
        <w:rPr>
          <w:rFonts w:asciiTheme="minorHAnsi" w:hAnsiTheme="minorHAnsi"/>
        </w:rPr>
      </w:pPr>
      <w:r w:rsidRPr="00247CCD">
        <w:rPr>
          <w:rFonts w:asciiTheme="minorHAnsi" w:hAnsiTheme="minorHAnsi"/>
        </w:rPr>
        <w:t>Keeping the current rules for applying mandatory text block elements,</w:t>
      </w:r>
      <w:r w:rsidRPr="00247CCD" w:rsidDel="40D9FCDC">
        <w:rPr>
          <w:rFonts w:asciiTheme="minorHAnsi" w:hAnsiTheme="minorHAnsi"/>
        </w:rPr>
        <w:t xml:space="preserve"> </w:t>
      </w:r>
      <w:r w:rsidRPr="00247CCD">
        <w:rPr>
          <w:rFonts w:asciiTheme="minorHAnsi" w:hAnsiTheme="minorHAnsi"/>
        </w:rPr>
        <w:t>but modifying the list of mandatory elements to simplify the process and focus on the essential items.</w:t>
      </w:r>
    </w:p>
    <w:p w14:paraId="471B4256" w14:textId="70D2446A" w:rsidR="006A64ED" w:rsidRPr="00AF763D" w:rsidRDefault="007852A7" w:rsidP="007852A7">
      <w:pPr>
        <w:spacing w:after="0"/>
        <w:rPr>
          <w:sz w:val="20"/>
          <w:szCs w:val="18"/>
        </w:rPr>
      </w:pPr>
      <w:r w:rsidRPr="00247CCD">
        <w:rPr>
          <w:rFonts w:asciiTheme="minorHAnsi" w:hAnsiTheme="minorHAnsi"/>
        </w:rPr>
        <w:t>These alternatives could streamline the marking up process while maintaining the integrity and usefulness of the financial data.</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18D4DE44" w14:textId="77777777" w:rsidR="00DB0E4A" w:rsidRPr="00247CCD" w:rsidRDefault="00DB0E4A" w:rsidP="00DB0E4A">
      <w:pPr>
        <w:spacing w:after="120"/>
        <w:rPr>
          <w:rFonts w:asciiTheme="minorHAnsi" w:hAnsiTheme="minorHAnsi"/>
        </w:rPr>
      </w:pPr>
      <w:permStart w:id="419173650" w:edGrp="everyone"/>
      <w:r w:rsidRPr="00247CCD">
        <w:rPr>
          <w:rFonts w:asciiTheme="minorHAnsi" w:hAnsiTheme="minorHAnsi"/>
        </w:rPr>
        <w:lastRenderedPageBreak/>
        <w:t xml:space="preserve">We acknowledge that detailed marking up of the notes to the consolidated financial statements prepared applying IFRS Accounting Standards, including all figures in a declared currency within the tables, may enhance usefulness of financial information. </w:t>
      </w:r>
    </w:p>
    <w:p w14:paraId="395F8742" w14:textId="77777777" w:rsidR="00DB0E4A" w:rsidRPr="00247CCD" w:rsidRDefault="00DB0E4A" w:rsidP="00DB0E4A">
      <w:pPr>
        <w:spacing w:after="120"/>
        <w:rPr>
          <w:rFonts w:asciiTheme="minorHAnsi" w:hAnsiTheme="minorHAnsi"/>
        </w:rPr>
      </w:pPr>
      <w:r w:rsidRPr="00247CCD">
        <w:rPr>
          <w:rFonts w:asciiTheme="minorHAnsi" w:hAnsiTheme="minorHAnsi"/>
        </w:rPr>
        <w:t>However, we are concerned about the potential impacts and delays this may cause in the preparation and publication of the financial statements as well as the related audit opinion, especially in the first year of detailed marking up of the notes. It is imperative to evaluate whether the benefits of such detailed marking up justify the increased costs and to determine which information users find most valuable for their analyses.</w:t>
      </w:r>
    </w:p>
    <w:p w14:paraId="3DB53B89" w14:textId="20D4BD6E" w:rsidR="006A64ED" w:rsidRPr="00AF763D" w:rsidRDefault="00DB0E4A" w:rsidP="00DB0E4A">
      <w:pPr>
        <w:spacing w:after="0"/>
        <w:rPr>
          <w:sz w:val="20"/>
          <w:szCs w:val="18"/>
        </w:rPr>
      </w:pPr>
      <w:r w:rsidRPr="00247CCD">
        <w:rPr>
          <w:rFonts w:asciiTheme="minorHAnsi" w:hAnsiTheme="minorHAnsi"/>
        </w:rPr>
        <w:t>It is also essential to ensure that the auditing process can be completed within the required timelines without compromising the quality and integrity of the financial statements.</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59EB6C15" w:rsidR="006A64ED" w:rsidRPr="00AF763D" w:rsidRDefault="004265C7" w:rsidP="006A64ED">
      <w:pPr>
        <w:spacing w:after="0"/>
        <w:rPr>
          <w:sz w:val="20"/>
          <w:szCs w:val="18"/>
        </w:rPr>
      </w:pPr>
      <w:permStart w:id="83845519" w:edGrp="everyone"/>
      <w:r w:rsidRPr="00247CCD">
        <w:rPr>
          <w:rFonts w:asciiTheme="minorHAnsi" w:hAnsiTheme="minorHAnsi"/>
        </w:rPr>
        <w:t>Yes. We agree with the proposal to remove the current list of mandatory core taxonomy elements outlined in Annex II of the RTS on ESEF and replace it with a more concise and targeted list of elements.</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4B56B989" w14:textId="77777777" w:rsidR="00EF475C" w:rsidRPr="00247CCD" w:rsidRDefault="00EF475C" w:rsidP="00EF475C">
      <w:pPr>
        <w:spacing w:after="120"/>
        <w:rPr>
          <w:rFonts w:asciiTheme="minorHAnsi" w:hAnsiTheme="minorHAnsi"/>
        </w:rPr>
      </w:pPr>
      <w:permStart w:id="1357663695" w:edGrp="everyone"/>
      <w:r w:rsidRPr="00247CCD">
        <w:rPr>
          <w:rFonts w:asciiTheme="minorHAnsi" w:hAnsiTheme="minorHAnsi"/>
        </w:rPr>
        <w:t>No. Specifically, we disagree with the inclusion of a mandatory Boolean element that asks, "Is the audit opinion an unqualified opinion with no emphasis of matter: True or False?" This element is not sufficiently nuanced and does not provide an adequate level of detail. Auditors may express different types of opinions, observations, limitations, and overall responsibilities, as experienced with ESEF filings. A simple True/False Boolean element does not capture the complexities and various forms of audit opinions, which can include unqualified, qualified, adverse, or disclaimers of opinion. Each type of opinion provides different insights into the financial statements and the underlying issues.</w:t>
      </w:r>
    </w:p>
    <w:p w14:paraId="591893C3" w14:textId="77777777" w:rsidR="00EF475C" w:rsidRPr="00247CCD" w:rsidRDefault="00EF475C" w:rsidP="00EF475C">
      <w:pPr>
        <w:spacing w:after="120"/>
        <w:rPr>
          <w:rFonts w:asciiTheme="minorHAnsi" w:hAnsiTheme="minorHAnsi"/>
        </w:rPr>
      </w:pPr>
      <w:r w:rsidRPr="00247CCD">
        <w:rPr>
          <w:rFonts w:asciiTheme="minorHAnsi" w:hAnsiTheme="minorHAnsi"/>
        </w:rPr>
        <w:t xml:space="preserve">Additionally, the complexity of having different auditors for the financial statements versus the disclosures mandated by CSRD (which, for the latter, could include independent assurance service providers) could introduce further complications for the review and changes to be made throughout the process. </w:t>
      </w:r>
    </w:p>
    <w:p w14:paraId="1EE97543" w14:textId="77777777" w:rsidR="00EF475C" w:rsidRPr="00247CCD" w:rsidRDefault="00EF475C" w:rsidP="00EF475C">
      <w:pPr>
        <w:spacing w:after="120"/>
        <w:rPr>
          <w:rFonts w:asciiTheme="minorHAnsi" w:hAnsiTheme="minorHAnsi"/>
        </w:rPr>
      </w:pPr>
      <w:r w:rsidRPr="00247CCD">
        <w:rPr>
          <w:rFonts w:asciiTheme="minorHAnsi" w:hAnsiTheme="minorHAnsi"/>
        </w:rPr>
        <w:t>Moreover, the timing of the audit opinion should be considered. The audit opinion would need to be formulated and included before the final filing is audited, which may not be practical or feasible in all cases. This could lead to discrepancies or the need for subsequent late amendments to the filings if the auditor’s opinion changes during the final audit process.</w:t>
      </w:r>
    </w:p>
    <w:p w14:paraId="7E11D364" w14:textId="2299C4BA" w:rsidR="006A64ED" w:rsidRPr="00AF763D" w:rsidRDefault="00EF475C" w:rsidP="00EF475C">
      <w:pPr>
        <w:spacing w:after="0"/>
        <w:rPr>
          <w:sz w:val="20"/>
          <w:szCs w:val="18"/>
        </w:rPr>
      </w:pPr>
      <w:r w:rsidRPr="00247CCD">
        <w:rPr>
          <w:rFonts w:asciiTheme="minorHAnsi" w:hAnsiTheme="minorHAnsi"/>
        </w:rPr>
        <w:t>We recommend removing this element and exploring alternatives that offer more comprehensive information about the audit opinion, if necessary.</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lastRenderedPageBreak/>
        <w:t>&lt;ESMA_QUESTION_ESEFEEAP_21&gt;</w:t>
      </w:r>
    </w:p>
    <w:p w14:paraId="28C8BEA4" w14:textId="77777777" w:rsidR="00D64B4B" w:rsidRPr="00247CCD" w:rsidRDefault="00D64B4B" w:rsidP="00D64B4B">
      <w:pPr>
        <w:spacing w:after="120"/>
        <w:rPr>
          <w:rFonts w:asciiTheme="minorHAnsi" w:hAnsiTheme="minorHAnsi"/>
        </w:rPr>
      </w:pPr>
      <w:permStart w:id="268056993" w:edGrp="everyone"/>
      <w:r w:rsidRPr="00247CCD">
        <w:rPr>
          <w:rFonts w:asciiTheme="minorHAnsi" w:hAnsiTheme="minorHAnsi"/>
        </w:rPr>
        <w:t>We agree with the creation of extension taxonomy elements for the notes to the consolidated financial statements prepared applying IFRS Accounting Standards and we agree with principles “a” and “b” in paragraph 167, which state that the issuer should use the core taxonomy element with the closest accounting meaning to the disclosure to be marked up and that the creation of extension taxonomy elements should be minimised.</w:t>
      </w:r>
    </w:p>
    <w:p w14:paraId="5B128B8D" w14:textId="3846713F" w:rsidR="006A64ED" w:rsidRPr="00AF763D" w:rsidRDefault="00D64B4B" w:rsidP="00D64B4B">
      <w:pPr>
        <w:spacing w:after="0"/>
        <w:rPr>
          <w:sz w:val="20"/>
          <w:szCs w:val="18"/>
        </w:rPr>
      </w:pPr>
      <w:r w:rsidRPr="00247CCD">
        <w:rPr>
          <w:rFonts w:asciiTheme="minorHAnsi" w:hAnsiTheme="minorHAnsi"/>
        </w:rPr>
        <w:t xml:space="preserve">However, we believe field-testing needs to be performed on principle “c” in paragraph 167 which requires anchoring of extension taxonomy concepts for the notes to consolidated financial statements prepared applying IFRS Accounting Standards. There is a need to determine whether a preparer can easily identify the appropriate anchors in the core digital taxonomy for marking up </w:t>
      </w:r>
      <w:r>
        <w:rPr>
          <w:rFonts w:asciiTheme="minorHAnsi" w:hAnsiTheme="minorHAnsi"/>
        </w:rPr>
        <w:t>n</w:t>
      </w:r>
      <w:r w:rsidRPr="00247CCD">
        <w:rPr>
          <w:rFonts w:asciiTheme="minorHAnsi" w:hAnsiTheme="minorHAnsi"/>
        </w:rPr>
        <w:t>otes</w:t>
      </w:r>
      <w:r>
        <w:rPr>
          <w:rFonts w:asciiTheme="minorHAnsi" w:hAnsiTheme="minorHAnsi"/>
        </w:rPr>
        <w:t xml:space="preserve"> to the financial statements</w:t>
      </w:r>
      <w:r w:rsidRPr="00247CCD">
        <w:rPr>
          <w:rFonts w:asciiTheme="minorHAnsi" w:hAnsiTheme="minorHAnsi"/>
        </w:rPr>
        <w:t>, since if this is not the case the exercise can be burdensome for the undertaking and difficult to audit.</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0BB88975" w:rsidR="006A64ED" w:rsidRPr="00AF763D" w:rsidRDefault="00674195" w:rsidP="006A64ED">
      <w:pPr>
        <w:spacing w:after="0"/>
        <w:rPr>
          <w:sz w:val="20"/>
          <w:szCs w:val="18"/>
        </w:rPr>
      </w:pPr>
      <w:permStart w:id="1477533567" w:edGrp="everyone"/>
      <w:r w:rsidRPr="00247CCD">
        <w:rPr>
          <w:rFonts w:asciiTheme="minorHAnsi" w:hAnsiTheme="minorHAnsi"/>
        </w:rPr>
        <w:t xml:space="preserve">Yes. We consider the review clause to be useful and generally agree with its inclusion. Implementing a mechanism for ESMA to conduct periodic reviews and make necessary adjustments in response to evolving circumstances is beneficial, especially since new regulations are being introduced. Additionally, we believe that field testing would be the optimal approach to evaluate the effectiveness of any adjustments to be made. This would help ensure that the changes are practical and beneficial in real-world scenarios. Such an approach is in keeping with the commitment made by the Commission in the </w:t>
      </w:r>
      <w:r w:rsidRPr="00247CCD">
        <w:rPr>
          <w:rFonts w:asciiTheme="minorHAnsi" w:hAnsiTheme="minorHAnsi"/>
          <w:i/>
        </w:rPr>
        <w:t>EU Compass to regain competitiveness</w:t>
      </w:r>
      <w:r w:rsidRPr="00247CCD">
        <w:rPr>
          <w:rFonts w:asciiTheme="minorHAnsi" w:hAnsiTheme="minorHAnsi"/>
        </w:rPr>
        <w:t xml:space="preserve"> to hold regular implementation dialogues with stakeholders and carry out reality checks.</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000000"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77777777" w:rsidR="00AF763D" w:rsidRPr="00AF763D" w:rsidRDefault="00AF763D" w:rsidP="00AF763D">
      <w:pPr>
        <w:spacing w:after="0"/>
        <w:rPr>
          <w:sz w:val="20"/>
          <w:szCs w:val="18"/>
        </w:rPr>
      </w:pPr>
      <w:permStart w:id="751384416" w:edGrp="everyone"/>
      <w:r w:rsidRPr="00AF763D">
        <w:rPr>
          <w:sz w:val="20"/>
          <w:szCs w:val="18"/>
        </w:rPr>
        <w:t>TYPE YOUR TEXT HERE</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000000">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000000"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C27BFDF" w14:textId="77777777" w:rsidR="00673999" w:rsidRPr="00247CCD" w:rsidRDefault="00673999" w:rsidP="00673999">
      <w:pPr>
        <w:spacing w:after="120"/>
        <w:rPr>
          <w:rFonts w:asciiTheme="minorHAnsi" w:hAnsiTheme="minorHAnsi"/>
        </w:rPr>
      </w:pPr>
      <w:permStart w:id="1231181901" w:edGrp="everyone"/>
      <w:r w:rsidRPr="00247CCD">
        <w:rPr>
          <w:rFonts w:asciiTheme="minorHAnsi" w:hAnsiTheme="minorHAnsi"/>
        </w:rPr>
        <w:t xml:space="preserve">No. Generally, we disagree with ESMA’s high-level understanding of the approximate time and monetary cost associated with marking up disclosures in consolidated financial statements prepared applying IFRS Accounting Standards, and notes thereof. Based on our experience of ESEF, the actual time and costs incurred would likely be higher than ESMA’s estimates. The complexity of the </w:t>
      </w:r>
      <w:proofErr w:type="spellStart"/>
      <w:r w:rsidRPr="00247CCD">
        <w:rPr>
          <w:rFonts w:asciiTheme="minorHAnsi" w:hAnsiTheme="minorHAnsi"/>
        </w:rPr>
        <w:t>mark up</w:t>
      </w:r>
      <w:proofErr w:type="spellEnd"/>
      <w:r w:rsidRPr="00247CCD">
        <w:rPr>
          <w:rFonts w:asciiTheme="minorHAnsi" w:hAnsiTheme="minorHAnsi"/>
        </w:rPr>
        <w:t xml:space="preserve"> process, the need for training and specialised expertise, and the time required to ensure accuracy all contribute to increased costs that are not adequately reflected in ESMA’s understanding. ESMA only addresses the preparation cost, without consideration of indirect costs such as software implementation and support, training costs, establishment of new processes, and the assurance cost. The analysis should either be updated to include the aforementioned costs, or sufficiently highlight that these costs are not included. </w:t>
      </w:r>
    </w:p>
    <w:p w14:paraId="2BF8BB55" w14:textId="77777777" w:rsidR="00673999" w:rsidRPr="001C3747" w:rsidRDefault="00673999" w:rsidP="00673999">
      <w:pPr>
        <w:pStyle w:val="paragraph"/>
        <w:spacing w:before="0" w:beforeAutospacing="0" w:after="120" w:afterAutospacing="0"/>
        <w:textAlignment w:val="baseline"/>
        <w:rPr>
          <w:rFonts w:asciiTheme="minorHAnsi" w:hAnsiTheme="minorHAnsi"/>
          <w:sz w:val="22"/>
          <w:szCs w:val="22"/>
        </w:rPr>
      </w:pPr>
      <w:r w:rsidRPr="001C3747">
        <w:rPr>
          <w:rFonts w:asciiTheme="minorHAnsi" w:hAnsiTheme="minorHAnsi" w:cs="Arial"/>
          <w:sz w:val="22"/>
          <w:szCs w:val="22"/>
        </w:rPr>
        <w:t xml:space="preserve">Additionally, the monetary cost per markup is computed based on data that does not include detailed marking up of the notes to financial statements. We expect that the cost of markup per XBRL element will be higher for marking up detailed notes than for marking up the other required items. The main reasons for this are that disclosures in the notes are not as uniformly structured as the primary financial statements and contain a higher rate of entity-specific disclosures than the primary financial statements. </w:t>
      </w:r>
    </w:p>
    <w:p w14:paraId="4EE90BB9" w14:textId="0037863F" w:rsidR="00AF763D" w:rsidRPr="00AF763D" w:rsidRDefault="00673999" w:rsidP="00673999">
      <w:pPr>
        <w:spacing w:after="0"/>
        <w:rPr>
          <w:sz w:val="20"/>
          <w:szCs w:val="18"/>
        </w:rPr>
      </w:pPr>
      <w:r w:rsidRPr="00247CCD">
        <w:rPr>
          <w:rFonts w:asciiTheme="minorHAnsi" w:hAnsiTheme="minorHAnsi"/>
        </w:rPr>
        <w:t>Based on these factors, we believe that the average monetary cost per markup is likely to be underestimated in ESMA’s current understanding. Furthermore, through field testing ESMA could more accurately assess the estimates in the cost-benefit analysis.</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w:t>
      </w:r>
      <w:r w:rsidRPr="00AF763D">
        <w:rPr>
          <w:rFonts w:eastAsia="Times New Roman"/>
          <w:color w:val="auto"/>
          <w:szCs w:val="22"/>
          <w:lang w:eastAsia="en-GB"/>
        </w:rPr>
        <w:lastRenderedPageBreak/>
        <w:t xml:space="preserve">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277F78E9" w14:textId="77777777" w:rsidR="00D3667A" w:rsidRPr="00247CCD" w:rsidRDefault="00D3667A" w:rsidP="00D3667A">
      <w:pPr>
        <w:spacing w:after="120"/>
        <w:rPr>
          <w:rFonts w:asciiTheme="minorHAnsi" w:hAnsiTheme="minorHAnsi"/>
        </w:rPr>
      </w:pPr>
      <w:permStart w:id="2135363474" w:edGrp="everyone"/>
      <w:r w:rsidRPr="00247CCD">
        <w:rPr>
          <w:rFonts w:asciiTheme="minorHAnsi" w:hAnsiTheme="minorHAnsi"/>
        </w:rPr>
        <w:t>In addition to our comments below, please see our response to Question 27.</w:t>
      </w:r>
    </w:p>
    <w:p w14:paraId="09E1DE95" w14:textId="604E5750" w:rsidR="00AF763D" w:rsidRPr="00AF763D" w:rsidRDefault="00D3667A" w:rsidP="00D3667A">
      <w:pPr>
        <w:spacing w:after="0"/>
        <w:rPr>
          <w:sz w:val="20"/>
          <w:szCs w:val="18"/>
        </w:rPr>
      </w:pPr>
      <w:r w:rsidRPr="00247CCD">
        <w:rPr>
          <w:rFonts w:asciiTheme="minorHAnsi" w:hAnsiTheme="minorHAnsi"/>
        </w:rPr>
        <w:t>Evaluating the cost-benefit analysis of marking up sustainability disclosures presents unique challenges. The complexity and novelty of sustainability reporting create difficulties in assessing the overall cost or cost per markup, especially in the absence of similar initiatives for comparison. Additionally, marking up sustainability disclosures often involves new disclosures and undertakings that have not previously engaged in such activities, further complicating the estimation process. We believe that the current cost-benefit analysis provided by ESMA does not adequately capture these complexities and may be significantly different from the actual costs involved. A more robust analysis should be undertaken, considering both direct and indirect costs, including those related to audit, assurance and compliance.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F33DE3" w:rsidRDefault="00AF763D" w:rsidP="00AF763D">
      <w:pPr>
        <w:spacing w:after="0"/>
        <w:rPr>
          <w:sz w:val="20"/>
          <w:szCs w:val="18"/>
          <w:lang w:val="fr-FR"/>
        </w:rPr>
      </w:pPr>
      <w:permStart w:id="891377430" w:edGrp="everyone"/>
      <w:r w:rsidRPr="00F33DE3">
        <w:rPr>
          <w:sz w:val="20"/>
          <w:szCs w:val="18"/>
          <w:lang w:val="fr-FR"/>
        </w:rPr>
        <w:t>TYPE Y</w:t>
      </w:r>
      <w:r w:rsidRPr="00AF763D">
        <w:rPr>
          <w:sz w:val="20"/>
          <w:szCs w:val="18"/>
        </w:rPr>
        <w:t>OUR TEXT HERE</w:t>
      </w:r>
    </w:p>
    <w:permEnd w:id="891377430"/>
    <w:p w14:paraId="0C4FE588" w14:textId="0C12F0A7" w:rsidR="00AF763D" w:rsidRPr="00F33DE3" w:rsidRDefault="00AF763D" w:rsidP="00AF763D">
      <w:pPr>
        <w:spacing w:after="0"/>
        <w:rPr>
          <w:sz w:val="20"/>
          <w:szCs w:val="18"/>
          <w:lang w:val="fr-FR"/>
        </w:rPr>
      </w:pPr>
      <w:r w:rsidRPr="00F33DE3">
        <w:rPr>
          <w:sz w:val="20"/>
          <w:szCs w:val="18"/>
          <w:lang w:val="fr-FR"/>
        </w:rPr>
        <w:t>&lt;ESMA_QUESTION_ESEFEEAP_29&gt;</w:t>
      </w:r>
    </w:p>
    <w:p w14:paraId="21A2C04B" w14:textId="77777777" w:rsidR="00AF763D" w:rsidRPr="00F33DE3" w:rsidRDefault="00AF763D" w:rsidP="00AF763D">
      <w:pPr>
        <w:spacing w:after="0" w:line="240" w:lineRule="auto"/>
        <w:jc w:val="left"/>
        <w:rPr>
          <w:rFonts w:eastAsia="Times New Roman"/>
          <w:color w:val="auto"/>
          <w:szCs w:val="22"/>
          <w:lang w:val="fr-FR"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18DB5411" w:rsidR="00AF763D" w:rsidRPr="00AF763D" w:rsidRDefault="00CC104D" w:rsidP="00AF763D">
      <w:pPr>
        <w:spacing w:after="0"/>
        <w:rPr>
          <w:sz w:val="20"/>
          <w:szCs w:val="18"/>
        </w:rPr>
      </w:pPr>
      <w:permStart w:id="929779331" w:edGrp="everyone"/>
      <w:r w:rsidRPr="00247CCD">
        <w:rPr>
          <w:rFonts w:asciiTheme="minorHAnsi" w:hAnsiTheme="minorHAnsi"/>
        </w:rPr>
        <w:t>See response to Question 27.</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w:t>
      </w:r>
      <w:r w:rsidRPr="00AF763D">
        <w:rPr>
          <w:rFonts w:eastAsia="Times New Roman"/>
          <w:color w:val="auto"/>
          <w:szCs w:val="22"/>
          <w:lang w:eastAsia="en-GB"/>
        </w:rPr>
        <w:lastRenderedPageBreak/>
        <w:t xml:space="preserve">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21635C25" w:rsidR="00AF763D" w:rsidRPr="00AF763D" w:rsidRDefault="00CC104D" w:rsidP="00AF763D">
      <w:pPr>
        <w:spacing w:after="0"/>
        <w:rPr>
          <w:sz w:val="20"/>
          <w:szCs w:val="18"/>
        </w:rPr>
      </w:pPr>
      <w:permStart w:id="701313514" w:edGrp="everyone"/>
      <w:r w:rsidRPr="00247CCD">
        <w:rPr>
          <w:rFonts w:asciiTheme="minorHAnsi" w:hAnsiTheme="minorHAnsi"/>
        </w:rPr>
        <w:t>See response to Question 27.</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000000">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000000"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CDEB" w14:textId="77777777" w:rsidR="00A04F29" w:rsidRDefault="00A04F29" w:rsidP="00F716D4">
      <w:r>
        <w:separator/>
      </w:r>
    </w:p>
    <w:p w14:paraId="2A00A197" w14:textId="77777777" w:rsidR="00A04F29" w:rsidRDefault="00A04F29" w:rsidP="00F716D4"/>
  </w:endnote>
  <w:endnote w:type="continuationSeparator" w:id="0">
    <w:p w14:paraId="4868DD08" w14:textId="77777777" w:rsidR="00A04F29" w:rsidRDefault="00A04F29" w:rsidP="00F716D4">
      <w:r>
        <w:continuationSeparator/>
      </w:r>
    </w:p>
    <w:p w14:paraId="79F447F5" w14:textId="77777777" w:rsidR="00A04F29" w:rsidRDefault="00A04F29" w:rsidP="00F716D4"/>
  </w:endnote>
  <w:endnote w:type="continuationNotice" w:id="1">
    <w:p w14:paraId="6BDEC71B" w14:textId="77777777" w:rsidR="00A04F29" w:rsidRDefault="00A04F29"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16B6" w14:textId="77777777" w:rsidR="001853CB" w:rsidRDefault="0018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5E3D" w14:textId="77777777" w:rsidR="001853CB" w:rsidRDefault="0018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C15A" w14:textId="77777777" w:rsidR="001853CB" w:rsidRDefault="00185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B637" w14:textId="77777777" w:rsidR="00A04F29" w:rsidRDefault="00A04F29" w:rsidP="00F716D4">
      <w:r>
        <w:separator/>
      </w:r>
    </w:p>
    <w:p w14:paraId="267218C0" w14:textId="77777777" w:rsidR="00A04F29" w:rsidRDefault="00A04F29" w:rsidP="00F716D4"/>
  </w:footnote>
  <w:footnote w:type="continuationSeparator" w:id="0">
    <w:p w14:paraId="76325B2D" w14:textId="77777777" w:rsidR="00A04F29" w:rsidRDefault="00A04F29" w:rsidP="00F716D4">
      <w:r>
        <w:continuationSeparator/>
      </w:r>
    </w:p>
    <w:p w14:paraId="04E0CA09" w14:textId="77777777" w:rsidR="00A04F29" w:rsidRDefault="00A04F29" w:rsidP="00F716D4"/>
  </w:footnote>
  <w:footnote w:type="continuationNotice" w:id="1">
    <w:p w14:paraId="03D1F0E4" w14:textId="77777777" w:rsidR="00A04F29" w:rsidRDefault="00A04F29"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FF1F06"/>
    <w:multiLevelType w:val="hybridMultilevel"/>
    <w:tmpl w:val="6914BD7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3"/>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4"/>
  </w:num>
  <w:num w:numId="21" w16cid:durableId="538709007">
    <w:abstractNumId w:val="24"/>
  </w:num>
  <w:num w:numId="22" w16cid:durableId="104540172">
    <w:abstractNumId w:val="8"/>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6"/>
  </w:num>
  <w:num w:numId="28" w16cid:durableId="872039349">
    <w:abstractNumId w:val="6"/>
  </w:num>
  <w:num w:numId="29" w16cid:durableId="924530660">
    <w:abstractNumId w:val="2"/>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1"/>
  </w:num>
  <w:num w:numId="35" w16cid:durableId="674843309">
    <w:abstractNumId w:val="17"/>
  </w:num>
  <w:num w:numId="36" w16cid:durableId="1954971501">
    <w:abstractNumId w:val="37"/>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 w:numId="46" w16cid:durableId="1809669577">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3747"/>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42E"/>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589"/>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5C7"/>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89"/>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5D2"/>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4644"/>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3999"/>
    <w:rsid w:val="00674195"/>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3A97"/>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7C"/>
    <w:rsid w:val="006E649A"/>
    <w:rsid w:val="006F03D1"/>
    <w:rsid w:val="006F08DC"/>
    <w:rsid w:val="006F2A24"/>
    <w:rsid w:val="006F2EE5"/>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52A7"/>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D721C"/>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0297"/>
    <w:rsid w:val="008A2585"/>
    <w:rsid w:val="008A2718"/>
    <w:rsid w:val="008A3F41"/>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51CD"/>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5B3"/>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5E61"/>
    <w:rsid w:val="009E6B77"/>
    <w:rsid w:val="009E7724"/>
    <w:rsid w:val="009E7D1F"/>
    <w:rsid w:val="009F068C"/>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4F29"/>
    <w:rsid w:val="00A06340"/>
    <w:rsid w:val="00A0684F"/>
    <w:rsid w:val="00A06867"/>
    <w:rsid w:val="00A07CD6"/>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194C"/>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42"/>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070"/>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582"/>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4B29"/>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04D"/>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7A"/>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4B4B"/>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0E4A"/>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02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E51"/>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475C"/>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DE3"/>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 w:type="character" w:customStyle="1" w:styleId="cf01">
    <w:name w:val="cf01"/>
    <w:basedOn w:val="DefaultParagraphFont"/>
    <w:rsid w:val="008A0297"/>
    <w:rPr>
      <w:rFonts w:ascii="Segoe UI" w:hAnsi="Segoe UI" w:cs="Segoe UI" w:hint="default"/>
      <w:sz w:val="18"/>
      <w:szCs w:val="18"/>
    </w:rPr>
  </w:style>
  <w:style w:type="paragraph" w:customStyle="1" w:styleId="paragraph">
    <w:name w:val="paragraph"/>
    <w:basedOn w:val="Normal"/>
    <w:rsid w:val="00673999"/>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04ea26-1f02-4b3a-9189-a1e4febbc66c" xsi:nil="true"/>
    <lcf76f155ced4ddcb4097134ff3c332f xmlns="f9ce7994-1333-4ec0-9914-10850de089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38303F120C2C42B0A2411AE3DFA1ED" ma:contentTypeVersion="21" ma:contentTypeDescription="Create a new document." ma:contentTypeScope="" ma:versionID="c31c545e066e6d81582910b2551753a5">
  <xsd:schema xmlns:xsd="http://www.w3.org/2001/XMLSchema" xmlns:xs="http://www.w3.org/2001/XMLSchema" xmlns:p="http://schemas.microsoft.com/office/2006/metadata/properties" xmlns:ns2="f9ce7994-1333-4ec0-9914-10850de0896f" xmlns:ns3="b104ea26-1f02-4b3a-9189-a1e4febbc66c" targetNamespace="http://schemas.microsoft.com/office/2006/metadata/properties" ma:root="true" ma:fieldsID="0bbbe6c94fea6548eb6a0e1d2f27e095" ns2:_="" ns3:_="">
    <xsd:import namespace="f9ce7994-1333-4ec0-9914-10850de0896f"/>
    <xsd:import namespace="b104ea26-1f02-4b3a-9189-a1e4febbc6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994-1333-4ec0-9914-10850de08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04ea26-1f02-4b3a-9189-a1e4febbc6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f35800-3d63-4702-a0b3-cfed28d24756}" ma:internalName="TaxCatchAll" ma:showField="CatchAllData" ma:web="b104ea26-1f02-4b3a-9189-a1e4febbc66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2.xml><?xml version="1.0" encoding="utf-8"?>
<ds:datastoreItem xmlns:ds="http://schemas.openxmlformats.org/officeDocument/2006/customXml" ds:itemID="{98AD3B20-E2D2-4470-943E-D6DAA6A17F91}"/>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16</Pages>
  <Words>6024</Words>
  <Characters>34342</Characters>
  <Application>Microsoft Office Word</Application>
  <DocSecurity>0</DocSecurity>
  <Lines>286</Lines>
  <Paragraphs>80</Paragraphs>
  <ScaleCrop>false</ScaleCrop>
  <Company>ESMA</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Pelletier, Martine MM</cp:lastModifiedBy>
  <cp:revision>29</cp:revision>
  <cp:lastPrinted>2025-03-31T15:58:00Z</cp:lastPrinted>
  <dcterms:created xsi:type="dcterms:W3CDTF">2025-03-31T15:37:00Z</dcterms:created>
  <dcterms:modified xsi:type="dcterms:W3CDTF">2025-03-31T16:04:00Z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0x0101003338303F120C2C42B0A2411AE3DFA1ED</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