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ottotitolo"/>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ottotitolo"/>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Paragrafoelenco"/>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Paragrafoelenco"/>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Paragrafoelenco"/>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Paragrafoelenco"/>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Paragrafoelenco"/>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Paragrafoelenco"/>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Paragrafoelenco"/>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Collegamentoipertestuale"/>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Collegamentoipertestuale"/>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Collegamentoipertestuale"/>
          <w:sz w:val="20"/>
          <w:szCs w:val="18"/>
        </w:rPr>
        <w:t>‘</w:t>
      </w:r>
      <w:hyperlink r:id="rId23" w:history="1">
        <w:r w:rsidRPr="00AF763D">
          <w:rPr>
            <w:rStyle w:val="Collegamentoipertestuale"/>
            <w:sz w:val="20"/>
            <w:szCs w:val="18"/>
          </w:rPr>
          <w:t>Data protection</w:t>
        </w:r>
      </w:hyperlink>
      <w:r w:rsidRPr="00AF763D">
        <w:rPr>
          <w:rStyle w:val="Collegamentoipertestuale"/>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Titolo1"/>
        <w:rPr>
          <w:sz w:val="24"/>
          <w:szCs w:val="24"/>
        </w:rPr>
      </w:pPr>
      <w:bookmarkStart w:id="7" w:name="_Hlk124776172"/>
      <w:r w:rsidRPr="00AF763D">
        <w:rPr>
          <w:sz w:val="24"/>
          <w:szCs w:val="24"/>
        </w:rPr>
        <w:lastRenderedPageBreak/>
        <w:t>General information about respondent</w:t>
      </w:r>
    </w:p>
    <w:tbl>
      <w:tblPr>
        <w:tblStyle w:val="Grigliatabella"/>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Testosegnaposto"/>
              <w:sz w:val="20"/>
              <w:szCs w:val="18"/>
            </w:rPr>
            <w:id w:val="-179280767"/>
            <w:text/>
          </w:sdtPr>
          <w:sdtEndPr>
            <w:rPr>
              <w:rStyle w:val="Testosegnaposto"/>
            </w:rPr>
          </w:sdtEndPr>
          <w:sdtContent>
            <w:tc>
              <w:tcPr>
                <w:tcW w:w="6997" w:type="dxa"/>
                <w:gridSpan w:val="4"/>
              </w:tcPr>
              <w:p w14:paraId="0D7893C6" w14:textId="0B6CD071" w:rsidR="0030108F" w:rsidRDefault="006C2779" w:rsidP="008A50BE">
                <w:pPr>
                  <w:spacing w:after="120"/>
                  <w:rPr>
                    <w:sz w:val="20"/>
                    <w:szCs w:val="18"/>
                  </w:rPr>
                </w:pPr>
                <w:proofErr w:type="gramStart"/>
                <w:r>
                  <w:rPr>
                    <w:rStyle w:val="Testosegnaposto"/>
                    <w:sz w:val="20"/>
                    <w:szCs w:val="18"/>
                  </w:rPr>
                  <w:t>A</w:t>
                </w:r>
                <w:r>
                  <w:rPr>
                    <w:rStyle w:val="Testosegnaposto"/>
                    <w:szCs w:val="18"/>
                  </w:rPr>
                  <w:t>SSIREVI  (</w:t>
                </w:r>
                <w:proofErr w:type="gramEnd"/>
                <w:r>
                  <w:rPr>
                    <w:rStyle w:val="Testosegnaposto"/>
                    <w:szCs w:val="18"/>
                  </w:rPr>
                  <w:t>Association of the Italian Audit Firms)</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EndPr/>
          <w:sdtContent>
            <w:tc>
              <w:tcPr>
                <w:tcW w:w="6997" w:type="dxa"/>
                <w:gridSpan w:val="4"/>
                <w:vAlign w:val="center"/>
              </w:tcPr>
              <w:p w14:paraId="4D2A02E5" w14:textId="67E74DF4" w:rsidR="00DE432B" w:rsidRDefault="006C2779"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56CD7739" w:rsidR="00DE432B" w:rsidRDefault="006C2779" w:rsidP="008A50BE">
                <w:pPr>
                  <w:spacing w:after="120"/>
                  <w:rPr>
                    <w:sz w:val="20"/>
                    <w:szCs w:val="18"/>
                  </w:rPr>
                </w:pPr>
                <w:r>
                  <w:rPr>
                    <w:sz w:val="20"/>
                    <w:szCs w:val="18"/>
                  </w:rPr>
                  <w:t>Italy</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Testosegnaposto"/>
                <w:sz w:val="20"/>
                <w:szCs w:val="18"/>
              </w:rPr>
              <w:id w:val="733121204"/>
              <w:showingPlcHdr/>
              <w:text/>
            </w:sdtPr>
            <w:sdtEndPr>
              <w:rPr>
                <w:rStyle w:val="Testosegnaposto"/>
              </w:rPr>
            </w:sdtEndPr>
            <w:sdtContent>
              <w:p w14:paraId="18F8042D" w14:textId="438BFE55" w:rsidR="00A10F6D" w:rsidRDefault="008A50BE" w:rsidP="008A50BE">
                <w:pPr>
                  <w:spacing w:after="120"/>
                  <w:rPr>
                    <w:sz w:val="20"/>
                    <w:szCs w:val="18"/>
                  </w:rPr>
                </w:pPr>
                <w:r w:rsidRPr="00AF763D">
                  <w:rPr>
                    <w:rStyle w:val="Testosegnaposto"/>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Testosegnaposto"/>
                <w:sz w:val="20"/>
                <w:szCs w:val="18"/>
              </w:rPr>
              <w:id w:val="321700705"/>
              <w:showingPlcHdr/>
              <w:text/>
            </w:sdtPr>
            <w:sdtEndPr>
              <w:rPr>
                <w:rStyle w:val="Testosegnaposto"/>
              </w:rPr>
            </w:sdtEndPr>
            <w:sdtContent>
              <w:p w14:paraId="5F0E3DF4" w14:textId="424A26F7" w:rsidR="00A10F6D" w:rsidRDefault="0092723C" w:rsidP="0092723C">
                <w:pPr>
                  <w:spacing w:after="120"/>
                  <w:rPr>
                    <w:sz w:val="20"/>
                    <w:szCs w:val="18"/>
                  </w:rPr>
                </w:pPr>
                <w:r w:rsidRPr="00AF763D">
                  <w:rPr>
                    <w:rStyle w:val="Testosegnaposto"/>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EndPr/>
          <w:sdtContent>
            <w:tc>
              <w:tcPr>
                <w:tcW w:w="425" w:type="dxa"/>
                <w:shd w:val="clear" w:color="auto" w:fill="F0F0F0" w:themeFill="background1"/>
              </w:tcPr>
              <w:p w14:paraId="5327FFEC" w14:textId="5BBED662" w:rsidR="00A10F6D" w:rsidRDefault="006C2779"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Testosegnaposto"/>
              <w:sz w:val="20"/>
              <w:szCs w:val="18"/>
            </w:rPr>
            <w:id w:val="1865097083"/>
            <w:text/>
          </w:sdtPr>
          <w:sdtEndPr>
            <w:rPr>
              <w:rStyle w:val="Testosegnaposto"/>
            </w:rPr>
          </w:sdtEndPr>
          <w:sdtContent>
            <w:tc>
              <w:tcPr>
                <w:tcW w:w="4708" w:type="dxa"/>
                <w:gridSpan w:val="2"/>
                <w:shd w:val="clear" w:color="auto" w:fill="F0F0F0" w:themeFill="background1"/>
              </w:tcPr>
              <w:p w14:paraId="4633F276" w14:textId="31740B4D" w:rsidR="00A10F6D" w:rsidRDefault="006C2779" w:rsidP="008A50BE">
                <w:pPr>
                  <w:spacing w:after="120"/>
                  <w:rPr>
                    <w:sz w:val="20"/>
                    <w:szCs w:val="18"/>
                  </w:rPr>
                </w:pPr>
                <w:r>
                  <w:rPr>
                    <w:rStyle w:val="Testosegnaposto"/>
                    <w:sz w:val="20"/>
                    <w:szCs w:val="18"/>
                  </w:rPr>
                  <w:t>A</w:t>
                </w:r>
                <w:r>
                  <w:rPr>
                    <w:rStyle w:val="Testosegnaposto"/>
                    <w:szCs w:val="18"/>
                  </w:rPr>
                  <w:t>ssociation of the Italian Audit Firms</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Titolo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472EA06A" w14:textId="0E1AE07E" w:rsidR="006B5DF1" w:rsidRPr="00AF763D" w:rsidRDefault="003155DF" w:rsidP="006B5DF1">
      <w:pPr>
        <w:spacing w:after="0"/>
        <w:rPr>
          <w:sz w:val="20"/>
          <w:szCs w:val="18"/>
        </w:rPr>
      </w:pPr>
      <w:permStart w:id="1107116594" w:edGrp="everyone"/>
      <w:r w:rsidRPr="00BD6FA4">
        <w:rPr>
          <w:szCs w:val="22"/>
        </w:rPr>
        <w:t xml:space="preserve">We agree with the assessments made regarding the development of </w:t>
      </w:r>
      <w:r>
        <w:rPr>
          <w:szCs w:val="22"/>
        </w:rPr>
        <w:t>marking up</w:t>
      </w:r>
      <w:r w:rsidRPr="00BD6FA4">
        <w:rPr>
          <w:szCs w:val="22"/>
        </w:rPr>
        <w:t xml:space="preserve"> rules and the possibility of </w:t>
      </w:r>
      <w:r>
        <w:rPr>
          <w:szCs w:val="22"/>
        </w:rPr>
        <w:t>adopting a phased</w:t>
      </w:r>
      <w:r w:rsidRPr="00BD6FA4">
        <w:rPr>
          <w:szCs w:val="22"/>
        </w:rPr>
        <w:t xml:space="preserve"> approach to </w:t>
      </w:r>
      <w:r>
        <w:rPr>
          <w:szCs w:val="22"/>
        </w:rPr>
        <w:t xml:space="preserve">their </w:t>
      </w:r>
      <w:r w:rsidRPr="00BD6FA4">
        <w:rPr>
          <w:szCs w:val="22"/>
        </w:rPr>
        <w:t>appl</w:t>
      </w:r>
      <w:r>
        <w:rPr>
          <w:szCs w:val="22"/>
        </w:rPr>
        <w:t xml:space="preserve">ication, </w:t>
      </w:r>
      <w:proofErr w:type="gramStart"/>
      <w:r w:rsidRPr="00D25AF1">
        <w:rPr>
          <w:szCs w:val="22"/>
        </w:rPr>
        <w:t>taking into account</w:t>
      </w:r>
      <w:proofErr w:type="gramEnd"/>
      <w:r w:rsidRPr="00D25AF1">
        <w:rPr>
          <w:szCs w:val="22"/>
        </w:rPr>
        <w:t xml:space="preserve"> some specific considerations</w:t>
      </w:r>
      <w:r>
        <w:rPr>
          <w:szCs w:val="22"/>
        </w:rPr>
        <w:t>,</w:t>
      </w:r>
      <w:r w:rsidRPr="00D25AF1">
        <w:rPr>
          <w:szCs w:val="22"/>
        </w:rPr>
        <w:t xml:space="preserve"> </w:t>
      </w:r>
      <w:r>
        <w:rPr>
          <w:szCs w:val="22"/>
        </w:rPr>
        <w:t xml:space="preserve">as </w:t>
      </w:r>
      <w:r w:rsidRPr="00D25AF1">
        <w:rPr>
          <w:szCs w:val="22"/>
        </w:rPr>
        <w:t>better de</w:t>
      </w:r>
      <w:r>
        <w:rPr>
          <w:szCs w:val="22"/>
        </w:rPr>
        <w:t>scrib</w:t>
      </w:r>
      <w:r w:rsidRPr="00D25AF1">
        <w:rPr>
          <w:szCs w:val="22"/>
        </w:rPr>
        <w:t xml:space="preserve">ed in Question 3 </w:t>
      </w:r>
      <w:r>
        <w:rPr>
          <w:szCs w:val="22"/>
        </w:rPr>
        <w:t xml:space="preserve">below, </w:t>
      </w:r>
      <w:r w:rsidRPr="00D25AF1">
        <w:rPr>
          <w:szCs w:val="22"/>
        </w:rPr>
        <w:t>regarding the scope of the ESEF regulation</w:t>
      </w:r>
      <w:r w:rsidRPr="00BD6FA4">
        <w:rPr>
          <w:szCs w:val="22"/>
        </w:rPr>
        <w:t xml:space="preserve">. The one-to-one approach in </w:t>
      </w:r>
      <w:r>
        <w:rPr>
          <w:szCs w:val="22"/>
        </w:rPr>
        <w:t xml:space="preserve">marking up </w:t>
      </w:r>
      <w:r w:rsidRPr="00BD6FA4">
        <w:rPr>
          <w:szCs w:val="22"/>
        </w:rPr>
        <w:t xml:space="preserve">sustainability information could reduce the effort of issuers in selecting tags, also </w:t>
      </w:r>
      <w:proofErr w:type="gramStart"/>
      <w:r w:rsidRPr="00BD6FA4">
        <w:rPr>
          <w:szCs w:val="22"/>
        </w:rPr>
        <w:t>taking into account</w:t>
      </w:r>
      <w:proofErr w:type="gramEnd"/>
      <w:r w:rsidRPr="00BD6FA4">
        <w:rPr>
          <w:szCs w:val="22"/>
        </w:rPr>
        <w:t xml:space="preserve"> the support of a reference </w:t>
      </w:r>
      <w:proofErr w:type="spellStart"/>
      <w:r w:rsidRPr="00BD6FA4">
        <w:rPr>
          <w:szCs w:val="22"/>
        </w:rPr>
        <w:t>linkbase</w:t>
      </w:r>
      <w:proofErr w:type="spellEnd"/>
      <w:r w:rsidRPr="00BD6FA4">
        <w:rPr>
          <w:szCs w:val="22"/>
        </w:rPr>
        <w:t xml:space="preserve"> structured on multiple levels. </w:t>
      </w:r>
      <w:r>
        <w:rPr>
          <w:szCs w:val="22"/>
        </w:rPr>
        <w:t>This would also reduce</w:t>
      </w:r>
      <w:r w:rsidRPr="00BD6FA4">
        <w:rPr>
          <w:szCs w:val="22"/>
        </w:rPr>
        <w:t xml:space="preserve"> the subjectivity of marking </w:t>
      </w:r>
      <w:r>
        <w:rPr>
          <w:szCs w:val="22"/>
        </w:rPr>
        <w:t>up</w:t>
      </w:r>
      <w:r w:rsidRPr="00BD6FA4">
        <w:rPr>
          <w:szCs w:val="22"/>
        </w:rPr>
        <w:t xml:space="preserve">. The narrative nature of the information will allow for a simpler approach, as </w:t>
      </w:r>
      <w:r>
        <w:rPr>
          <w:szCs w:val="22"/>
        </w:rPr>
        <w:t>this would be</w:t>
      </w:r>
      <w:r w:rsidRPr="00BD6FA4">
        <w:rPr>
          <w:szCs w:val="22"/>
        </w:rPr>
        <w:t xml:space="preserve"> </w:t>
      </w:r>
      <w:proofErr w:type="gramStart"/>
      <w:r w:rsidRPr="00BD6FA4">
        <w:rPr>
          <w:szCs w:val="22"/>
        </w:rPr>
        <w:t>similar to</w:t>
      </w:r>
      <w:proofErr w:type="gramEnd"/>
      <w:r w:rsidRPr="00BD6FA4">
        <w:rPr>
          <w:szCs w:val="22"/>
        </w:rPr>
        <w:t xml:space="preserve"> the marking </w:t>
      </w:r>
      <w:r>
        <w:rPr>
          <w:szCs w:val="22"/>
        </w:rPr>
        <w:t xml:space="preserve">up </w:t>
      </w:r>
      <w:r w:rsidRPr="00BD6FA4">
        <w:rPr>
          <w:szCs w:val="22"/>
        </w:rPr>
        <w:t xml:space="preserve">of the </w:t>
      </w:r>
      <w:r>
        <w:rPr>
          <w:szCs w:val="22"/>
        </w:rPr>
        <w:t>Notes to</w:t>
      </w:r>
      <w:r w:rsidRPr="00BD6FA4">
        <w:rPr>
          <w:szCs w:val="22"/>
        </w:rPr>
        <w:t xml:space="preserve"> the consolidated financial statements. The use of new elements (</w:t>
      </w:r>
      <w:proofErr w:type="spellStart"/>
      <w:r w:rsidRPr="00BD6FA4">
        <w:rPr>
          <w:szCs w:val="22"/>
        </w:rPr>
        <w:t>booleans</w:t>
      </w:r>
      <w:proofErr w:type="spellEnd"/>
      <w:r w:rsidRPr="00BD6FA4">
        <w:rPr>
          <w:szCs w:val="22"/>
        </w:rPr>
        <w:t xml:space="preserve"> and enumerations) </w:t>
      </w:r>
      <w:r>
        <w:rPr>
          <w:szCs w:val="22"/>
        </w:rPr>
        <w:t>would</w:t>
      </w:r>
      <w:r w:rsidRPr="00BD6FA4">
        <w:rPr>
          <w:szCs w:val="22"/>
        </w:rPr>
        <w:t xml:space="preserve"> be </w:t>
      </w:r>
      <w:r>
        <w:rPr>
          <w:szCs w:val="22"/>
        </w:rPr>
        <w:t>equally</w:t>
      </w:r>
      <w:r w:rsidRPr="00BD6FA4">
        <w:rPr>
          <w:szCs w:val="22"/>
        </w:rPr>
        <w:t xml:space="preserve"> useful, provided that practical guidelines on their use are available. However, with a view to clarity and simplification, </w:t>
      </w:r>
      <w:r>
        <w:rPr>
          <w:szCs w:val="22"/>
        </w:rPr>
        <w:t xml:space="preserve">we do believe that </w:t>
      </w:r>
      <w:r w:rsidRPr="00BD6FA4">
        <w:rPr>
          <w:szCs w:val="22"/>
        </w:rPr>
        <w:t xml:space="preserve">the RTS </w:t>
      </w:r>
      <w:r>
        <w:rPr>
          <w:szCs w:val="22"/>
        </w:rPr>
        <w:t>under</w:t>
      </w:r>
      <w:r w:rsidRPr="00BD6FA4">
        <w:rPr>
          <w:szCs w:val="22"/>
        </w:rPr>
        <w:t xml:space="preserve"> consultation should </w:t>
      </w:r>
      <w:r>
        <w:rPr>
          <w:szCs w:val="22"/>
        </w:rPr>
        <w:t xml:space="preserve">only </w:t>
      </w:r>
      <w:r w:rsidRPr="00BD6FA4">
        <w:rPr>
          <w:szCs w:val="22"/>
        </w:rPr>
        <w:t xml:space="preserve">provide for the tagging </w:t>
      </w:r>
      <w:r>
        <w:rPr>
          <w:szCs w:val="22"/>
        </w:rPr>
        <w:t xml:space="preserve">of </w:t>
      </w:r>
      <w:r w:rsidRPr="00BD6FA4">
        <w:rPr>
          <w:szCs w:val="22"/>
        </w:rPr>
        <w:t xml:space="preserve">the mandatory </w:t>
      </w:r>
      <w:r>
        <w:rPr>
          <w:szCs w:val="22"/>
        </w:rPr>
        <w:t>D</w:t>
      </w:r>
      <w:r w:rsidRPr="00BD6FA4">
        <w:rPr>
          <w:szCs w:val="22"/>
        </w:rPr>
        <w:t xml:space="preserve">isclosure </w:t>
      </w:r>
      <w:r>
        <w:rPr>
          <w:szCs w:val="22"/>
        </w:rPr>
        <w:t>R</w:t>
      </w:r>
      <w:r w:rsidRPr="00BD6FA4">
        <w:rPr>
          <w:szCs w:val="22"/>
        </w:rPr>
        <w:t xml:space="preserve">equirements or </w:t>
      </w:r>
      <w:r>
        <w:rPr>
          <w:szCs w:val="22"/>
        </w:rPr>
        <w:t>D</w:t>
      </w:r>
      <w:r w:rsidRPr="00BD6FA4">
        <w:rPr>
          <w:szCs w:val="22"/>
        </w:rPr>
        <w:t>atapoints indicated in the ESRS with the expressions "shall disclose" or "shall include".</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67D7816" w14:textId="77777777" w:rsidR="003155DF" w:rsidRDefault="003155DF" w:rsidP="003155DF">
      <w:pPr>
        <w:spacing w:after="0"/>
        <w:rPr>
          <w:szCs w:val="22"/>
        </w:rPr>
      </w:pPr>
      <w:permStart w:id="731332295" w:edGrp="everyone"/>
      <w:r w:rsidRPr="00BD6FA4">
        <w:rPr>
          <w:szCs w:val="22"/>
        </w:rPr>
        <w:t>In general terms, we believe that the use of the ESEF electronic format for sustainability reporting i</w:t>
      </w:r>
      <w:r>
        <w:rPr>
          <w:szCs w:val="22"/>
        </w:rPr>
        <w:t>mposes</w:t>
      </w:r>
      <w:r w:rsidRPr="00BD6FA4">
        <w:rPr>
          <w:szCs w:val="22"/>
        </w:rPr>
        <w:t xml:space="preserve"> a significant burden </w:t>
      </w:r>
      <w:r>
        <w:rPr>
          <w:szCs w:val="22"/>
        </w:rPr>
        <w:t>on</w:t>
      </w:r>
      <w:r w:rsidRPr="00BD6FA4">
        <w:rPr>
          <w:szCs w:val="22"/>
        </w:rPr>
        <w:t xml:space="preserve"> companies, without </w:t>
      </w:r>
      <w:r>
        <w:rPr>
          <w:szCs w:val="22"/>
        </w:rPr>
        <w:t>addressing</w:t>
      </w:r>
      <w:r w:rsidRPr="00BD6FA4">
        <w:rPr>
          <w:szCs w:val="22"/>
        </w:rPr>
        <w:t xml:space="preserve"> a </w:t>
      </w:r>
      <w:r>
        <w:rPr>
          <w:szCs w:val="22"/>
        </w:rPr>
        <w:t>priority</w:t>
      </w:r>
      <w:r w:rsidRPr="00BD6FA4">
        <w:rPr>
          <w:szCs w:val="22"/>
        </w:rPr>
        <w:t xml:space="preserve"> and immediate need </w:t>
      </w:r>
      <w:r>
        <w:rPr>
          <w:szCs w:val="22"/>
        </w:rPr>
        <w:t>for</w:t>
      </w:r>
      <w:r w:rsidRPr="00BD6FA4">
        <w:rPr>
          <w:szCs w:val="22"/>
        </w:rPr>
        <w:t xml:space="preserve"> </w:t>
      </w:r>
      <w:r>
        <w:rPr>
          <w:szCs w:val="22"/>
        </w:rPr>
        <w:t xml:space="preserve">the </w:t>
      </w:r>
      <w:r w:rsidRPr="00BD6FA4">
        <w:rPr>
          <w:szCs w:val="22"/>
        </w:rPr>
        <w:t xml:space="preserve">users of sustainability information </w:t>
      </w:r>
      <w:r>
        <w:rPr>
          <w:szCs w:val="22"/>
        </w:rPr>
        <w:t>at</w:t>
      </w:r>
      <w:r w:rsidRPr="00BD6FA4">
        <w:rPr>
          <w:szCs w:val="22"/>
        </w:rPr>
        <w:t xml:space="preserve"> this </w:t>
      </w:r>
      <w:r>
        <w:rPr>
          <w:szCs w:val="22"/>
        </w:rPr>
        <w:t>initial stage of</w:t>
      </w:r>
      <w:r w:rsidRPr="00BD6FA4">
        <w:rPr>
          <w:szCs w:val="22"/>
        </w:rPr>
        <w:t xml:space="preserve"> implement</w:t>
      </w:r>
      <w:r>
        <w:rPr>
          <w:szCs w:val="22"/>
        </w:rPr>
        <w:t>ing</w:t>
      </w:r>
      <w:r w:rsidRPr="00BD6FA4">
        <w:rPr>
          <w:szCs w:val="22"/>
        </w:rPr>
        <w:t xml:space="preserve"> such a complex regulatory and reporting framework. </w:t>
      </w:r>
      <w:r>
        <w:rPr>
          <w:szCs w:val="22"/>
        </w:rPr>
        <w:t>Therefore, our</w:t>
      </w:r>
      <w:r w:rsidRPr="00BD6FA4">
        <w:rPr>
          <w:szCs w:val="22"/>
        </w:rPr>
        <w:t xml:space="preserve"> Association believes that it </w:t>
      </w:r>
      <w:r>
        <w:rPr>
          <w:szCs w:val="22"/>
        </w:rPr>
        <w:t>would</w:t>
      </w:r>
      <w:r w:rsidRPr="00BD6FA4">
        <w:rPr>
          <w:szCs w:val="22"/>
        </w:rPr>
        <w:t xml:space="preserve"> be appropriate </w:t>
      </w:r>
      <w:r>
        <w:rPr>
          <w:szCs w:val="22"/>
        </w:rPr>
        <w:t xml:space="preserve">to </w:t>
      </w:r>
      <w:r w:rsidRPr="00BD6FA4">
        <w:rPr>
          <w:szCs w:val="22"/>
        </w:rPr>
        <w:t xml:space="preserve">consider </w:t>
      </w:r>
      <w:r>
        <w:rPr>
          <w:szCs w:val="22"/>
        </w:rPr>
        <w:t>a</w:t>
      </w:r>
      <w:r w:rsidRPr="00BD6FA4">
        <w:rPr>
          <w:szCs w:val="22"/>
        </w:rPr>
        <w:t xml:space="preserve"> defer</w:t>
      </w:r>
      <w:r>
        <w:rPr>
          <w:szCs w:val="22"/>
        </w:rPr>
        <w:t>ral</w:t>
      </w:r>
      <w:r w:rsidRPr="00BD6FA4">
        <w:rPr>
          <w:szCs w:val="22"/>
        </w:rPr>
        <w:t xml:space="preserve"> </w:t>
      </w:r>
      <w:r>
        <w:rPr>
          <w:szCs w:val="22"/>
        </w:rPr>
        <w:t xml:space="preserve">of </w:t>
      </w:r>
      <w:r w:rsidRPr="00BD6FA4">
        <w:rPr>
          <w:szCs w:val="22"/>
        </w:rPr>
        <w:t xml:space="preserve">the ESEF </w:t>
      </w:r>
      <w:r>
        <w:rPr>
          <w:szCs w:val="22"/>
        </w:rPr>
        <w:t>requirements for</w:t>
      </w:r>
      <w:r w:rsidRPr="00BD6FA4">
        <w:rPr>
          <w:szCs w:val="22"/>
        </w:rPr>
        <w:t xml:space="preserve"> sustainability reporting for a</w:t>
      </w:r>
      <w:r>
        <w:rPr>
          <w:szCs w:val="22"/>
        </w:rPr>
        <w:t xml:space="preserve"> reasonable</w:t>
      </w:r>
      <w:r w:rsidRPr="00BD6FA4">
        <w:rPr>
          <w:szCs w:val="22"/>
        </w:rPr>
        <w:t xml:space="preserve"> </w:t>
      </w:r>
      <w:proofErr w:type="gramStart"/>
      <w:r w:rsidRPr="00BD6FA4">
        <w:rPr>
          <w:szCs w:val="22"/>
        </w:rPr>
        <w:t>period of time</w:t>
      </w:r>
      <w:proofErr w:type="gramEnd"/>
      <w:r w:rsidRPr="00BD6FA4">
        <w:rPr>
          <w:szCs w:val="22"/>
        </w:rPr>
        <w:t xml:space="preserve">. With </w:t>
      </w:r>
      <w:r>
        <w:rPr>
          <w:szCs w:val="22"/>
        </w:rPr>
        <w:t xml:space="preserve">specific </w:t>
      </w:r>
      <w:r w:rsidRPr="00BD6FA4">
        <w:rPr>
          <w:szCs w:val="22"/>
        </w:rPr>
        <w:t xml:space="preserve">reference to the document under consultation, we suggest that the implementation of the </w:t>
      </w:r>
      <w:r>
        <w:rPr>
          <w:szCs w:val="22"/>
        </w:rPr>
        <w:t>marking up</w:t>
      </w:r>
      <w:r w:rsidRPr="00BD6FA4">
        <w:rPr>
          <w:szCs w:val="22"/>
        </w:rPr>
        <w:t xml:space="preserve"> rules should always be required</w:t>
      </w:r>
      <w:r>
        <w:rPr>
          <w:szCs w:val="22"/>
        </w:rPr>
        <w:t xml:space="preserve"> not earlier than</w:t>
      </w:r>
      <w:r w:rsidRPr="00BD6FA4">
        <w:rPr>
          <w:szCs w:val="22"/>
        </w:rPr>
        <w:t xml:space="preserve"> from the </w:t>
      </w:r>
      <w:r>
        <w:rPr>
          <w:szCs w:val="22"/>
        </w:rPr>
        <w:t>fiscal year</w:t>
      </w:r>
      <w:r w:rsidRPr="00BD6FA4">
        <w:rPr>
          <w:szCs w:val="22"/>
        </w:rPr>
        <w:t xml:space="preserve"> </w:t>
      </w:r>
      <w:r>
        <w:rPr>
          <w:szCs w:val="22"/>
        </w:rPr>
        <w:t>(N+1) following</w:t>
      </w:r>
      <w:r w:rsidRPr="00BD6FA4">
        <w:rPr>
          <w:szCs w:val="22"/>
        </w:rPr>
        <w:t xml:space="preserve"> the publication of the RTS in the </w:t>
      </w:r>
      <w:r>
        <w:rPr>
          <w:szCs w:val="22"/>
        </w:rPr>
        <w:t xml:space="preserve">Official Journal of the </w:t>
      </w:r>
      <w:r w:rsidRPr="00BD6FA4">
        <w:rPr>
          <w:szCs w:val="22"/>
        </w:rPr>
        <w:t xml:space="preserve">European </w:t>
      </w:r>
      <w:r>
        <w:rPr>
          <w:szCs w:val="22"/>
        </w:rPr>
        <w:t>Union,</w:t>
      </w:r>
      <w:r w:rsidRPr="00BD6FA4">
        <w:rPr>
          <w:szCs w:val="22"/>
        </w:rPr>
        <w:t xml:space="preserve"> and not in the </w:t>
      </w:r>
      <w:r>
        <w:rPr>
          <w:szCs w:val="22"/>
        </w:rPr>
        <w:t xml:space="preserve">same </w:t>
      </w:r>
      <w:r w:rsidRPr="00BD6FA4">
        <w:rPr>
          <w:szCs w:val="22"/>
        </w:rPr>
        <w:t xml:space="preserve">year </w:t>
      </w:r>
      <w:r>
        <w:rPr>
          <w:szCs w:val="22"/>
        </w:rPr>
        <w:t>as the</w:t>
      </w:r>
      <w:r w:rsidRPr="00BD6FA4">
        <w:rPr>
          <w:szCs w:val="22"/>
        </w:rPr>
        <w:t xml:space="preserve"> publication, </w:t>
      </w:r>
      <w:r>
        <w:rPr>
          <w:szCs w:val="22"/>
        </w:rPr>
        <w:t>so as to</w:t>
      </w:r>
      <w:r w:rsidRPr="00BD6FA4">
        <w:rPr>
          <w:szCs w:val="22"/>
        </w:rPr>
        <w:t xml:space="preserve"> allow </w:t>
      </w:r>
      <w:r>
        <w:rPr>
          <w:szCs w:val="22"/>
        </w:rPr>
        <w:t>undertakings to conform</w:t>
      </w:r>
      <w:r w:rsidRPr="00BD6FA4">
        <w:rPr>
          <w:szCs w:val="22"/>
        </w:rPr>
        <w:t xml:space="preserve"> </w:t>
      </w:r>
      <w:r>
        <w:rPr>
          <w:szCs w:val="22"/>
        </w:rPr>
        <w:t>with the requirements within an adequate timeframe</w:t>
      </w:r>
      <w:r w:rsidRPr="00BD6FA4">
        <w:rPr>
          <w:szCs w:val="22"/>
        </w:rPr>
        <w:t xml:space="preserve">. </w:t>
      </w:r>
    </w:p>
    <w:p w14:paraId="3487238F" w14:textId="3BCA9536" w:rsidR="006B5DF1" w:rsidRPr="003155DF" w:rsidRDefault="003155DF" w:rsidP="003155DF">
      <w:pPr>
        <w:spacing w:after="0"/>
      </w:pPr>
      <w:r>
        <w:rPr>
          <w:szCs w:val="22"/>
        </w:rPr>
        <w:t>Furthermore</w:t>
      </w:r>
      <w:r w:rsidRPr="00BD6FA4">
        <w:rPr>
          <w:szCs w:val="22"/>
        </w:rPr>
        <w:t xml:space="preserve">, in outlining the application </w:t>
      </w:r>
      <w:r>
        <w:rPr>
          <w:szCs w:val="22"/>
        </w:rPr>
        <w:t xml:space="preserve">timelines </w:t>
      </w:r>
      <w:r w:rsidRPr="00BD6FA4">
        <w:rPr>
          <w:szCs w:val="22"/>
        </w:rPr>
        <w:t xml:space="preserve">of the RTS, it would be appropriate to </w:t>
      </w:r>
      <w:r>
        <w:rPr>
          <w:szCs w:val="22"/>
        </w:rPr>
        <w:t>consider</w:t>
      </w:r>
      <w:r w:rsidRPr="00BD6FA4">
        <w:rPr>
          <w:szCs w:val="22"/>
        </w:rPr>
        <w:t xml:space="preserve"> any </w:t>
      </w:r>
      <w:proofErr w:type="spellStart"/>
      <w:r w:rsidRPr="00796C7D">
        <w:rPr>
          <w:szCs w:val="22"/>
        </w:rPr>
        <w:t>postponment</w:t>
      </w:r>
      <w:proofErr w:type="spellEnd"/>
      <w:r w:rsidRPr="00BD6FA4">
        <w:rPr>
          <w:szCs w:val="22"/>
        </w:rPr>
        <w:t xml:space="preserve"> to the </w:t>
      </w:r>
      <w:r>
        <w:rPr>
          <w:szCs w:val="22"/>
        </w:rPr>
        <w:t xml:space="preserve">implementation of the </w:t>
      </w:r>
      <w:r w:rsidRPr="00BD6FA4">
        <w:rPr>
          <w:szCs w:val="22"/>
        </w:rPr>
        <w:t xml:space="preserve">CSRD </w:t>
      </w:r>
      <w:r>
        <w:rPr>
          <w:szCs w:val="22"/>
        </w:rPr>
        <w:t xml:space="preserve">currently </w:t>
      </w:r>
      <w:r w:rsidRPr="00BD6FA4">
        <w:rPr>
          <w:szCs w:val="22"/>
        </w:rPr>
        <w:t xml:space="preserve">being defined at </w:t>
      </w:r>
      <w:r>
        <w:rPr>
          <w:szCs w:val="22"/>
        </w:rPr>
        <w:t xml:space="preserve">the </w:t>
      </w:r>
      <w:r w:rsidRPr="00BD6FA4">
        <w:rPr>
          <w:szCs w:val="22"/>
        </w:rPr>
        <w:t xml:space="preserve">EU level through the so-called </w:t>
      </w:r>
      <w:r>
        <w:rPr>
          <w:szCs w:val="22"/>
        </w:rPr>
        <w:t>O</w:t>
      </w:r>
      <w:r w:rsidRPr="00BD6FA4">
        <w:rPr>
          <w:szCs w:val="22"/>
        </w:rPr>
        <w:t xml:space="preserve">mnibus </w:t>
      </w:r>
      <w:r>
        <w:rPr>
          <w:szCs w:val="22"/>
        </w:rPr>
        <w:t>package</w:t>
      </w:r>
      <w:r w:rsidRPr="00BD6FA4">
        <w:rPr>
          <w:szCs w:val="22"/>
        </w:rPr>
        <w:t xml:space="preserve"> (</w:t>
      </w:r>
      <w:proofErr w:type="gramStart"/>
      <w:r w:rsidRPr="00BD6FA4">
        <w:rPr>
          <w:szCs w:val="22"/>
        </w:rPr>
        <w:t>COM(</w:t>
      </w:r>
      <w:proofErr w:type="gramEnd"/>
      <w:r w:rsidRPr="00BD6FA4">
        <w:rPr>
          <w:szCs w:val="22"/>
        </w:rPr>
        <w:t xml:space="preserve">2025) 80 final). In any case, the application of </w:t>
      </w:r>
      <w:r>
        <w:rPr>
          <w:szCs w:val="22"/>
        </w:rPr>
        <w:t xml:space="preserve">the </w:t>
      </w:r>
      <w:r w:rsidRPr="00BD6FA4">
        <w:rPr>
          <w:szCs w:val="22"/>
        </w:rPr>
        <w:t xml:space="preserve">RTS should be appropriately supported by guidelines and practical examples on </w:t>
      </w:r>
      <w:r>
        <w:rPr>
          <w:szCs w:val="22"/>
        </w:rPr>
        <w:t xml:space="preserve">the </w:t>
      </w:r>
      <w:r w:rsidRPr="00BD6FA4">
        <w:rPr>
          <w:szCs w:val="22"/>
        </w:rPr>
        <w:t>mark</w:t>
      </w:r>
      <w:r>
        <w:rPr>
          <w:szCs w:val="22"/>
        </w:rPr>
        <w:t xml:space="preserve"> up</w:t>
      </w:r>
      <w:r w:rsidRPr="00BD6FA4">
        <w:rPr>
          <w:szCs w:val="22"/>
        </w:rPr>
        <w:t xml:space="preserve">, as well as </w:t>
      </w:r>
      <w:r>
        <w:rPr>
          <w:szCs w:val="22"/>
        </w:rPr>
        <w:t xml:space="preserve">by </w:t>
      </w:r>
      <w:r w:rsidRPr="00BD6FA4">
        <w:rPr>
          <w:szCs w:val="22"/>
        </w:rPr>
        <w:t xml:space="preserve">clear explanations of what must be mandatorily </w:t>
      </w:r>
      <w:r>
        <w:rPr>
          <w:szCs w:val="22"/>
        </w:rPr>
        <w:t>tagged</w:t>
      </w:r>
      <w:r w:rsidRPr="00BD6FA4">
        <w:t xml:space="preserve">. </w:t>
      </w:r>
      <w:r>
        <w:t>Additionally</w:t>
      </w:r>
      <w:r w:rsidRPr="00BD6FA4">
        <w:t xml:space="preserve">, </w:t>
      </w:r>
      <w:r w:rsidRPr="00435DAA">
        <w:t xml:space="preserve">Recital 16 of the RTS </w:t>
      </w:r>
      <w:r>
        <w:t>under</w:t>
      </w:r>
      <w:r w:rsidRPr="00435DAA">
        <w:t xml:space="preserve"> consultation</w:t>
      </w:r>
      <w:r>
        <w:t xml:space="preserve"> specifies that</w:t>
      </w:r>
      <w:r w:rsidRPr="00BD6FA4">
        <w:t>: "</w:t>
      </w:r>
      <w:r w:rsidRPr="00435DAA">
        <w:rPr>
          <w:i/>
          <w:iCs/>
        </w:rPr>
        <w:t>undertakings should be permitted to voluntarily implement subsequent phases ahead of schedule or may elect to mark up additional information in as much detail as may be technically possible, provided it does not conflict with existing rules, impede the extraction of information, or obscure any required disclosure</w:t>
      </w:r>
      <w:r w:rsidRPr="00435DAA">
        <w:t xml:space="preserve">". </w:t>
      </w:r>
      <w:r w:rsidRPr="00BD6FA4">
        <w:t>In this re</w:t>
      </w:r>
      <w:r>
        <w:t>gard</w:t>
      </w:r>
      <w:r w:rsidRPr="00BD6FA4">
        <w:t xml:space="preserve">, we believe that a </w:t>
      </w:r>
      <w:r w:rsidRPr="00435DAA">
        <w:t>voluntary application of the ESEF "</w:t>
      </w:r>
      <w:r w:rsidRPr="00435DAA">
        <w:rPr>
          <w:i/>
          <w:iCs/>
        </w:rPr>
        <w:t>ahead of schedule</w:t>
      </w:r>
      <w:r w:rsidRPr="00435DAA">
        <w:t xml:space="preserve">" </w:t>
      </w:r>
      <w:r w:rsidRPr="00BD6FA4">
        <w:t xml:space="preserve">could limit the comparability of </w:t>
      </w:r>
      <w:proofErr w:type="gramStart"/>
      <w:r w:rsidRPr="00BD6FA4">
        <w:t xml:space="preserve">sustainability  </w:t>
      </w:r>
      <w:r w:rsidRPr="00BD6FA4">
        <w:lastRenderedPageBreak/>
        <w:t>information</w:t>
      </w:r>
      <w:proofErr w:type="gramEnd"/>
      <w:r w:rsidRPr="00BD6FA4">
        <w:t xml:space="preserve"> and </w:t>
      </w:r>
      <w:r>
        <w:t xml:space="preserve">would </w:t>
      </w:r>
      <w:r w:rsidRPr="00BD6FA4">
        <w:t xml:space="preserve">create confusion </w:t>
      </w:r>
      <w:r>
        <w:t>among its users</w:t>
      </w:r>
      <w:r w:rsidRPr="00BD6FA4">
        <w:t xml:space="preserve">. </w:t>
      </w:r>
      <w:r>
        <w:t xml:space="preserve">Therefore, we believe that this possibility </w:t>
      </w:r>
      <w:r w:rsidRPr="00435DAA">
        <w:t xml:space="preserve">should be appropriately </w:t>
      </w:r>
      <w:r>
        <w:t xml:space="preserve">and carefully </w:t>
      </w:r>
      <w:r w:rsidRPr="00435DAA">
        <w:t>re</w:t>
      </w:r>
      <w:r>
        <w:t>considered</w:t>
      </w:r>
      <w:r w:rsidRPr="00435DAA">
        <w:t>.</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EA6B2FB" w:rsidR="007D4F05" w:rsidRPr="00AF763D" w:rsidRDefault="003155DF" w:rsidP="007D4F05">
      <w:pPr>
        <w:spacing w:after="0"/>
        <w:rPr>
          <w:sz w:val="20"/>
          <w:szCs w:val="18"/>
        </w:rPr>
      </w:pPr>
      <w:permStart w:id="2077629217" w:edGrp="everyone"/>
      <w:r w:rsidRPr="00BD6FA4">
        <w:rPr>
          <w:szCs w:val="22"/>
        </w:rPr>
        <w:t xml:space="preserve">In line with </w:t>
      </w:r>
      <w:r>
        <w:rPr>
          <w:szCs w:val="22"/>
        </w:rPr>
        <w:t>our response</w:t>
      </w:r>
      <w:r w:rsidRPr="00BD6FA4">
        <w:rPr>
          <w:szCs w:val="22"/>
        </w:rPr>
        <w:t xml:space="preserve"> to Question 2</w:t>
      </w:r>
      <w:r>
        <w:rPr>
          <w:szCs w:val="22"/>
        </w:rPr>
        <w:t xml:space="preserve"> above</w:t>
      </w:r>
      <w:r w:rsidRPr="00BD6FA4">
        <w:rPr>
          <w:szCs w:val="22"/>
        </w:rPr>
        <w:t xml:space="preserve">, we believe that the application of the ESEF regulation, especially for </w:t>
      </w:r>
      <w:r>
        <w:rPr>
          <w:szCs w:val="22"/>
        </w:rPr>
        <w:t>non-</w:t>
      </w:r>
      <w:r w:rsidRPr="00BD6FA4">
        <w:rPr>
          <w:szCs w:val="22"/>
        </w:rPr>
        <w:t xml:space="preserve">listed companies </w:t>
      </w:r>
      <w:r>
        <w:rPr>
          <w:szCs w:val="22"/>
        </w:rPr>
        <w:t xml:space="preserve">which are </w:t>
      </w:r>
      <w:r w:rsidRPr="00BD6FA4">
        <w:rPr>
          <w:szCs w:val="22"/>
        </w:rPr>
        <w:t xml:space="preserve">not already subject to the </w:t>
      </w:r>
      <w:r w:rsidRPr="00BD6FA4">
        <w:t>ESEF Delegated Regulation (815/2019), i</w:t>
      </w:r>
      <w:r>
        <w:t>mposes</w:t>
      </w:r>
      <w:r w:rsidRPr="00BD6FA4">
        <w:t xml:space="preserve"> an excessively </w:t>
      </w:r>
      <w:r>
        <w:t>burdensome</w:t>
      </w:r>
      <w:r w:rsidRPr="00BD6FA4">
        <w:t xml:space="preserve"> </w:t>
      </w:r>
      <w:proofErr w:type="gramStart"/>
      <w:r w:rsidRPr="00BD6FA4">
        <w:t xml:space="preserve">requirement  </w:t>
      </w:r>
      <w:r>
        <w:t>on</w:t>
      </w:r>
      <w:proofErr w:type="gramEnd"/>
      <w:r w:rsidRPr="00BD6FA4">
        <w:t xml:space="preserve"> preparers.</w:t>
      </w:r>
      <w:r w:rsidRPr="00BD6FA4">
        <w:rPr>
          <w:szCs w:val="22"/>
        </w:rPr>
        <w:t xml:space="preserve"> In this re</w:t>
      </w:r>
      <w:r>
        <w:rPr>
          <w:szCs w:val="22"/>
        </w:rPr>
        <w:t>gard</w:t>
      </w:r>
      <w:r w:rsidRPr="00BD6FA4">
        <w:rPr>
          <w:szCs w:val="22"/>
        </w:rPr>
        <w:t xml:space="preserve">, in our view, the scope of </w:t>
      </w:r>
      <w:r>
        <w:rPr>
          <w:szCs w:val="22"/>
        </w:rPr>
        <w:t xml:space="preserve">application of </w:t>
      </w:r>
      <w:r w:rsidRPr="00BD6FA4">
        <w:rPr>
          <w:szCs w:val="22"/>
        </w:rPr>
        <w:t>the ESEF regulation for sustainability reporting should be aligned</w:t>
      </w:r>
      <w:r>
        <w:rPr>
          <w:szCs w:val="22"/>
        </w:rPr>
        <w:t xml:space="preserve"> </w:t>
      </w:r>
      <w:r w:rsidRPr="00BD6FA4">
        <w:rPr>
          <w:szCs w:val="22"/>
        </w:rPr>
        <w:t>with th</w:t>
      </w:r>
      <w:r>
        <w:rPr>
          <w:szCs w:val="22"/>
        </w:rPr>
        <w:t>e existing scope</w:t>
      </w:r>
      <w:r w:rsidRPr="00BD6FA4">
        <w:rPr>
          <w:szCs w:val="22"/>
        </w:rPr>
        <w:t xml:space="preserve"> </w:t>
      </w:r>
      <w:r>
        <w:rPr>
          <w:szCs w:val="22"/>
        </w:rPr>
        <w:t>for</w:t>
      </w:r>
      <w:r w:rsidRPr="00BD6FA4">
        <w:rPr>
          <w:szCs w:val="22"/>
        </w:rPr>
        <w:t xml:space="preserve"> financial reporting. With </w:t>
      </w:r>
      <w:proofErr w:type="gramStart"/>
      <w:r w:rsidRPr="00BD6FA4">
        <w:rPr>
          <w:szCs w:val="22"/>
        </w:rPr>
        <w:t>particular re</w:t>
      </w:r>
      <w:r>
        <w:rPr>
          <w:szCs w:val="22"/>
        </w:rPr>
        <w:t>ference</w:t>
      </w:r>
      <w:proofErr w:type="gramEnd"/>
      <w:r w:rsidRPr="00BD6FA4">
        <w:rPr>
          <w:szCs w:val="22"/>
        </w:rPr>
        <w:t xml:space="preserve"> to</w:t>
      </w:r>
      <w:r>
        <w:rPr>
          <w:szCs w:val="22"/>
        </w:rPr>
        <w:t xml:space="preserve"> </w:t>
      </w:r>
      <w:r w:rsidRPr="00BD6FA4">
        <w:rPr>
          <w:szCs w:val="22"/>
        </w:rPr>
        <w:t xml:space="preserve">the approach proposed in the </w:t>
      </w:r>
      <w:r>
        <w:rPr>
          <w:szCs w:val="22"/>
        </w:rPr>
        <w:t xml:space="preserve">consultation </w:t>
      </w:r>
      <w:r w:rsidRPr="00BD6FA4">
        <w:rPr>
          <w:szCs w:val="22"/>
        </w:rPr>
        <w:t xml:space="preserve">document, we agree with the additional staggered approach </w:t>
      </w:r>
      <w:r>
        <w:rPr>
          <w:szCs w:val="22"/>
        </w:rPr>
        <w:t>with reference</w:t>
      </w:r>
      <w:r w:rsidRPr="00BD6FA4">
        <w:rPr>
          <w:szCs w:val="22"/>
        </w:rPr>
        <w:t xml:space="preserve"> t</w:t>
      </w:r>
      <w:r>
        <w:rPr>
          <w:szCs w:val="22"/>
        </w:rPr>
        <w:t xml:space="preserve">o </w:t>
      </w:r>
      <w:r w:rsidRPr="00BD6FA4">
        <w:rPr>
          <w:szCs w:val="22"/>
        </w:rPr>
        <w:t>large undertakings</w:t>
      </w:r>
      <w:r>
        <w:rPr>
          <w:szCs w:val="22"/>
        </w:rPr>
        <w:t xml:space="preserve"> only</w:t>
      </w:r>
      <w:r w:rsidRPr="00BD6FA4">
        <w:rPr>
          <w:szCs w:val="22"/>
        </w:rPr>
        <w:t>, di</w:t>
      </w:r>
      <w:r>
        <w:rPr>
          <w:szCs w:val="22"/>
        </w:rPr>
        <w:t>fferentiat</w:t>
      </w:r>
      <w:r w:rsidRPr="00BD6FA4">
        <w:rPr>
          <w:szCs w:val="22"/>
        </w:rPr>
        <w:t xml:space="preserve">ed between </w:t>
      </w:r>
      <w:r>
        <w:rPr>
          <w:szCs w:val="22"/>
        </w:rPr>
        <w:t>PIE</w:t>
      </w:r>
      <w:r w:rsidRPr="00BD6FA4">
        <w:rPr>
          <w:szCs w:val="22"/>
        </w:rPr>
        <w:t>s and non-</w:t>
      </w:r>
      <w:r>
        <w:rPr>
          <w:szCs w:val="22"/>
        </w:rPr>
        <w:t>PIE</w:t>
      </w:r>
      <w:r w:rsidRPr="00BD6FA4">
        <w:rPr>
          <w:szCs w:val="22"/>
        </w:rPr>
        <w:t xml:space="preserve">s. </w:t>
      </w:r>
      <w:r>
        <w:rPr>
          <w:szCs w:val="22"/>
        </w:rPr>
        <w:t>In any event, a</w:t>
      </w:r>
      <w:r w:rsidRPr="00BD6FA4">
        <w:rPr>
          <w:szCs w:val="22"/>
        </w:rPr>
        <w:t xml:space="preserve">s already indicated in </w:t>
      </w:r>
      <w:r>
        <w:rPr>
          <w:szCs w:val="22"/>
        </w:rPr>
        <w:t>our response</w:t>
      </w:r>
      <w:r w:rsidRPr="00BD6FA4">
        <w:rPr>
          <w:szCs w:val="22"/>
        </w:rPr>
        <w:t xml:space="preserve"> to Question 2, in outlining the timing of the application of the RTS</w:t>
      </w:r>
      <w:r>
        <w:rPr>
          <w:szCs w:val="22"/>
        </w:rPr>
        <w:t xml:space="preserve"> appropriate consideration should be given</w:t>
      </w:r>
      <w:r w:rsidRPr="00BD6FA4">
        <w:rPr>
          <w:szCs w:val="22"/>
        </w:rPr>
        <w:t xml:space="preserve"> to any </w:t>
      </w:r>
      <w:proofErr w:type="spellStart"/>
      <w:r w:rsidRPr="00BD6FA4">
        <w:rPr>
          <w:szCs w:val="22"/>
        </w:rPr>
        <w:t>postponments</w:t>
      </w:r>
      <w:proofErr w:type="spellEnd"/>
      <w:r w:rsidRPr="00BD6FA4">
        <w:rPr>
          <w:szCs w:val="22"/>
        </w:rPr>
        <w:t xml:space="preserve"> to the CSRD</w:t>
      </w:r>
      <w:r>
        <w:rPr>
          <w:szCs w:val="22"/>
        </w:rPr>
        <w:t>, as</w:t>
      </w:r>
      <w:r w:rsidRPr="00BD6FA4">
        <w:rPr>
          <w:szCs w:val="22"/>
        </w:rPr>
        <w:t xml:space="preserve"> being defined at </w:t>
      </w:r>
      <w:r>
        <w:rPr>
          <w:szCs w:val="22"/>
        </w:rPr>
        <w:t xml:space="preserve">the </w:t>
      </w:r>
      <w:r w:rsidRPr="00BD6FA4">
        <w:rPr>
          <w:szCs w:val="22"/>
        </w:rPr>
        <w:t xml:space="preserve">EU level through the so-called Omnibus </w:t>
      </w:r>
      <w:r>
        <w:rPr>
          <w:szCs w:val="22"/>
        </w:rPr>
        <w:t>package</w:t>
      </w:r>
      <w:r w:rsidRPr="00BD6FA4">
        <w:rPr>
          <w:szCs w:val="22"/>
        </w:rPr>
        <w:t xml:space="preserve"> (</w:t>
      </w:r>
      <w:proofErr w:type="gramStart"/>
      <w:r w:rsidRPr="00BD6FA4">
        <w:rPr>
          <w:szCs w:val="22"/>
        </w:rPr>
        <w:t>COM(</w:t>
      </w:r>
      <w:proofErr w:type="gramEnd"/>
      <w:r w:rsidRPr="00BD6FA4">
        <w:rPr>
          <w:szCs w:val="22"/>
        </w:rPr>
        <w:t>2025) 80 final).</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55F4C605" w14:textId="2F38D6A1" w:rsidR="003155DF" w:rsidRPr="00AF763D" w:rsidRDefault="003155DF" w:rsidP="003155DF">
      <w:pPr>
        <w:spacing w:after="0"/>
        <w:rPr>
          <w:sz w:val="20"/>
          <w:szCs w:val="18"/>
        </w:rPr>
      </w:pPr>
      <w:permStart w:id="91707497" w:edGrp="everyone"/>
      <w:r w:rsidRPr="00BD6FA4">
        <w:rPr>
          <w:szCs w:val="22"/>
        </w:rPr>
        <w:t xml:space="preserve">In our opinion, also for the reasons already </w:t>
      </w:r>
      <w:r>
        <w:rPr>
          <w:szCs w:val="22"/>
        </w:rPr>
        <w:t>illustrated</w:t>
      </w:r>
      <w:r w:rsidRPr="00BD6FA4">
        <w:rPr>
          <w:szCs w:val="22"/>
        </w:rPr>
        <w:t xml:space="preserve"> in </w:t>
      </w:r>
      <w:r>
        <w:rPr>
          <w:szCs w:val="22"/>
        </w:rPr>
        <w:t>our</w:t>
      </w:r>
      <w:r w:rsidRPr="00BD6FA4">
        <w:rPr>
          <w:szCs w:val="22"/>
        </w:rPr>
        <w:t xml:space="preserve"> </w:t>
      </w:r>
      <w:r>
        <w:rPr>
          <w:szCs w:val="22"/>
        </w:rPr>
        <w:t>response</w:t>
      </w:r>
      <w:r w:rsidRPr="00BD6FA4">
        <w:rPr>
          <w:szCs w:val="22"/>
        </w:rPr>
        <w:t xml:space="preserve"> to Question 1,</w:t>
      </w:r>
      <w:r w:rsidRPr="00435DAA">
        <w:rPr>
          <w:szCs w:val="22"/>
        </w:rPr>
        <w:t xml:space="preserve"> </w:t>
      </w:r>
      <w:r>
        <w:rPr>
          <w:szCs w:val="22"/>
        </w:rPr>
        <w:t xml:space="preserve">it would be preferable in an initial phase </w:t>
      </w:r>
      <w:r w:rsidRPr="00435DAA">
        <w:rPr>
          <w:szCs w:val="22"/>
        </w:rPr>
        <w:t>to limit</w:t>
      </w:r>
      <w:r w:rsidRPr="00BD6FA4">
        <w:rPr>
          <w:szCs w:val="22"/>
        </w:rPr>
        <w:t xml:space="preserve"> </w:t>
      </w:r>
      <w:r w:rsidRPr="00435DAA">
        <w:rPr>
          <w:szCs w:val="22"/>
        </w:rPr>
        <w:t xml:space="preserve">the </w:t>
      </w:r>
      <w:r>
        <w:rPr>
          <w:szCs w:val="22"/>
        </w:rPr>
        <w:t xml:space="preserve">marking up </w:t>
      </w:r>
      <w:r w:rsidRPr="00435DAA">
        <w:rPr>
          <w:szCs w:val="22"/>
        </w:rPr>
        <w:t xml:space="preserve">to </w:t>
      </w:r>
      <w:r>
        <w:rPr>
          <w:szCs w:val="22"/>
        </w:rPr>
        <w:t xml:space="preserve">the </w:t>
      </w:r>
      <w:r w:rsidRPr="00435DAA">
        <w:rPr>
          <w:szCs w:val="22"/>
        </w:rPr>
        <w:t xml:space="preserve">quantitative information </w:t>
      </w:r>
      <w:r>
        <w:rPr>
          <w:szCs w:val="22"/>
        </w:rPr>
        <w:t>required by</w:t>
      </w:r>
      <w:r w:rsidRPr="00435DAA">
        <w:rPr>
          <w:szCs w:val="22"/>
        </w:rPr>
        <w:t xml:space="preserve"> the standards (</w:t>
      </w:r>
      <w:r w:rsidRPr="00BD6FA4">
        <w:rPr>
          <w:szCs w:val="22"/>
        </w:rPr>
        <w:t>i.e. numerical information</w:t>
      </w:r>
      <w:r w:rsidRPr="00435DAA">
        <w:rPr>
          <w:szCs w:val="22"/>
        </w:rPr>
        <w:t>,  strings</w:t>
      </w:r>
      <w:r w:rsidRPr="00BD6FA4">
        <w:rPr>
          <w:szCs w:val="22"/>
        </w:rPr>
        <w:t xml:space="preserve">,  data </w:t>
      </w:r>
      <w:r w:rsidRPr="00435DAA">
        <w:rPr>
          <w:szCs w:val="22"/>
        </w:rPr>
        <w:t xml:space="preserve"> contained in the ESRS,</w:t>
      </w:r>
      <w:r w:rsidRPr="00BD6FA4">
        <w:rPr>
          <w:szCs w:val="22"/>
        </w:rPr>
        <w:t xml:space="preserve"> including</w:t>
      </w:r>
      <w:r w:rsidRPr="00435DAA">
        <w:rPr>
          <w:szCs w:val="22"/>
        </w:rPr>
        <w:t>, in particular, the datapoints of ESRS 2 and ESRS E1, excluding narrative and semi-narrative disclosure</w:t>
      </w:r>
      <w:r>
        <w:rPr>
          <w:szCs w:val="22"/>
        </w:rPr>
        <w:t>s</w:t>
      </w:r>
      <w:r w:rsidRPr="00435DAA">
        <w:rPr>
          <w:szCs w:val="22"/>
        </w:rPr>
        <w:t>) and the validation rules indicated in paragraph 78 of the document under consultation</w:t>
      </w:r>
      <w:r w:rsidRPr="00435DAA">
        <w:rPr>
          <w:sz w:val="20"/>
          <w:szCs w:val="18"/>
        </w:rPr>
        <w:t>.</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1D2D5BCE" w:rsidR="007D4F05" w:rsidRPr="00AF763D" w:rsidRDefault="003155DF" w:rsidP="007D4F05">
      <w:pPr>
        <w:spacing w:after="0"/>
        <w:rPr>
          <w:sz w:val="20"/>
          <w:szCs w:val="18"/>
        </w:rPr>
      </w:pPr>
      <w:permStart w:id="1008013103" w:edGrp="everyone"/>
      <w:r>
        <w:rPr>
          <w:sz w:val="20"/>
          <w:szCs w:val="18"/>
        </w:rPr>
        <w:t xml:space="preserve"> </w:t>
      </w:r>
      <w:r w:rsidRPr="00BD6FA4">
        <w:rPr>
          <w:szCs w:val="22"/>
        </w:rPr>
        <w:t xml:space="preserve">We agree with the need to establish a clear timeline and a detailed plan </w:t>
      </w:r>
      <w:r>
        <w:rPr>
          <w:szCs w:val="22"/>
        </w:rPr>
        <w:t>for</w:t>
      </w:r>
      <w:r w:rsidRPr="00BD6FA4">
        <w:rPr>
          <w:szCs w:val="22"/>
        </w:rPr>
        <w:t xml:space="preserve"> the content of each phase.</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35A559A1" w:rsidR="007D4F05" w:rsidRPr="00AF763D" w:rsidRDefault="003155DF" w:rsidP="007D4F05">
      <w:pPr>
        <w:spacing w:after="0"/>
        <w:rPr>
          <w:sz w:val="20"/>
          <w:szCs w:val="18"/>
        </w:rPr>
      </w:pPr>
      <w:permStart w:id="772892299" w:edGrp="everyone"/>
      <w:r w:rsidRPr="00BD6FA4">
        <w:rPr>
          <w:szCs w:val="22"/>
        </w:rPr>
        <w:t xml:space="preserve">As </w:t>
      </w:r>
      <w:r>
        <w:rPr>
          <w:szCs w:val="22"/>
        </w:rPr>
        <w:t>mentioned</w:t>
      </w:r>
      <w:r w:rsidRPr="00BD6FA4">
        <w:rPr>
          <w:szCs w:val="22"/>
        </w:rPr>
        <w:t xml:space="preserve"> in </w:t>
      </w:r>
      <w:r>
        <w:rPr>
          <w:szCs w:val="22"/>
        </w:rPr>
        <w:t>our</w:t>
      </w:r>
      <w:r w:rsidRPr="00BD6FA4">
        <w:rPr>
          <w:szCs w:val="22"/>
        </w:rPr>
        <w:t xml:space="preserve"> </w:t>
      </w:r>
      <w:r>
        <w:rPr>
          <w:szCs w:val="22"/>
        </w:rPr>
        <w:t>response</w:t>
      </w:r>
      <w:r w:rsidRPr="00BD6FA4">
        <w:rPr>
          <w:szCs w:val="22"/>
        </w:rPr>
        <w:t xml:space="preserve"> to Question 1,</w:t>
      </w:r>
      <w:r>
        <w:rPr>
          <w:szCs w:val="22"/>
        </w:rPr>
        <w:t xml:space="preserve"> </w:t>
      </w:r>
      <w:r w:rsidRPr="00BD6FA4">
        <w:rPr>
          <w:szCs w:val="22"/>
        </w:rPr>
        <w:t>we believe that the RTS under consultation should</w:t>
      </w:r>
      <w:r>
        <w:rPr>
          <w:szCs w:val="22"/>
        </w:rPr>
        <w:t xml:space="preserve"> </w:t>
      </w:r>
      <w:r w:rsidRPr="00BD6FA4">
        <w:rPr>
          <w:szCs w:val="22"/>
        </w:rPr>
        <w:t xml:space="preserve">provide for the </w:t>
      </w:r>
      <w:r>
        <w:rPr>
          <w:szCs w:val="22"/>
        </w:rPr>
        <w:t>mark up</w:t>
      </w:r>
      <w:r w:rsidRPr="00BD6FA4">
        <w:rPr>
          <w:szCs w:val="22"/>
        </w:rPr>
        <w:t xml:space="preserve"> of </w:t>
      </w:r>
      <w:r>
        <w:rPr>
          <w:szCs w:val="22"/>
        </w:rPr>
        <w:t>only those d</w:t>
      </w:r>
      <w:r w:rsidRPr="00BD6FA4">
        <w:rPr>
          <w:szCs w:val="22"/>
        </w:rPr>
        <w:t xml:space="preserve">isclosure </w:t>
      </w:r>
      <w:r>
        <w:rPr>
          <w:szCs w:val="22"/>
        </w:rPr>
        <w:t>r</w:t>
      </w:r>
      <w:r w:rsidRPr="00BD6FA4">
        <w:rPr>
          <w:szCs w:val="22"/>
        </w:rPr>
        <w:t xml:space="preserve">equirements or </w:t>
      </w:r>
      <w:r>
        <w:rPr>
          <w:szCs w:val="22"/>
        </w:rPr>
        <w:t>d</w:t>
      </w:r>
      <w:r w:rsidRPr="00BD6FA4">
        <w:rPr>
          <w:szCs w:val="22"/>
        </w:rPr>
        <w:t xml:space="preserve">atapoints indicated as mandatory in the ESRS. Therefore, we agree with the </w:t>
      </w:r>
      <w:r>
        <w:rPr>
          <w:szCs w:val="22"/>
        </w:rPr>
        <w:t>opportunity</w:t>
      </w:r>
      <w:r w:rsidRPr="00BD6FA4">
        <w:rPr>
          <w:szCs w:val="22"/>
        </w:rPr>
        <w:t xml:space="preserve"> indicated in the consultation document to limit the use of extensions. In </w:t>
      </w:r>
      <w:r>
        <w:rPr>
          <w:szCs w:val="22"/>
        </w:rPr>
        <w:t>an</w:t>
      </w:r>
      <w:r w:rsidRPr="00BD6FA4">
        <w:rPr>
          <w:szCs w:val="22"/>
        </w:rPr>
        <w:t xml:space="preserve"> </w:t>
      </w:r>
      <w:r>
        <w:rPr>
          <w:szCs w:val="22"/>
        </w:rPr>
        <w:t>initial</w:t>
      </w:r>
      <w:r w:rsidRPr="00BD6FA4">
        <w:rPr>
          <w:szCs w:val="22"/>
        </w:rPr>
        <w:t xml:space="preserve"> </w:t>
      </w:r>
      <w:r>
        <w:rPr>
          <w:szCs w:val="22"/>
        </w:rPr>
        <w:t>phase</w:t>
      </w:r>
      <w:r w:rsidRPr="00BD6FA4">
        <w:rPr>
          <w:szCs w:val="22"/>
        </w:rPr>
        <w:t xml:space="preserve">, it would </w:t>
      </w:r>
      <w:r>
        <w:rPr>
          <w:szCs w:val="22"/>
        </w:rPr>
        <w:t xml:space="preserve">indeed </w:t>
      </w:r>
      <w:r w:rsidRPr="00BD6FA4">
        <w:rPr>
          <w:szCs w:val="22"/>
        </w:rPr>
        <w:t xml:space="preserve">be more useful to avoid the mechanism of creating extensions, given the </w:t>
      </w:r>
      <w:r>
        <w:rPr>
          <w:szCs w:val="22"/>
        </w:rPr>
        <w:t xml:space="preserve">architecture of the </w:t>
      </w:r>
      <w:r w:rsidRPr="00BD6FA4">
        <w:rPr>
          <w:szCs w:val="22"/>
        </w:rPr>
        <w:t xml:space="preserve">ESEF taxonomy that follows the </w:t>
      </w:r>
      <w:r>
        <w:rPr>
          <w:szCs w:val="22"/>
        </w:rPr>
        <w:t xml:space="preserve">structure of the </w:t>
      </w:r>
      <w:r w:rsidRPr="00BD6FA4">
        <w:rPr>
          <w:szCs w:val="22"/>
        </w:rPr>
        <w:t xml:space="preserve">ESRS. We suggest using extensions only in the case of entity-specific datapoints </w:t>
      </w:r>
      <w:r w:rsidRPr="00BD6FA4">
        <w:rPr>
          <w:szCs w:val="22"/>
        </w:rPr>
        <w:lastRenderedPageBreak/>
        <w:t xml:space="preserve">on material topics. Consequently, in our </w:t>
      </w:r>
      <w:proofErr w:type="gramStart"/>
      <w:r>
        <w:rPr>
          <w:szCs w:val="22"/>
        </w:rPr>
        <w:t>view</w:t>
      </w:r>
      <w:r w:rsidRPr="00BD6FA4">
        <w:rPr>
          <w:szCs w:val="22"/>
        </w:rPr>
        <w:t>,  it</w:t>
      </w:r>
      <w:proofErr w:type="gramEnd"/>
      <w:r w:rsidRPr="00BD6FA4">
        <w:rPr>
          <w:szCs w:val="22"/>
        </w:rPr>
        <w:t xml:space="preserve"> does not seem useful at this stage </w:t>
      </w:r>
      <w:r w:rsidRPr="00435DAA">
        <w:rPr>
          <w:szCs w:val="22"/>
        </w:rPr>
        <w:t xml:space="preserve">to </w:t>
      </w:r>
      <w:proofErr w:type="spellStart"/>
      <w:r>
        <w:rPr>
          <w:szCs w:val="22"/>
        </w:rPr>
        <w:t>mark up</w:t>
      </w:r>
      <w:proofErr w:type="spellEnd"/>
      <w:r w:rsidRPr="00435DAA">
        <w:rPr>
          <w:szCs w:val="22"/>
        </w:rPr>
        <w:t xml:space="preserve"> information provided by the ESRS as "may" </w:t>
      </w:r>
      <w:r>
        <w:rPr>
          <w:szCs w:val="22"/>
        </w:rPr>
        <w:t xml:space="preserve">– </w:t>
      </w:r>
      <w:r w:rsidRPr="00435DAA">
        <w:rPr>
          <w:szCs w:val="22"/>
        </w:rPr>
        <w:t xml:space="preserve">and even less </w:t>
      </w:r>
      <w:r>
        <w:rPr>
          <w:szCs w:val="22"/>
        </w:rPr>
        <w:t xml:space="preserve">so </w:t>
      </w:r>
      <w:r w:rsidRPr="00435DAA">
        <w:rPr>
          <w:szCs w:val="22"/>
        </w:rPr>
        <w:t xml:space="preserve">to tag information </w:t>
      </w:r>
      <w:r>
        <w:rPr>
          <w:szCs w:val="22"/>
        </w:rPr>
        <w:t>included</w:t>
      </w:r>
      <w:r w:rsidRPr="00435DAA">
        <w:rPr>
          <w:szCs w:val="22"/>
        </w:rPr>
        <w:t xml:space="preserve"> by the undertaking </w:t>
      </w:r>
      <w:r>
        <w:rPr>
          <w:szCs w:val="22"/>
        </w:rPr>
        <w:t xml:space="preserve">that is </w:t>
      </w:r>
      <w:r w:rsidRPr="00435DAA">
        <w:rPr>
          <w:szCs w:val="22"/>
        </w:rPr>
        <w:t>not provided for by the ESRS.</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1123C0BF" w14:textId="77777777" w:rsidR="003155DF" w:rsidRPr="00435DAA" w:rsidRDefault="003155DF" w:rsidP="003155DF">
      <w:pPr>
        <w:spacing w:after="0"/>
        <w:rPr>
          <w:szCs w:val="22"/>
          <w:lang w:val="en-US"/>
        </w:rPr>
      </w:pPr>
      <w:permStart w:id="638739279" w:edGrp="everyone"/>
      <w:r w:rsidRPr="00BD6FA4">
        <w:rPr>
          <w:szCs w:val="22"/>
        </w:rPr>
        <w:t xml:space="preserve">We agree with the opportunity to provide for a review clause that </w:t>
      </w:r>
      <w:r>
        <w:rPr>
          <w:szCs w:val="22"/>
        </w:rPr>
        <w:t xml:space="preserve">would </w:t>
      </w:r>
      <w:r w:rsidRPr="00BD6FA4">
        <w:rPr>
          <w:szCs w:val="22"/>
        </w:rPr>
        <w:t>allow ESMA to assess chang</w:t>
      </w:r>
      <w:r>
        <w:rPr>
          <w:szCs w:val="22"/>
        </w:rPr>
        <w:t>ing</w:t>
      </w:r>
      <w:r w:rsidRPr="00BD6FA4">
        <w:rPr>
          <w:szCs w:val="22"/>
        </w:rPr>
        <w:t xml:space="preserve"> general conditions, also </w:t>
      </w:r>
      <w:r>
        <w:rPr>
          <w:szCs w:val="22"/>
        </w:rPr>
        <w:t xml:space="preserve">following the issuance of </w:t>
      </w:r>
      <w:r w:rsidRPr="00BD6FA4">
        <w:rPr>
          <w:szCs w:val="22"/>
        </w:rPr>
        <w:t>new standards and regulatory changes.</w:t>
      </w:r>
    </w:p>
    <w:p w14:paraId="23A6200D" w14:textId="77777777" w:rsidR="003155DF" w:rsidRPr="00435DAA" w:rsidRDefault="003155DF" w:rsidP="003155DF">
      <w:pPr>
        <w:spacing w:after="0"/>
        <w:rPr>
          <w:lang w:val="en-US"/>
        </w:rPr>
      </w:pPr>
      <w:r>
        <w:t>Review</w:t>
      </w:r>
      <w:r w:rsidRPr="00BD6FA4">
        <w:t xml:space="preserve"> clauses can </w:t>
      </w:r>
      <w:r>
        <w:t>indeed</w:t>
      </w:r>
      <w:r w:rsidRPr="00BD6FA4">
        <w:t xml:space="preserve"> </w:t>
      </w:r>
      <w:r>
        <w:t>help</w:t>
      </w:r>
      <w:r w:rsidRPr="00BD6FA4">
        <w:t xml:space="preserve"> not only to keep </w:t>
      </w:r>
      <w:r>
        <w:t>regulations</w:t>
      </w:r>
      <w:r w:rsidRPr="00BD6FA4">
        <w:t xml:space="preserve"> up to date, but also to identify areas for improvement, </w:t>
      </w:r>
      <w:proofErr w:type="gramStart"/>
      <w:r w:rsidRPr="00BD6FA4">
        <w:t>taking into account</w:t>
      </w:r>
      <w:proofErr w:type="gramEnd"/>
      <w:r w:rsidRPr="00BD6FA4">
        <w:t xml:space="preserve"> practical experience and </w:t>
      </w:r>
      <w:r>
        <w:t xml:space="preserve">stakeholder </w:t>
      </w:r>
      <w:r w:rsidRPr="00BD6FA4">
        <w:t>feedback.</w:t>
      </w:r>
    </w:p>
    <w:p w14:paraId="37286332" w14:textId="77777777" w:rsidR="003155DF" w:rsidRPr="00435DAA" w:rsidRDefault="003155DF" w:rsidP="003155DF">
      <w:pPr>
        <w:spacing w:after="0"/>
        <w:rPr>
          <w:lang w:val="en-US"/>
        </w:rPr>
      </w:pPr>
      <w:r w:rsidRPr="00BD6FA4">
        <w:t xml:space="preserve">In any case, it is advisable to balance any revisions with the need for stability </w:t>
      </w:r>
      <w:r>
        <w:t>in</w:t>
      </w:r>
      <w:r w:rsidRPr="00BD6FA4">
        <w:t xml:space="preserve"> the </w:t>
      </w:r>
      <w:r>
        <w:t>overall</w:t>
      </w:r>
      <w:r w:rsidRPr="00BD6FA4">
        <w:t xml:space="preserve"> framework. For example, frequent changes could create uncertainty for companies, making it more difficult to plan for the actions needed to comply with new regulatory requirements. Similarly, frequent revisions of the re</w:t>
      </w:r>
      <w:r>
        <w:t>lated</w:t>
      </w:r>
      <w:r w:rsidRPr="00BD6FA4">
        <w:t xml:space="preserve"> provisions could be excessively </w:t>
      </w:r>
      <w:r>
        <w:t xml:space="preserve">demanding in terms of </w:t>
      </w:r>
      <w:r w:rsidRPr="00BD6FA4">
        <w:t>resource</w:t>
      </w:r>
      <w:r>
        <w:t>s</w:t>
      </w:r>
      <w:r w:rsidRPr="00BD6FA4">
        <w:t xml:space="preserve"> for regulators</w:t>
      </w:r>
      <w:r>
        <w:t xml:space="preserve"> as well</w:t>
      </w:r>
      <w:r w:rsidRPr="00BD6FA4">
        <w:t>.</w:t>
      </w:r>
    </w:p>
    <w:p w14:paraId="0046D5E4" w14:textId="2D1F0E46" w:rsidR="007D4F05" w:rsidRPr="00AF763D" w:rsidRDefault="003155DF" w:rsidP="003155DF">
      <w:pPr>
        <w:spacing w:after="0"/>
        <w:rPr>
          <w:sz w:val="20"/>
          <w:szCs w:val="18"/>
        </w:rPr>
      </w:pPr>
      <w:r>
        <w:rPr>
          <w:szCs w:val="22"/>
        </w:rPr>
        <w:t>In any event, i</w:t>
      </w:r>
      <w:r w:rsidRPr="00BD6FA4">
        <w:rPr>
          <w:szCs w:val="22"/>
        </w:rPr>
        <w:t xml:space="preserve">t </w:t>
      </w:r>
      <w:r>
        <w:rPr>
          <w:szCs w:val="22"/>
        </w:rPr>
        <w:t>is</w:t>
      </w:r>
      <w:r w:rsidRPr="00BD6FA4">
        <w:rPr>
          <w:szCs w:val="22"/>
        </w:rPr>
        <w:t xml:space="preserve"> </w:t>
      </w:r>
      <w:r>
        <w:rPr>
          <w:szCs w:val="22"/>
        </w:rPr>
        <w:t xml:space="preserve">critically </w:t>
      </w:r>
      <w:r w:rsidRPr="00BD6FA4">
        <w:rPr>
          <w:szCs w:val="22"/>
        </w:rPr>
        <w:t>important that any updates are implemented</w:t>
      </w:r>
      <w:r>
        <w:rPr>
          <w:szCs w:val="22"/>
        </w:rPr>
        <w:t xml:space="preserve"> by granting</w:t>
      </w:r>
      <w:r w:rsidRPr="00BD6FA4">
        <w:rPr>
          <w:szCs w:val="22"/>
        </w:rPr>
        <w:t xml:space="preserve"> undertakings </w:t>
      </w:r>
      <w:r>
        <w:rPr>
          <w:szCs w:val="22"/>
        </w:rPr>
        <w:t>a reasonable</w:t>
      </w:r>
      <w:r w:rsidRPr="00BD6FA4">
        <w:rPr>
          <w:szCs w:val="22"/>
        </w:rPr>
        <w:t xml:space="preserve"> </w:t>
      </w:r>
      <w:r>
        <w:rPr>
          <w:szCs w:val="22"/>
        </w:rPr>
        <w:t xml:space="preserve">time for </w:t>
      </w:r>
      <w:r w:rsidRPr="00BD6FA4">
        <w:rPr>
          <w:szCs w:val="22"/>
        </w:rPr>
        <w:t>implementation and adaptation</w:t>
      </w:r>
      <w:r>
        <w:rPr>
          <w:szCs w:val="22"/>
        </w:rPr>
        <w:t>.</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4B5C22"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4CF00562" w14:textId="77777777" w:rsidR="003155DF" w:rsidRPr="00435DAA" w:rsidRDefault="003155DF" w:rsidP="003155DF">
      <w:pPr>
        <w:spacing w:after="0"/>
        <w:rPr>
          <w:lang w:val="en-US"/>
        </w:rPr>
      </w:pPr>
      <w:permStart w:id="43591955" w:edGrp="everyone"/>
      <w:r w:rsidRPr="00BD6FA4">
        <w:t xml:space="preserve">In general terms, we believe that </w:t>
      </w:r>
      <w:r w:rsidRPr="00435DAA">
        <w:t>the Taxonomy Regulation and the related delegated acts could benefit from an overall review, aimed at simplifying and clarifying the</w:t>
      </w:r>
      <w:r>
        <w:t>ir</w:t>
      </w:r>
      <w:r w:rsidRPr="00435DAA">
        <w:t xml:space="preserve"> </w:t>
      </w:r>
      <w:r>
        <w:t>requirements</w:t>
      </w:r>
      <w:r w:rsidRPr="00435DAA">
        <w:t xml:space="preserve">. Currently, in fact, this </w:t>
      </w:r>
      <w:r>
        <w:t>regulation</w:t>
      </w:r>
      <w:r w:rsidRPr="00435DAA">
        <w:t xml:space="preserve"> often </w:t>
      </w:r>
      <w:r>
        <w:t>leads to</w:t>
      </w:r>
      <w:r w:rsidRPr="00435DAA">
        <w:t xml:space="preserve"> diverg</w:t>
      </w:r>
      <w:r>
        <w:t>ing</w:t>
      </w:r>
      <w:r w:rsidRPr="00435DAA">
        <w:t xml:space="preserve"> interpretations by market operators, </w:t>
      </w:r>
      <w:r>
        <w:t>resulting in</w:t>
      </w:r>
      <w:r w:rsidRPr="00435DAA">
        <w:t xml:space="preserve"> application difficulties for both preparers and </w:t>
      </w:r>
      <w:r>
        <w:t>assurance providers</w:t>
      </w:r>
      <w:r w:rsidRPr="00435DAA">
        <w:t xml:space="preserve">. In this regard, </w:t>
      </w:r>
      <w:r>
        <w:t xml:space="preserve">it will be necessary in our view to appropriately consider </w:t>
      </w:r>
      <w:r w:rsidRPr="00435DAA">
        <w:t xml:space="preserve">the </w:t>
      </w:r>
      <w:r>
        <w:t xml:space="preserve">simplification effort currently being undertaken by the </w:t>
      </w:r>
      <w:r w:rsidRPr="00BD6FA4">
        <w:t xml:space="preserve">EU Commission on the delegated acts of the Taxonomy Regulation, as well as the </w:t>
      </w:r>
      <w:r>
        <w:t>O</w:t>
      </w:r>
      <w:r w:rsidRPr="00BD6FA4">
        <w:t xml:space="preserve">mnibus </w:t>
      </w:r>
      <w:r>
        <w:t>package</w:t>
      </w:r>
      <w:r w:rsidRPr="00BD6FA4">
        <w:t xml:space="preserve"> (</w:t>
      </w:r>
      <w:proofErr w:type="gramStart"/>
      <w:r w:rsidRPr="00BD6FA4">
        <w:t>COM(</w:t>
      </w:r>
      <w:proofErr w:type="gramEnd"/>
      <w:r w:rsidRPr="00BD6FA4">
        <w:t>2025) 8</w:t>
      </w:r>
      <w:r w:rsidRPr="00BD6FA4">
        <w:rPr>
          <w:szCs w:val="22"/>
        </w:rPr>
        <w:t>1 final)</w:t>
      </w:r>
      <w:r>
        <w:rPr>
          <w:szCs w:val="22"/>
        </w:rPr>
        <w:t xml:space="preserve"> proposal</w:t>
      </w:r>
      <w:r w:rsidRPr="00BD6FA4">
        <w:rPr>
          <w:szCs w:val="22"/>
        </w:rPr>
        <w:t>.</w:t>
      </w:r>
      <w:r w:rsidRPr="00BD6FA4">
        <w:t xml:space="preserve"> </w:t>
      </w:r>
      <w:proofErr w:type="gramStart"/>
      <w:r w:rsidRPr="00BD6FA4">
        <w:t xml:space="preserve">That </w:t>
      </w:r>
      <w:r>
        <w:t xml:space="preserve">being </w:t>
      </w:r>
      <w:r w:rsidRPr="00BD6FA4">
        <w:t>said, we</w:t>
      </w:r>
      <w:proofErr w:type="gramEnd"/>
      <w:r w:rsidRPr="00BD6FA4">
        <w:t xml:space="preserve"> agree with the approach outlined in the consultation </w:t>
      </w:r>
      <w:r>
        <w:t>document</w:t>
      </w:r>
      <w:r w:rsidRPr="00BD6FA4">
        <w:t xml:space="preserve"> </w:t>
      </w:r>
      <w:r>
        <w:t>to</w:t>
      </w:r>
      <w:r w:rsidRPr="00BD6FA4">
        <w:t xml:space="preserve"> provid</w:t>
      </w:r>
      <w:r>
        <w:t>e</w:t>
      </w:r>
      <w:r w:rsidRPr="00BD6FA4">
        <w:t xml:space="preserve"> for a "closed" taxonomy</w:t>
      </w:r>
      <w:r>
        <w:t>,</w:t>
      </w:r>
      <w:r w:rsidRPr="00BD6FA4">
        <w:t xml:space="preserve"> as this would </w:t>
      </w:r>
      <w:r>
        <w:t>promote</w:t>
      </w:r>
      <w:r w:rsidRPr="00BD6FA4">
        <w:t xml:space="preserve"> a high level of standardization, comparability and clarity, limiting potential discrepancies in </w:t>
      </w:r>
      <w:r>
        <w:t>how</w:t>
      </w:r>
      <w:r w:rsidRPr="00BD6FA4">
        <w:t xml:space="preserve"> data are reported by each entity. </w:t>
      </w:r>
      <w:r>
        <w:t>With</w:t>
      </w:r>
      <w:r w:rsidRPr="00BD6FA4">
        <w:t xml:space="preserve"> a "closed" taxonomy, all companies would report their sustainability data consistently, making </w:t>
      </w:r>
      <w:r>
        <w:t>it easier any comparisons and analyses,</w:t>
      </w:r>
      <w:r w:rsidRPr="00BD6FA4">
        <w:t xml:space="preserve"> </w:t>
      </w:r>
      <w:r>
        <w:t xml:space="preserve">as well as </w:t>
      </w:r>
      <w:r w:rsidRPr="00BD6FA4">
        <w:t xml:space="preserve">reducing ambiguity and the risk of non-compliance. Furthermore, compared to </w:t>
      </w:r>
      <w:r>
        <w:t xml:space="preserve">the </w:t>
      </w:r>
      <w:proofErr w:type="gramStart"/>
      <w:r w:rsidRPr="00BD6FA4">
        <w:t>ESRS</w:t>
      </w:r>
      <w:r>
        <w:t xml:space="preserve"> as a whole</w:t>
      </w:r>
      <w:r w:rsidRPr="00BD6FA4">
        <w:t>, the</w:t>
      </w:r>
      <w:proofErr w:type="gramEnd"/>
      <w:r w:rsidRPr="00BD6FA4">
        <w:t xml:space="preserve"> Taxonomy framework is based on formats that mainly include quantitative information</w:t>
      </w:r>
      <w:r>
        <w:t>,</w:t>
      </w:r>
      <w:r w:rsidRPr="00BD6FA4">
        <w:t xml:space="preserve"> </w:t>
      </w:r>
      <w:r>
        <w:t>which</w:t>
      </w:r>
      <w:r w:rsidRPr="00BD6FA4">
        <w:t xml:space="preserve"> </w:t>
      </w:r>
      <w:r>
        <w:t>facilitates</w:t>
      </w:r>
      <w:r w:rsidRPr="00BD6FA4">
        <w:t xml:space="preserve"> </w:t>
      </w:r>
      <w:r>
        <w:t>the</w:t>
      </w:r>
      <w:r w:rsidRPr="00BD6FA4">
        <w:t xml:space="preserve"> standardiz</w:t>
      </w:r>
      <w:r>
        <w:t>ation</w:t>
      </w:r>
      <w:r w:rsidRPr="00BD6FA4">
        <w:t xml:space="preserve"> </w:t>
      </w:r>
      <w:r>
        <w:t xml:space="preserve">of </w:t>
      </w:r>
      <w:r w:rsidRPr="00BD6FA4">
        <w:t>information.</w:t>
      </w:r>
    </w:p>
    <w:p w14:paraId="2F0B69A7" w14:textId="77777777" w:rsidR="003155DF" w:rsidRPr="00435DAA" w:rsidRDefault="003155DF" w:rsidP="003155DF">
      <w:pPr>
        <w:spacing w:after="0"/>
        <w:rPr>
          <w:lang w:val="en-US"/>
        </w:rPr>
      </w:pPr>
      <w:r w:rsidRPr="00BD6FA4">
        <w:t xml:space="preserve">A "closed" taxonomy </w:t>
      </w:r>
      <w:r>
        <w:t>for the information</w:t>
      </w:r>
      <w:r w:rsidRPr="00BD6FA4">
        <w:t xml:space="preserve"> </w:t>
      </w:r>
      <w:r>
        <w:t>in</w:t>
      </w:r>
      <w:r w:rsidRPr="00BD6FA4">
        <w:t xml:space="preserve"> Article 8 is also more in line with the objectives of the EU legislator. </w:t>
      </w:r>
      <w:r>
        <w:t xml:space="preserve">In fact, </w:t>
      </w:r>
      <w:proofErr w:type="gramStart"/>
      <w:r>
        <w:t>t</w:t>
      </w:r>
      <w:r w:rsidRPr="00BD6FA4">
        <w:t>he  ESEF</w:t>
      </w:r>
      <w:proofErr w:type="gramEnd"/>
      <w:r w:rsidRPr="00BD6FA4">
        <w:t xml:space="preserve"> Delegated Regulation (815/2019) clearly specifies that issuers should not resort to extensions that duplicate the meaning and scope of the elements of the basic taxonomy. Guide 1.4.1 of the ESEF Reporting Manual </w:t>
      </w:r>
      <w:r>
        <w:t>states</w:t>
      </w:r>
      <w:r w:rsidRPr="00BD6FA4">
        <w:t xml:space="preserve"> that the issuer may need to create </w:t>
      </w:r>
      <w:r w:rsidRPr="00BD6FA4">
        <w:lastRenderedPageBreak/>
        <w:t>an extension element in limited circumstances</w:t>
      </w:r>
      <w:r>
        <w:t xml:space="preserve"> (</w:t>
      </w:r>
      <w:r w:rsidRPr="00BD6FA4">
        <w:t>for example, where the elements of the extended taxonomy are narrower in scope than the basic taxonomy element and/or represent a subdivision/subcategory</w:t>
      </w:r>
      <w:r>
        <w:t>)</w:t>
      </w:r>
      <w:r w:rsidRPr="00BD6FA4">
        <w:t xml:space="preserve">. </w:t>
      </w:r>
      <w:r>
        <w:t>Additionally</w:t>
      </w:r>
      <w:r w:rsidRPr="00BD6FA4">
        <w:t>, the use of extension elements and their anchoring is also one of ESMA's focus</w:t>
      </w:r>
      <w:r>
        <w:t xml:space="preserve"> areas</w:t>
      </w:r>
      <w:r w:rsidRPr="00BD6FA4">
        <w:t xml:space="preserve"> included in the priorities </w:t>
      </w:r>
      <w:r>
        <w:t xml:space="preserve">for the </w:t>
      </w:r>
      <w:r w:rsidRPr="00BD6FA4">
        <w:t>supervis</w:t>
      </w:r>
      <w:r>
        <w:t>ion</w:t>
      </w:r>
      <w:r w:rsidRPr="00BD6FA4">
        <w:t xml:space="preserve"> of the </w:t>
      </w:r>
      <w:r>
        <w:t xml:space="preserve">2024 </w:t>
      </w:r>
      <w:r w:rsidRPr="00BD6FA4">
        <w:t>annual reports of listed companies.</w:t>
      </w:r>
    </w:p>
    <w:p w14:paraId="523D26C0" w14:textId="74826DED" w:rsidR="006A64ED" w:rsidRPr="00AF763D" w:rsidRDefault="003155DF" w:rsidP="003155DF">
      <w:pPr>
        <w:spacing w:after="0"/>
        <w:rPr>
          <w:sz w:val="20"/>
          <w:szCs w:val="18"/>
        </w:rPr>
      </w:pPr>
      <w:r w:rsidRPr="00BD6FA4">
        <w:t xml:space="preserve">Another aspect to </w:t>
      </w:r>
      <w:r>
        <w:t>consider</w:t>
      </w:r>
      <w:r w:rsidRPr="00BD6FA4">
        <w:t xml:space="preserve">, </w:t>
      </w:r>
      <w:r>
        <w:t xml:space="preserve">as </w:t>
      </w:r>
      <w:r w:rsidRPr="00BD6FA4">
        <w:t xml:space="preserve">already highlighted in the text of the </w:t>
      </w:r>
      <w:r>
        <w:t xml:space="preserve">document under </w:t>
      </w:r>
      <w:r w:rsidRPr="00BD6FA4">
        <w:t xml:space="preserve">consultation, is </w:t>
      </w:r>
      <w:r>
        <w:t xml:space="preserve">also </w:t>
      </w:r>
      <w:r w:rsidRPr="00BD6FA4">
        <w:t xml:space="preserve">the need for </w:t>
      </w:r>
      <w:r>
        <w:t xml:space="preserve">a </w:t>
      </w:r>
      <w:r w:rsidRPr="00BD6FA4">
        <w:t>constant and timely alignment between legislation, delegated regulations and the ESEF taxonomy.</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64FF5F94" w14:textId="77777777" w:rsidR="003155DF" w:rsidRPr="00435DAA" w:rsidRDefault="003155DF" w:rsidP="003155DF">
      <w:pPr>
        <w:spacing w:after="0"/>
        <w:rPr>
          <w:lang w:val="en-US"/>
        </w:rPr>
      </w:pPr>
      <w:permStart w:id="611662945" w:edGrp="everyone"/>
      <w:r w:rsidRPr="00BD6FA4">
        <w:t xml:space="preserve">We agree with the proposal to </w:t>
      </w:r>
      <w:r>
        <w:t>fully</w:t>
      </w:r>
      <w:r w:rsidRPr="00BD6FA4">
        <w:t xml:space="preserve"> mark </w:t>
      </w:r>
      <w:r>
        <w:t xml:space="preserve">up </w:t>
      </w:r>
      <w:r w:rsidRPr="00BD6FA4">
        <w:t>the Article 8 disclosure</w:t>
      </w:r>
      <w:r>
        <w:t>s</w:t>
      </w:r>
      <w:r w:rsidRPr="00BD6FA4">
        <w:t xml:space="preserve"> without using a step-by-step approach</w:t>
      </w:r>
      <w:r>
        <w:t xml:space="preserve">, also </w:t>
      </w:r>
      <w:proofErr w:type="gramStart"/>
      <w:r w:rsidRPr="00D25AF1">
        <w:rPr>
          <w:szCs w:val="22"/>
        </w:rPr>
        <w:t>taking into account</w:t>
      </w:r>
      <w:proofErr w:type="gramEnd"/>
      <w:r w:rsidRPr="00D25AF1">
        <w:rPr>
          <w:szCs w:val="22"/>
        </w:rPr>
        <w:t xml:space="preserve"> some specific considerations better de</w:t>
      </w:r>
      <w:r>
        <w:rPr>
          <w:szCs w:val="22"/>
        </w:rPr>
        <w:t>scrib</w:t>
      </w:r>
      <w:r w:rsidRPr="00D25AF1">
        <w:rPr>
          <w:szCs w:val="22"/>
        </w:rPr>
        <w:t xml:space="preserve">ed in </w:t>
      </w:r>
      <w:r>
        <w:rPr>
          <w:szCs w:val="22"/>
        </w:rPr>
        <w:t xml:space="preserve">our response to </w:t>
      </w:r>
      <w:r w:rsidRPr="00D25AF1">
        <w:rPr>
          <w:szCs w:val="22"/>
        </w:rPr>
        <w:t>Question 3 regarding the scope of the ESEF regulation</w:t>
      </w:r>
      <w:r w:rsidRPr="00BD6FA4">
        <w:t xml:space="preserve">. </w:t>
      </w:r>
      <w:r>
        <w:t xml:space="preserve">In fact, the full tagging of the </w:t>
      </w:r>
      <w:r w:rsidRPr="00BD6FA4">
        <w:t xml:space="preserve">taxonomy disclosure would </w:t>
      </w:r>
      <w:r>
        <w:t xml:space="preserve">make </w:t>
      </w:r>
      <w:r w:rsidRPr="00BD6FA4">
        <w:t>all relevant information</w:t>
      </w:r>
      <w:r>
        <w:t xml:space="preserve"> equally</w:t>
      </w:r>
      <w:r w:rsidRPr="00BD6FA4">
        <w:t xml:space="preserve"> available to stakeholders without delay</w:t>
      </w:r>
      <w:r>
        <w:t>s</w:t>
      </w:r>
      <w:r w:rsidRPr="00BD6FA4">
        <w:t xml:space="preserve">, improving the transparency and clarity of sustainability reporting. </w:t>
      </w:r>
      <w:r w:rsidRPr="00435DAA">
        <w:t xml:space="preserve">The </w:t>
      </w:r>
      <w:r>
        <w:t>full</w:t>
      </w:r>
      <w:r w:rsidRPr="00435DAA">
        <w:t xml:space="preserve"> </w:t>
      </w:r>
      <w:proofErr w:type="spellStart"/>
      <w:r w:rsidRPr="00435DAA">
        <w:t xml:space="preserve">mark </w:t>
      </w:r>
      <w:r>
        <w:t>up</w:t>
      </w:r>
      <w:proofErr w:type="spellEnd"/>
      <w:r>
        <w:t xml:space="preserve"> </w:t>
      </w:r>
      <w:r w:rsidRPr="00435DAA">
        <w:t xml:space="preserve">would also avoid </w:t>
      </w:r>
      <w:r>
        <w:t xml:space="preserve">the </w:t>
      </w:r>
      <w:r w:rsidRPr="00435DAA">
        <w:t xml:space="preserve">potential confusion </w:t>
      </w:r>
      <w:r>
        <w:t xml:space="preserve">that could arise </w:t>
      </w:r>
      <w:r w:rsidRPr="00435DAA">
        <w:t xml:space="preserve">among users of sustainability reporting </w:t>
      </w:r>
      <w:proofErr w:type="gramStart"/>
      <w:r>
        <w:t>as a result of</w:t>
      </w:r>
      <w:proofErr w:type="gramEnd"/>
      <w:r>
        <w:t xml:space="preserve"> ignoring</w:t>
      </w:r>
      <w:r w:rsidRPr="00435DAA">
        <w:t xml:space="preserve"> the different </w:t>
      </w:r>
      <w:r>
        <w:t>stage</w:t>
      </w:r>
      <w:r w:rsidRPr="00435DAA">
        <w:t xml:space="preserve"> of </w:t>
      </w:r>
      <w:r>
        <w:t>regulatory implement</w:t>
      </w:r>
      <w:r w:rsidRPr="00435DAA">
        <w:t xml:space="preserve">ation </w:t>
      </w:r>
      <w:r>
        <w:t xml:space="preserve">applicable to </w:t>
      </w:r>
      <w:r w:rsidRPr="00435DAA">
        <w:t>each company</w:t>
      </w:r>
      <w:r>
        <w:t>.</w:t>
      </w:r>
    </w:p>
    <w:p w14:paraId="3402AFC5" w14:textId="77777777" w:rsidR="003155DF" w:rsidRPr="00435DAA" w:rsidRDefault="003155DF" w:rsidP="003155DF">
      <w:pPr>
        <w:spacing w:after="0"/>
        <w:rPr>
          <w:lang w:val="en-US"/>
        </w:rPr>
      </w:pPr>
      <w:r w:rsidRPr="00BD6FA4">
        <w:t xml:space="preserve">We </w:t>
      </w:r>
      <w:r>
        <w:t xml:space="preserve">are aware </w:t>
      </w:r>
      <w:r w:rsidRPr="00BD6FA4">
        <w:t xml:space="preserve">that the decision depends </w:t>
      </w:r>
      <w:r>
        <w:t>up</w:t>
      </w:r>
      <w:r w:rsidRPr="00BD6FA4">
        <w:t xml:space="preserve">on balancing the need for immediate transparency with the practical challenges of implementation, and that a phased approach could provide companies with </w:t>
      </w:r>
      <w:r>
        <w:t>more</w:t>
      </w:r>
      <w:r w:rsidRPr="00BD6FA4">
        <w:t xml:space="preserve"> time to adapt their systems and processes. In any case, the costs associated with the full </w:t>
      </w:r>
      <w:r>
        <w:t>implementation of marking up</w:t>
      </w:r>
      <w:r w:rsidRPr="00BD6FA4">
        <w:t xml:space="preserve"> can be adequately managed through the </w:t>
      </w:r>
      <w:r>
        <w:t xml:space="preserve">proposed </w:t>
      </w:r>
      <w:r w:rsidRPr="00BD6FA4">
        <w:t xml:space="preserve">distinction between the different types of </w:t>
      </w:r>
      <w:r>
        <w:t>enterprises</w:t>
      </w:r>
      <w:r w:rsidRPr="00BD6FA4">
        <w:t xml:space="preserve">. This distinction will also allow companies other than </w:t>
      </w:r>
      <w:r>
        <w:t>PIE</w:t>
      </w:r>
      <w:r w:rsidRPr="00BD6FA4">
        <w:t xml:space="preserve">s, which do not have experience in the application of the ESEF Regulation, </w:t>
      </w:r>
      <w:r>
        <w:t>more</w:t>
      </w:r>
      <w:r w:rsidRPr="00BD6FA4">
        <w:t xml:space="preserve"> time to implement the legislation.</w:t>
      </w:r>
    </w:p>
    <w:p w14:paraId="21E41585" w14:textId="1A99E6FC" w:rsidR="006A64ED" w:rsidRPr="00AF763D" w:rsidRDefault="003155DF" w:rsidP="006A64ED">
      <w:pPr>
        <w:spacing w:after="0"/>
        <w:rPr>
          <w:sz w:val="20"/>
          <w:szCs w:val="18"/>
        </w:rPr>
      </w:pPr>
      <w:r>
        <w:t xml:space="preserve">In this respect, </w:t>
      </w:r>
      <w:r w:rsidRPr="001B4088">
        <w:t xml:space="preserve">it is also </w:t>
      </w:r>
      <w:r>
        <w:t>worth</w:t>
      </w:r>
      <w:r w:rsidRPr="001B4088">
        <w:t xml:space="preserve"> consider</w:t>
      </w:r>
      <w:r>
        <w:t>ing</w:t>
      </w:r>
      <w:r w:rsidRPr="001B4088">
        <w:t xml:space="preserve"> that,</w:t>
      </w:r>
      <w:r w:rsidRPr="00BD6FA4">
        <w:t xml:space="preserve"> unlike the information in </w:t>
      </w:r>
      <w:r>
        <w:t xml:space="preserve">the </w:t>
      </w:r>
      <w:r w:rsidRPr="00BD6FA4">
        <w:t xml:space="preserve">consolidated IFRS financial statements, </w:t>
      </w:r>
      <w:r>
        <w:t xml:space="preserve">the </w:t>
      </w:r>
      <w:r w:rsidRPr="00BD6FA4">
        <w:t xml:space="preserve">taxonomy disclosures contain </w:t>
      </w:r>
      <w:r>
        <w:t xml:space="preserve">limited </w:t>
      </w:r>
      <w:r w:rsidRPr="00BD6FA4">
        <w:t xml:space="preserve">narrative </w:t>
      </w:r>
      <w:r>
        <w:t>details</w:t>
      </w:r>
      <w:r w:rsidRPr="00BD6FA4">
        <w:t xml:space="preserve">. For these reasons, we believe that the same step-by-step approach used under </w:t>
      </w:r>
      <w:proofErr w:type="gramStart"/>
      <w:r w:rsidRPr="00BD6FA4">
        <w:t>the  ESEF</w:t>
      </w:r>
      <w:proofErr w:type="gramEnd"/>
      <w:r w:rsidRPr="00BD6FA4">
        <w:t xml:space="preserve"> Delegated Regulation  (815/2019) for financial information (</w:t>
      </w:r>
      <w:r>
        <w:t xml:space="preserve">i.e., </w:t>
      </w:r>
      <w:r w:rsidRPr="00BD6FA4">
        <w:t xml:space="preserve">in the first year of application the </w:t>
      </w:r>
      <w:r>
        <w:t>tagging</w:t>
      </w:r>
      <w:r w:rsidRPr="00BD6FA4">
        <w:t xml:space="preserve"> requirement was only at the level of </w:t>
      </w:r>
      <w:r>
        <w:t>the</w:t>
      </w:r>
      <w:r w:rsidRPr="00BD6FA4">
        <w:t xml:space="preserve"> statements</w:t>
      </w:r>
      <w:r>
        <w:t>,</w:t>
      </w:r>
      <w:r w:rsidRPr="00BD6FA4">
        <w:t xml:space="preserve"> and </w:t>
      </w:r>
      <w:r>
        <w:t xml:space="preserve">it was </w:t>
      </w:r>
      <w:r w:rsidRPr="00BD6FA4">
        <w:t xml:space="preserve">subsequently extended to the </w:t>
      </w:r>
      <w:r>
        <w:t>N</w:t>
      </w:r>
      <w:r w:rsidRPr="00BD6FA4">
        <w:t>otes to the IFRS consolidated financial statements)</w:t>
      </w:r>
      <w:r>
        <w:t xml:space="preserve"> would </w:t>
      </w:r>
      <w:r w:rsidRPr="00BD6FA4">
        <w:t xml:space="preserve">not </w:t>
      </w:r>
      <w:r>
        <w:t xml:space="preserve">be </w:t>
      </w:r>
      <w:r w:rsidRPr="00BD6FA4">
        <w:t>necessary</w:t>
      </w:r>
      <w:r>
        <w:t xml:space="preserve"> here</w:t>
      </w:r>
      <w:r w:rsidRPr="00BD6FA4">
        <w:t xml:space="preserve">. </w:t>
      </w:r>
      <w:r>
        <w:t>Quite to the contrary, i</w:t>
      </w:r>
      <w:r w:rsidRPr="00BD6FA4">
        <w:t>n the context of taxonomy disclosure</w:t>
      </w:r>
      <w:r>
        <w:t>s</w:t>
      </w:r>
      <w:r w:rsidRPr="00BD6FA4">
        <w:t xml:space="preserve"> starting with the </w:t>
      </w:r>
      <w:r>
        <w:t>tagging</w:t>
      </w:r>
      <w:r w:rsidRPr="00BD6FA4">
        <w:t xml:space="preserve"> of information included in the tables and then moving on to narrative information would not lead to significant benefits.</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EC239D3" w:rsidR="006A64ED" w:rsidRPr="00AF763D" w:rsidRDefault="003155DF" w:rsidP="006A64ED">
      <w:pPr>
        <w:spacing w:after="0"/>
        <w:rPr>
          <w:sz w:val="20"/>
          <w:szCs w:val="18"/>
        </w:rPr>
      </w:pPr>
      <w:permStart w:id="2102669281" w:edGrp="everyone"/>
      <w:r w:rsidRPr="00BD6FA4">
        <w:t xml:space="preserve">In line with what </w:t>
      </w:r>
      <w:r>
        <w:t>our</w:t>
      </w:r>
      <w:r w:rsidRPr="00BD6FA4">
        <w:t xml:space="preserve"> </w:t>
      </w:r>
      <w:r>
        <w:t>responses</w:t>
      </w:r>
      <w:r w:rsidRPr="00BD6FA4">
        <w:t xml:space="preserve"> to Questions 2 and 3</w:t>
      </w:r>
      <w:r>
        <w:t xml:space="preserve"> above</w:t>
      </w:r>
      <w:r w:rsidRPr="00BD6FA4">
        <w:t xml:space="preserve">, </w:t>
      </w:r>
      <w:r w:rsidRPr="00BD6FA4">
        <w:rPr>
          <w:szCs w:val="22"/>
        </w:rPr>
        <w:t xml:space="preserve">we </w:t>
      </w:r>
      <w:r>
        <w:rPr>
          <w:szCs w:val="22"/>
        </w:rPr>
        <w:t>take the view</w:t>
      </w:r>
      <w:r w:rsidRPr="00BD6FA4">
        <w:rPr>
          <w:szCs w:val="22"/>
        </w:rPr>
        <w:t xml:space="preserve"> that the implementation of tagging rules should also be required </w:t>
      </w:r>
      <w:r>
        <w:rPr>
          <w:szCs w:val="22"/>
        </w:rPr>
        <w:t>no earlier than</w:t>
      </w:r>
      <w:r w:rsidRPr="00BD6FA4">
        <w:rPr>
          <w:szCs w:val="22"/>
        </w:rPr>
        <w:t xml:space="preserve"> the </w:t>
      </w:r>
      <w:r>
        <w:rPr>
          <w:szCs w:val="22"/>
        </w:rPr>
        <w:t>fiscal year</w:t>
      </w:r>
      <w:r w:rsidRPr="00BD6FA4">
        <w:rPr>
          <w:szCs w:val="22"/>
        </w:rPr>
        <w:t xml:space="preserve"> </w:t>
      </w:r>
      <w:r>
        <w:rPr>
          <w:szCs w:val="22"/>
        </w:rPr>
        <w:t>(N+1) following</w:t>
      </w:r>
      <w:r w:rsidRPr="00BD6FA4">
        <w:rPr>
          <w:szCs w:val="22"/>
        </w:rPr>
        <w:t xml:space="preserve"> the publication of the RTS in the Official Journal </w:t>
      </w:r>
      <w:r>
        <w:rPr>
          <w:szCs w:val="22"/>
        </w:rPr>
        <w:t xml:space="preserve">of the European Union, </w:t>
      </w:r>
      <w:r w:rsidRPr="00BD6FA4">
        <w:rPr>
          <w:szCs w:val="22"/>
        </w:rPr>
        <w:t xml:space="preserve">and not in the </w:t>
      </w:r>
      <w:r>
        <w:rPr>
          <w:szCs w:val="22"/>
        </w:rPr>
        <w:t xml:space="preserve">same </w:t>
      </w:r>
      <w:r w:rsidRPr="00BD6FA4">
        <w:rPr>
          <w:szCs w:val="22"/>
        </w:rPr>
        <w:t xml:space="preserve">year </w:t>
      </w:r>
      <w:r>
        <w:rPr>
          <w:szCs w:val="22"/>
        </w:rPr>
        <w:t xml:space="preserve">as </w:t>
      </w:r>
      <w:r>
        <w:rPr>
          <w:szCs w:val="22"/>
        </w:rPr>
        <w:lastRenderedPageBreak/>
        <w:t>the</w:t>
      </w:r>
      <w:r w:rsidRPr="00BD6FA4">
        <w:rPr>
          <w:szCs w:val="22"/>
        </w:rPr>
        <w:t xml:space="preserve"> publication, </w:t>
      </w:r>
      <w:r>
        <w:rPr>
          <w:szCs w:val="22"/>
        </w:rPr>
        <w:t>so as to</w:t>
      </w:r>
      <w:r w:rsidRPr="00BD6FA4">
        <w:rPr>
          <w:szCs w:val="22"/>
        </w:rPr>
        <w:t xml:space="preserve"> allow undertakings to align </w:t>
      </w:r>
      <w:r>
        <w:rPr>
          <w:szCs w:val="22"/>
        </w:rPr>
        <w:t>with these requirements within</w:t>
      </w:r>
      <w:r w:rsidRPr="00BD6FA4">
        <w:rPr>
          <w:szCs w:val="22"/>
        </w:rPr>
        <w:t xml:space="preserve"> an adequate time</w:t>
      </w:r>
      <w:r>
        <w:rPr>
          <w:szCs w:val="22"/>
        </w:rPr>
        <w:t>frame.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0EEEEB36" w:rsidR="006A64ED" w:rsidRPr="00AF763D" w:rsidRDefault="003155DF" w:rsidP="006A64ED">
      <w:pPr>
        <w:spacing w:after="0"/>
        <w:rPr>
          <w:sz w:val="20"/>
          <w:szCs w:val="18"/>
        </w:rPr>
      </w:pPr>
      <w:permStart w:id="74010525" w:edGrp="everyone"/>
      <w:proofErr w:type="gramStart"/>
      <w:r w:rsidRPr="00BD6FA4">
        <w:t>Also</w:t>
      </w:r>
      <w:proofErr w:type="gramEnd"/>
      <w:r w:rsidRPr="00BD6FA4">
        <w:t xml:space="preserve"> for the Taxonomy area, we agree with the </w:t>
      </w:r>
      <w:r>
        <w:t>proposal</w:t>
      </w:r>
      <w:r w:rsidRPr="00BD6FA4">
        <w:t xml:space="preserve"> </w:t>
      </w:r>
      <w:r>
        <w:t>to</w:t>
      </w:r>
      <w:r w:rsidRPr="00BD6FA4">
        <w:t xml:space="preserve"> includ</w:t>
      </w:r>
      <w:r>
        <w:t>e</w:t>
      </w:r>
      <w:r w:rsidRPr="00BD6FA4">
        <w:t xml:space="preserve"> a review clause</w:t>
      </w:r>
      <w:r>
        <w:t>,</w:t>
      </w:r>
      <w:r w:rsidRPr="00BD6FA4">
        <w:t xml:space="preserve"> </w:t>
      </w:r>
      <w:r>
        <w:t>subject to the same precautions</w:t>
      </w:r>
      <w:r w:rsidRPr="00BD6FA4">
        <w:t xml:space="preserve"> </w:t>
      </w:r>
      <w:r>
        <w:t xml:space="preserve">and caveats already </w:t>
      </w:r>
      <w:r w:rsidRPr="00BD6FA4">
        <w:t xml:space="preserve">highlighted in </w:t>
      </w:r>
      <w:r>
        <w:t xml:space="preserve">our </w:t>
      </w:r>
      <w:r w:rsidRPr="00BD6FA4">
        <w:t>response to Question 7</w:t>
      </w:r>
      <w:r>
        <w:t xml:space="preserve">. </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4B5C22"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A6EECB" w:rsidR="006A64ED" w:rsidRPr="00AF763D" w:rsidRDefault="003155DF" w:rsidP="006A64ED">
      <w:pPr>
        <w:spacing w:after="0"/>
        <w:rPr>
          <w:sz w:val="20"/>
          <w:szCs w:val="18"/>
        </w:rPr>
      </w:pPr>
      <w:permStart w:id="1023742674" w:edGrp="everyone"/>
      <w:r>
        <w:t>We agree with t</w:t>
      </w:r>
      <w:r w:rsidRPr="00BD6FA4">
        <w:t xml:space="preserve">he approach </w:t>
      </w:r>
      <w:r>
        <w:t>to</w:t>
      </w:r>
      <w:r w:rsidRPr="00BD6FA4">
        <w:t xml:space="preserve"> maintain the existing taxonomy </w:t>
      </w:r>
      <w:r>
        <w:t>architecture of</w:t>
      </w:r>
      <w:r w:rsidRPr="00BD6FA4">
        <w:t xml:space="preserve"> the "Financial </w:t>
      </w:r>
      <w:r>
        <w:t xml:space="preserve">Reporting </w:t>
      </w:r>
      <w:r w:rsidRPr="00BD6FA4">
        <w:t>ESEF"</w:t>
      </w:r>
      <w:r>
        <w:t>, while</w:t>
      </w:r>
      <w:r w:rsidRPr="00BD6FA4">
        <w:t xml:space="preserve"> incorporating </w:t>
      </w:r>
      <w:r>
        <w:t xml:space="preserve">therein </w:t>
      </w:r>
      <w:r w:rsidRPr="00BD6FA4">
        <w:t>the taxonomies created by</w:t>
      </w:r>
      <w:r>
        <w:t xml:space="preserve"> </w:t>
      </w:r>
      <w:proofErr w:type="gramStart"/>
      <w:r>
        <w:t>ESMA</w:t>
      </w:r>
      <w:r w:rsidRPr="00BD6FA4">
        <w:t xml:space="preserve">  for</w:t>
      </w:r>
      <w:proofErr w:type="gramEnd"/>
      <w:r w:rsidRPr="00BD6FA4">
        <w:t xml:space="preserve"> ESRS and for Article 8 of the Taxonomy Regulation.</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3EED22CA" w:rsidR="006A64ED" w:rsidRPr="00AF763D" w:rsidRDefault="003155DF" w:rsidP="006A64ED">
      <w:pPr>
        <w:spacing w:after="0"/>
        <w:rPr>
          <w:sz w:val="20"/>
          <w:szCs w:val="18"/>
        </w:rPr>
      </w:pPr>
      <w:permStart w:id="215430023" w:edGrp="everyone"/>
      <w:r w:rsidRPr="00BD6FA4">
        <w:t xml:space="preserve">As already mentioned in </w:t>
      </w:r>
      <w:r>
        <w:t>our</w:t>
      </w:r>
      <w:r w:rsidRPr="00BD6FA4">
        <w:t xml:space="preserve"> </w:t>
      </w:r>
      <w:r>
        <w:t>responses</w:t>
      </w:r>
      <w:r w:rsidRPr="00BD6FA4">
        <w:t xml:space="preserve"> to Questions 6 and 8, we </w:t>
      </w:r>
      <w:r>
        <w:t>agree with</w:t>
      </w:r>
      <w:r w:rsidRPr="00BD6FA4">
        <w:t xml:space="preserve"> </w:t>
      </w:r>
      <w:r>
        <w:t>an</w:t>
      </w:r>
      <w:r w:rsidRPr="00BD6FA4">
        <w:t xml:space="preserve"> approach </w:t>
      </w:r>
      <w:r>
        <w:t>that</w:t>
      </w:r>
      <w:r w:rsidRPr="00BD6FA4">
        <w:t xml:space="preserve"> limit</w:t>
      </w:r>
      <w:r>
        <w:t>s</w:t>
      </w:r>
      <w:r w:rsidRPr="00BD6FA4">
        <w:t xml:space="preserve"> "technical extensions" as much as possible, thus facilitating </w:t>
      </w:r>
      <w:r>
        <w:t>reporting</w:t>
      </w:r>
      <w:r w:rsidRPr="003A018D">
        <w:t xml:space="preserve"> entities, technical service providers and assurance providers</w:t>
      </w:r>
      <w:r>
        <w:t xml:space="preserve"> to</w:t>
      </w:r>
      <w:r w:rsidRPr="00BD6FA4">
        <w:t xml:space="preserve"> </w:t>
      </w:r>
      <w:r>
        <w:t>comply</w:t>
      </w:r>
      <w:r w:rsidRPr="00BD6FA4">
        <w:t xml:space="preserve"> </w:t>
      </w:r>
      <w:r>
        <w:t>with</w:t>
      </w:r>
      <w:r w:rsidRPr="00BD6FA4">
        <w:t xml:space="preserve"> the relevant requirements. </w:t>
      </w:r>
      <w:r>
        <w:t>In fact, assurance providers</w:t>
      </w:r>
      <w:r w:rsidRPr="00BD6FA4">
        <w:t xml:space="preserve"> have already developed analysis and verification methodologies based on the current architecture of the IFRS Accounting Taxonomy.</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2A664BE1" w14:textId="77777777" w:rsidR="00157DA5" w:rsidRPr="00435DAA" w:rsidRDefault="00157DA5" w:rsidP="00157DA5">
      <w:pPr>
        <w:spacing w:after="0"/>
        <w:rPr>
          <w:lang w:val="en-US"/>
        </w:rPr>
      </w:pPr>
      <w:permStart w:id="1401631365" w:edGrp="everyone"/>
      <w:r w:rsidRPr="00BD6FA4">
        <w:t xml:space="preserve">The </w:t>
      </w:r>
      <w:r>
        <w:t xml:space="preserve">current </w:t>
      </w:r>
      <w:r w:rsidRPr="00BD6FA4">
        <w:t xml:space="preserve">approach </w:t>
      </w:r>
      <w:r>
        <w:t>mandates</w:t>
      </w:r>
      <w:r w:rsidRPr="00BD6FA4">
        <w:t xml:space="preserve"> </w:t>
      </w:r>
      <w:r>
        <w:t xml:space="preserve">a </w:t>
      </w:r>
      <w:r w:rsidRPr="00BD6FA4">
        <w:t xml:space="preserve">"one-to-one" </w:t>
      </w:r>
      <w:r>
        <w:t>mark up</w:t>
      </w:r>
      <w:r w:rsidRPr="00BD6FA4">
        <w:t xml:space="preserve"> </w:t>
      </w:r>
      <w:r>
        <w:t>for</w:t>
      </w:r>
      <w:r w:rsidRPr="00BD6FA4">
        <w:t xml:space="preserve"> each mandatory disclosure requirement (albeit in </w:t>
      </w:r>
      <w:r>
        <w:t xml:space="preserve">different </w:t>
      </w:r>
      <w:r w:rsidRPr="00BD6FA4">
        <w:t>phases)</w:t>
      </w:r>
      <w:r>
        <w:t>, as well as for</w:t>
      </w:r>
      <w:r w:rsidRPr="00BD6FA4">
        <w:t xml:space="preserve"> </w:t>
      </w:r>
      <w:r>
        <w:t>the</w:t>
      </w:r>
      <w:r w:rsidRPr="00BD6FA4">
        <w:t xml:space="preserve"> information </w:t>
      </w:r>
      <w:r>
        <w:t>required</w:t>
      </w:r>
      <w:r w:rsidRPr="00BD6FA4">
        <w:t xml:space="preserve"> by Article 8 of the Taxonomy Regulation. </w:t>
      </w:r>
      <w:r>
        <w:t>While</w:t>
      </w:r>
      <w:r w:rsidRPr="00435DAA">
        <w:t xml:space="preserve"> </w:t>
      </w:r>
      <w:r>
        <w:t xml:space="preserve">we certainly agree with </w:t>
      </w:r>
      <w:r w:rsidRPr="00435DAA">
        <w:t>th</w:t>
      </w:r>
      <w:r>
        <w:t>is</w:t>
      </w:r>
      <w:r w:rsidRPr="00435DAA">
        <w:t xml:space="preserve"> approach (as </w:t>
      </w:r>
      <w:r>
        <w:t xml:space="preserve">already </w:t>
      </w:r>
      <w:r w:rsidRPr="00435DAA">
        <w:t xml:space="preserve">indicated in </w:t>
      </w:r>
      <w:r>
        <w:t>our response</w:t>
      </w:r>
      <w:r w:rsidRPr="00435DAA">
        <w:t xml:space="preserve"> to Question 1</w:t>
      </w:r>
      <w:r>
        <w:t xml:space="preserve"> above</w:t>
      </w:r>
      <w:r w:rsidRPr="00435DAA">
        <w:t xml:space="preserve">), it would be </w:t>
      </w:r>
      <w:r>
        <w:t>advisable</w:t>
      </w:r>
      <w:r w:rsidRPr="00435DAA">
        <w:t xml:space="preserve"> </w:t>
      </w:r>
      <w:r>
        <w:t xml:space="preserve">in our view </w:t>
      </w:r>
      <w:r w:rsidRPr="00435DAA">
        <w:t xml:space="preserve">to assess the risk of </w:t>
      </w:r>
      <w:r>
        <w:t>the document becoming excessively complex, together with the</w:t>
      </w:r>
      <w:r w:rsidRPr="00435DAA">
        <w:t xml:space="preserve"> </w:t>
      </w:r>
      <w:r>
        <w:t>consequent potential</w:t>
      </w:r>
      <w:r w:rsidRPr="00435DAA">
        <w:t xml:space="preserve"> </w:t>
      </w:r>
      <w:r>
        <w:t>issues</w:t>
      </w:r>
      <w:r w:rsidRPr="00435DAA">
        <w:t xml:space="preserve"> related to the functionality of the </w:t>
      </w:r>
      <w:proofErr w:type="spellStart"/>
      <w:r w:rsidRPr="00435DAA">
        <w:t>software</w:t>
      </w:r>
      <w:r>
        <w:t>s</w:t>
      </w:r>
      <w:proofErr w:type="spellEnd"/>
      <w:r w:rsidRPr="00435DAA">
        <w:t xml:space="preserve"> currently available for </w:t>
      </w:r>
      <w:r>
        <w:t xml:space="preserve">tagging and </w:t>
      </w:r>
      <w:r w:rsidRPr="00435DAA">
        <w:t>technical verifications.</w:t>
      </w:r>
      <w:r>
        <w:t xml:space="preserve"> Moreover</w:t>
      </w:r>
      <w:r w:rsidRPr="00435DAA">
        <w:t xml:space="preserve">, as already </w:t>
      </w:r>
      <w:r>
        <w:t>noted</w:t>
      </w:r>
      <w:r w:rsidRPr="00435DAA">
        <w:t xml:space="preserve"> for the </w:t>
      </w:r>
      <w:r>
        <w:t>mark up</w:t>
      </w:r>
      <w:r w:rsidRPr="00435DAA">
        <w:t xml:space="preserve"> of </w:t>
      </w:r>
      <w:r>
        <w:t xml:space="preserve">the </w:t>
      </w:r>
      <w:r w:rsidRPr="00435DAA">
        <w:t>Notes</w:t>
      </w:r>
      <w:r>
        <w:t xml:space="preserve"> to financial statements</w:t>
      </w:r>
      <w:r w:rsidRPr="00435DAA">
        <w:t xml:space="preserve">, the </w:t>
      </w:r>
      <w:r>
        <w:t xml:space="preserve">existing </w:t>
      </w:r>
      <w:proofErr w:type="spellStart"/>
      <w:r w:rsidRPr="00435DAA">
        <w:t>software</w:t>
      </w:r>
      <w:r>
        <w:t>s</w:t>
      </w:r>
      <w:proofErr w:type="spellEnd"/>
      <w:r w:rsidRPr="00435DAA">
        <w:t xml:space="preserve"> </w:t>
      </w:r>
      <w:r>
        <w:t>are</w:t>
      </w:r>
      <w:r w:rsidRPr="00435DAA">
        <w:t xml:space="preserve"> not able to highlight the lack of one or more potentially applicable tags, leaving the task of identifying them to the assurance provider.</w:t>
      </w:r>
    </w:p>
    <w:p w14:paraId="3179BEF8" w14:textId="77777777" w:rsidR="00157DA5" w:rsidRPr="00435DAA" w:rsidRDefault="00157DA5" w:rsidP="00157DA5">
      <w:pPr>
        <w:spacing w:after="0"/>
        <w:rPr>
          <w:lang w:val="en-US"/>
        </w:rPr>
      </w:pPr>
      <w:r>
        <w:lastRenderedPageBreak/>
        <w:t>T</w:t>
      </w:r>
      <w:r w:rsidRPr="00435DAA">
        <w:t>herefore</w:t>
      </w:r>
      <w:r>
        <w:t>,</w:t>
      </w:r>
      <w:r w:rsidRPr="00435DAA">
        <w:t xml:space="preserve"> </w:t>
      </w:r>
      <w:r>
        <w:t xml:space="preserve">we do </w:t>
      </w:r>
      <w:r w:rsidRPr="00435DAA">
        <w:t xml:space="preserve">suggest </w:t>
      </w:r>
      <w:proofErr w:type="gramStart"/>
      <w:r w:rsidRPr="00435DAA">
        <w:t>to limit</w:t>
      </w:r>
      <w:proofErr w:type="gramEnd"/>
      <w:r w:rsidRPr="00435DAA">
        <w:t xml:space="preserve"> </w:t>
      </w:r>
      <w:r>
        <w:t xml:space="preserve">any </w:t>
      </w:r>
      <w:r w:rsidRPr="00435DAA">
        <w:t xml:space="preserve">tagging obligations by </w:t>
      </w:r>
      <w:r>
        <w:t>considering</w:t>
      </w:r>
      <w:r w:rsidRPr="00435DAA">
        <w:t>, alternatively or jointly, to:</w:t>
      </w:r>
    </w:p>
    <w:p w14:paraId="2D1C8582" w14:textId="77777777" w:rsidR="00157DA5" w:rsidRPr="00157DA5" w:rsidRDefault="00157DA5" w:rsidP="00157DA5">
      <w:pPr>
        <w:pStyle w:val="Paragrafoelenco"/>
        <w:numPr>
          <w:ilvl w:val="0"/>
          <w:numId w:val="46"/>
        </w:numPr>
        <w:spacing w:after="160" w:line="259" w:lineRule="auto"/>
        <w:jc w:val="left"/>
        <w:rPr>
          <w:lang w:val="en-US"/>
        </w:rPr>
      </w:pPr>
      <w:r w:rsidRPr="00435DAA">
        <w:t xml:space="preserve">limit mandatory </w:t>
      </w:r>
      <w:r>
        <w:t>mark ups</w:t>
      </w:r>
      <w:r w:rsidRPr="00435DAA">
        <w:t xml:space="preserve">, in line with what is already provided for narrative information included in the Notes to financial </w:t>
      </w:r>
      <w:r>
        <w:t>statements</w:t>
      </w:r>
      <w:r w:rsidRPr="00435DAA">
        <w:t xml:space="preserve">, where mandatory </w:t>
      </w:r>
      <w:proofErr w:type="gramStart"/>
      <w:r w:rsidRPr="00435DAA">
        <w:t>tags  are</w:t>
      </w:r>
      <w:proofErr w:type="gramEnd"/>
      <w:r w:rsidRPr="00435DAA">
        <w:t xml:space="preserve"> numerically </w:t>
      </w:r>
      <w:r>
        <w:t>limit</w:t>
      </w:r>
      <w:r w:rsidRPr="00435DAA">
        <w:t>ed (about 250);</w:t>
      </w:r>
    </w:p>
    <w:p w14:paraId="5CFCA40D" w14:textId="7DEDA6D5" w:rsidR="006A64ED" w:rsidRPr="00157DA5" w:rsidRDefault="00157DA5" w:rsidP="00157DA5">
      <w:pPr>
        <w:pStyle w:val="Paragrafoelenco"/>
        <w:numPr>
          <w:ilvl w:val="0"/>
          <w:numId w:val="46"/>
        </w:numPr>
        <w:spacing w:after="160" w:line="259" w:lineRule="auto"/>
        <w:jc w:val="left"/>
        <w:rPr>
          <w:lang w:val="en-US"/>
        </w:rPr>
      </w:pPr>
      <w:r>
        <w:t>require</w:t>
      </w:r>
      <w:r w:rsidRPr="00435DAA">
        <w:t>, at least in a</w:t>
      </w:r>
      <w:r>
        <w:t>n initial</w:t>
      </w:r>
      <w:r w:rsidRPr="00435DAA">
        <w:t xml:space="preserve"> phase, only the </w:t>
      </w:r>
      <w:r>
        <w:t>mark up</w:t>
      </w:r>
      <w:r w:rsidRPr="00435DAA">
        <w:t xml:space="preserve"> of quantitative information </w:t>
      </w:r>
      <w:r>
        <w:t>prescrib</w:t>
      </w:r>
      <w:r w:rsidRPr="00817393">
        <w:t xml:space="preserve">ed by </w:t>
      </w:r>
      <w:r>
        <w:t xml:space="preserve">the </w:t>
      </w:r>
      <w:r w:rsidRPr="00817393">
        <w:t>ESRS and those required by Article 8 of the Taxonomy Regulation</w:t>
      </w:r>
      <w:r w:rsidRPr="00435DAA">
        <w:t xml:space="preserve">, thus </w:t>
      </w:r>
      <w:r>
        <w:t>allow</w:t>
      </w:r>
      <w:r w:rsidRPr="00435DAA">
        <w:t xml:space="preserve">ing more time </w:t>
      </w:r>
      <w:r>
        <w:t>to</w:t>
      </w:r>
      <w:r w:rsidRPr="00435DAA">
        <w:t xml:space="preserve"> all the </w:t>
      </w:r>
      <w:r>
        <w:t>playe</w:t>
      </w:r>
      <w:r w:rsidRPr="00435DAA">
        <w:t>rs involved (preparers, technology provider</w:t>
      </w:r>
      <w:r>
        <w:t>s</w:t>
      </w:r>
      <w:r w:rsidRPr="00435DAA">
        <w:t>, assurance provider</w:t>
      </w:r>
      <w:r>
        <w:t>s</w:t>
      </w:r>
      <w:r w:rsidRPr="00435DAA">
        <w:t xml:space="preserve">) to verify the impacts and </w:t>
      </w:r>
      <w:r>
        <w:t xml:space="preserve">the </w:t>
      </w:r>
      <w:r w:rsidRPr="00435DAA">
        <w:t xml:space="preserve">technical functionalities available to comply </w:t>
      </w:r>
      <w:r>
        <w:t xml:space="preserve">also </w:t>
      </w:r>
      <w:r w:rsidRPr="00435DAA">
        <w:t xml:space="preserve">with the requirements </w:t>
      </w:r>
      <w:r>
        <w:t>regarding</w:t>
      </w:r>
      <w:r w:rsidRPr="00435DAA">
        <w:t xml:space="preserve"> narrative information. For </w:t>
      </w:r>
      <w:r>
        <w:t xml:space="preserve">information </w:t>
      </w:r>
      <w:r w:rsidRPr="00435DAA">
        <w:t>comparability</w:t>
      </w:r>
      <w:r>
        <w:t xml:space="preserve"> purposes</w:t>
      </w:r>
      <w:r w:rsidRPr="00435DAA">
        <w:t xml:space="preserve">, </w:t>
      </w:r>
      <w:r>
        <w:t>we</w:t>
      </w:r>
      <w:r w:rsidRPr="00435DAA">
        <w:t xml:space="preserve"> </w:t>
      </w:r>
      <w:r>
        <w:t xml:space="preserve">do </w:t>
      </w:r>
      <w:r w:rsidRPr="00435DAA">
        <w:t xml:space="preserve">believe that the numerous data points currently </w:t>
      </w:r>
      <w:r>
        <w:t>required</w:t>
      </w:r>
      <w:r w:rsidRPr="00435DAA">
        <w:t xml:space="preserve"> in relation to quantitative information, together with the numerical data </w:t>
      </w:r>
      <w:r>
        <w:t>contemplat</w:t>
      </w:r>
      <w:r w:rsidRPr="00435DAA">
        <w:t xml:space="preserve">ed by Article 8 of the Taxonomy Regulation meet </w:t>
      </w:r>
      <w:r>
        <w:t xml:space="preserve">appropriately </w:t>
      </w:r>
      <w:r w:rsidRPr="00435DAA">
        <w:t xml:space="preserve">the </w:t>
      </w:r>
      <w:r>
        <w:t xml:space="preserve">intended </w:t>
      </w:r>
      <w:r w:rsidRPr="00435DAA">
        <w:t>objectives</w:t>
      </w:r>
      <w:r>
        <w:t xml:space="preserve">, </w:t>
      </w:r>
      <w:r w:rsidRPr="00435DAA">
        <w:t>at least in a</w:t>
      </w:r>
      <w:r>
        <w:t>n initial</w:t>
      </w:r>
      <w:r w:rsidRPr="00435DAA">
        <w:t xml:space="preserve"> phase.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4B5C22"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410C023A" w14:textId="07C19D11" w:rsidR="006A64ED" w:rsidRPr="00AF763D" w:rsidRDefault="00562E45" w:rsidP="006A64ED">
      <w:pPr>
        <w:spacing w:after="0"/>
        <w:rPr>
          <w:sz w:val="20"/>
          <w:szCs w:val="18"/>
        </w:rPr>
      </w:pPr>
      <w:permStart w:id="1970232525" w:edGrp="everyone"/>
      <w:r w:rsidRPr="002B3350">
        <w:rPr>
          <w:sz w:val="20"/>
          <w:szCs w:val="18"/>
          <w:lang w:val="en-US"/>
        </w:rPr>
        <w:t>We agree to revisit the Consolidated Note</w:t>
      </w:r>
      <w:r>
        <w:rPr>
          <w:sz w:val="20"/>
          <w:szCs w:val="18"/>
          <w:lang w:val="en-US"/>
        </w:rPr>
        <w:t>s</w:t>
      </w:r>
      <w:r w:rsidRPr="002B3350">
        <w:rPr>
          <w:sz w:val="20"/>
          <w:szCs w:val="18"/>
          <w:lang w:val="en-US"/>
        </w:rPr>
        <w:t xml:space="preserve"> marking up rules. Avoiding over-tagging and minimizing nested or multiple tagging are beneficial for comparability reasons, although the approach suggested could imply much more effort and, potentially, could be applied with some limitation in </w:t>
      </w:r>
      <w:r>
        <w:rPr>
          <w:sz w:val="20"/>
          <w:szCs w:val="18"/>
          <w:lang w:val="en-US"/>
        </w:rPr>
        <w:t xml:space="preserve">those </w:t>
      </w:r>
      <w:r w:rsidRPr="002B3350">
        <w:rPr>
          <w:sz w:val="20"/>
          <w:szCs w:val="18"/>
          <w:lang w:val="en-US"/>
        </w:rPr>
        <w:t>jurisdiction</w:t>
      </w:r>
      <w:r>
        <w:rPr>
          <w:sz w:val="20"/>
          <w:szCs w:val="18"/>
          <w:lang w:val="en-US"/>
        </w:rPr>
        <w:t>s and</w:t>
      </w:r>
      <w:r w:rsidRPr="002B3350">
        <w:rPr>
          <w:sz w:val="20"/>
          <w:szCs w:val="18"/>
          <w:lang w:val="en-US"/>
        </w:rPr>
        <w:t>/</w:t>
      </w:r>
      <w:r>
        <w:rPr>
          <w:sz w:val="20"/>
          <w:szCs w:val="18"/>
          <w:lang w:val="en-US"/>
        </w:rPr>
        <w:t xml:space="preserve">or </w:t>
      </w:r>
      <w:r w:rsidRPr="002B3350">
        <w:rPr>
          <w:sz w:val="20"/>
          <w:szCs w:val="18"/>
          <w:lang w:val="en-US"/>
        </w:rPr>
        <w:t>sector</w:t>
      </w:r>
      <w:r>
        <w:rPr>
          <w:sz w:val="20"/>
          <w:szCs w:val="18"/>
          <w:lang w:val="en-US"/>
        </w:rPr>
        <w:t>s</w:t>
      </w:r>
      <w:r w:rsidRPr="002B3350">
        <w:rPr>
          <w:sz w:val="20"/>
          <w:szCs w:val="18"/>
          <w:lang w:val="en-US"/>
        </w:rPr>
        <w:t xml:space="preserve"> where a standard structure of the Notes to the consolidated financial statements </w:t>
      </w:r>
      <w:r>
        <w:rPr>
          <w:sz w:val="20"/>
          <w:szCs w:val="18"/>
          <w:lang w:val="en-US"/>
        </w:rPr>
        <w:t>is</w:t>
      </w:r>
      <w:r w:rsidRPr="002B3350">
        <w:rPr>
          <w:sz w:val="20"/>
          <w:szCs w:val="18"/>
          <w:lang w:val="en-US"/>
        </w:rPr>
        <w:t xml:space="preserve"> prescribed by regulators.</w:t>
      </w:r>
      <w:r w:rsidR="000778F8">
        <w:rPr>
          <w:sz w:val="20"/>
          <w:szCs w:val="18"/>
          <w:lang w:val="en-US"/>
        </w:rPr>
        <w:t xml:space="preserve"> </w:t>
      </w:r>
      <w:permEnd w:id="1970232525"/>
      <w:r w:rsidR="006A64ED"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21AA487D" w:rsidR="006A64ED" w:rsidRPr="00AF763D" w:rsidRDefault="00562E45" w:rsidP="006A64ED">
      <w:pPr>
        <w:spacing w:after="0"/>
        <w:rPr>
          <w:sz w:val="20"/>
          <w:szCs w:val="18"/>
        </w:rPr>
      </w:pPr>
      <w:permStart w:id="481916913" w:edGrp="everyone"/>
      <w:r>
        <w:rPr>
          <w:sz w:val="20"/>
          <w:szCs w:val="18"/>
          <w:lang w:val="en-US"/>
        </w:rPr>
        <w:t>Taking into account the p</w:t>
      </w:r>
      <w:r w:rsidRPr="002B3350">
        <w:rPr>
          <w:sz w:val="20"/>
          <w:szCs w:val="18"/>
          <w:lang w:val="en-US"/>
        </w:rPr>
        <w:t xml:space="preserve">ending regulatory changes resulting from the Omnibus directive, which will modify the scope of the CSRD and postpone its application, we agree with the </w:t>
      </w:r>
      <w:r>
        <w:rPr>
          <w:sz w:val="20"/>
          <w:szCs w:val="18"/>
          <w:lang w:val="en-US"/>
        </w:rPr>
        <w:t xml:space="preserve">notion of a </w:t>
      </w:r>
      <w:r w:rsidRPr="002B3350">
        <w:rPr>
          <w:sz w:val="20"/>
          <w:szCs w:val="18"/>
          <w:lang w:val="en-US"/>
        </w:rPr>
        <w:t>phased</w:t>
      </w:r>
      <w:r>
        <w:rPr>
          <w:sz w:val="20"/>
          <w:szCs w:val="18"/>
          <w:lang w:val="en-US"/>
        </w:rPr>
        <w:t>-in</w:t>
      </w:r>
      <w:r w:rsidRPr="002B3350">
        <w:rPr>
          <w:sz w:val="20"/>
          <w:szCs w:val="18"/>
          <w:lang w:val="en-US"/>
        </w:rPr>
        <w:t xml:space="preserve"> approach; however, we suggest that implementation is always required </w:t>
      </w:r>
      <w:r>
        <w:rPr>
          <w:sz w:val="20"/>
          <w:szCs w:val="18"/>
          <w:lang w:val="en-US"/>
        </w:rPr>
        <w:t>in the year</w:t>
      </w:r>
      <w:r w:rsidRPr="002B3350">
        <w:rPr>
          <w:sz w:val="20"/>
          <w:szCs w:val="18"/>
          <w:lang w:val="en-US"/>
        </w:rPr>
        <w:t xml:space="preserve"> N+1</w:t>
      </w:r>
      <w:r w:rsidR="004B5C22">
        <w:rPr>
          <w:sz w:val="20"/>
          <w:szCs w:val="18"/>
          <w:lang w:val="en-US"/>
        </w:rPr>
        <w:t xml:space="preserve"> </w:t>
      </w:r>
      <w:r>
        <w:rPr>
          <w:sz w:val="20"/>
          <w:szCs w:val="18"/>
          <w:lang w:val="en-US"/>
        </w:rPr>
        <w:t xml:space="preserve">following the publication of the RTS in the European Official Journal, </w:t>
      </w:r>
      <w:r w:rsidRPr="002B3350">
        <w:rPr>
          <w:sz w:val="20"/>
          <w:szCs w:val="18"/>
          <w:lang w:val="en-US"/>
        </w:rPr>
        <w:t xml:space="preserve">and not in the same year of publication to allow adequate time for undertakings </w:t>
      </w:r>
      <w:r>
        <w:rPr>
          <w:sz w:val="20"/>
          <w:szCs w:val="18"/>
          <w:lang w:val="en-US"/>
        </w:rPr>
        <w:t xml:space="preserve">to prepare </w:t>
      </w:r>
      <w:r w:rsidRPr="002B3350">
        <w:rPr>
          <w:sz w:val="20"/>
          <w:szCs w:val="18"/>
          <w:lang w:val="en-US"/>
        </w:rPr>
        <w:t>for implementation. For phase 2, we consider two year</w:t>
      </w:r>
      <w:r>
        <w:rPr>
          <w:sz w:val="20"/>
          <w:szCs w:val="18"/>
          <w:lang w:val="en-US"/>
        </w:rPr>
        <w:t>s</w:t>
      </w:r>
      <w:r w:rsidRPr="002B3350">
        <w:rPr>
          <w:sz w:val="20"/>
          <w:szCs w:val="18"/>
          <w:lang w:val="en-US"/>
        </w:rPr>
        <w:t xml:space="preserve"> as a good time</w:t>
      </w:r>
      <w:r>
        <w:rPr>
          <w:sz w:val="20"/>
          <w:szCs w:val="18"/>
          <w:lang w:val="en-US"/>
        </w:rPr>
        <w:t>line to</w:t>
      </w:r>
      <w:r w:rsidRPr="002B3350">
        <w:rPr>
          <w:sz w:val="20"/>
          <w:szCs w:val="18"/>
          <w:lang w:val="en-US"/>
        </w:rPr>
        <w:t xml:space="preserve"> prepar</w:t>
      </w:r>
      <w:r>
        <w:rPr>
          <w:sz w:val="20"/>
          <w:szCs w:val="18"/>
          <w:lang w:val="en-US"/>
        </w:rPr>
        <w:t>e for</w:t>
      </w:r>
      <w:r w:rsidRPr="002B3350">
        <w:rPr>
          <w:sz w:val="20"/>
          <w:szCs w:val="18"/>
          <w:lang w:val="en-US"/>
        </w:rPr>
        <w:t xml:space="preserve"> its adoption</w:t>
      </w:r>
      <w:r w:rsidR="000778F8" w:rsidRPr="002B3350">
        <w:rPr>
          <w:sz w:val="20"/>
          <w:szCs w:val="18"/>
          <w:lang w:val="en-US"/>
        </w:rPr>
        <w:t>.</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1F144634" w14:textId="77777777" w:rsidR="00562E45" w:rsidRPr="002B3350" w:rsidRDefault="00562E45" w:rsidP="00562E45">
      <w:pPr>
        <w:spacing w:after="0"/>
        <w:rPr>
          <w:sz w:val="20"/>
          <w:szCs w:val="18"/>
          <w:lang w:val="en-US"/>
        </w:rPr>
      </w:pPr>
      <w:permStart w:id="662070572" w:edGrp="everyone"/>
      <w:r>
        <w:rPr>
          <w:sz w:val="20"/>
          <w:szCs w:val="18"/>
          <w:lang w:val="en-US"/>
        </w:rPr>
        <w:t>W</w:t>
      </w:r>
      <w:r w:rsidRPr="002B3350">
        <w:rPr>
          <w:sz w:val="20"/>
          <w:szCs w:val="18"/>
          <w:lang w:val="en-US"/>
        </w:rPr>
        <w:t xml:space="preserve">e agree with the content proposed in phase one; we agree that, following the experience gained in the first years of marking text blocks of notes, issuers can switch to the tagging proposed in paragraph 158 a) </w:t>
      </w:r>
      <w:r w:rsidRPr="002B3350">
        <w:rPr>
          <w:sz w:val="20"/>
          <w:szCs w:val="18"/>
          <w:lang w:val="en-US"/>
        </w:rPr>
        <w:lastRenderedPageBreak/>
        <w:t>regarding the completeness of the markings</w:t>
      </w:r>
      <w:r>
        <w:rPr>
          <w:sz w:val="20"/>
          <w:szCs w:val="18"/>
          <w:lang w:val="en-US"/>
        </w:rPr>
        <w:t>,</w:t>
      </w:r>
      <w:r w:rsidRPr="002B3350">
        <w:rPr>
          <w:sz w:val="20"/>
          <w:szCs w:val="18"/>
          <w:lang w:val="en-US"/>
        </w:rPr>
        <w:t xml:space="preserve"> following the structure of the notes and the logic of the construction of the notes decided by the </w:t>
      </w:r>
      <w:r>
        <w:rPr>
          <w:sz w:val="20"/>
          <w:szCs w:val="18"/>
          <w:lang w:val="en-US"/>
        </w:rPr>
        <w:t xml:space="preserve">preparer of the </w:t>
      </w:r>
      <w:r w:rsidRPr="002B3350">
        <w:rPr>
          <w:sz w:val="20"/>
          <w:szCs w:val="18"/>
          <w:lang w:val="en-US"/>
        </w:rPr>
        <w:t xml:space="preserve">financial statements. We consider that the structure of the financial statements and the notes is binding – specifically for those issuers such as banks and financial institutions that must </w:t>
      </w:r>
      <w:r>
        <w:rPr>
          <w:sz w:val="20"/>
          <w:szCs w:val="18"/>
          <w:lang w:val="en-US"/>
        </w:rPr>
        <w:t>comply with</w:t>
      </w:r>
      <w:r w:rsidRPr="002B3350">
        <w:rPr>
          <w:sz w:val="20"/>
          <w:szCs w:val="18"/>
          <w:lang w:val="en-US"/>
        </w:rPr>
        <w:t xml:space="preserve"> a structure requir</w:t>
      </w:r>
      <w:r>
        <w:rPr>
          <w:sz w:val="20"/>
          <w:szCs w:val="18"/>
          <w:lang w:val="en-US"/>
        </w:rPr>
        <w:t>ing an</w:t>
      </w:r>
      <w:r w:rsidRPr="002B3350">
        <w:rPr>
          <w:sz w:val="20"/>
          <w:szCs w:val="18"/>
          <w:lang w:val="en-US"/>
        </w:rPr>
        <w:t xml:space="preserve"> extensive use of extensions and adaptation</w:t>
      </w:r>
      <w:r>
        <w:rPr>
          <w:sz w:val="20"/>
          <w:szCs w:val="18"/>
          <w:lang w:val="en-US"/>
        </w:rPr>
        <w:t>s</w:t>
      </w:r>
      <w:r w:rsidRPr="002B3350">
        <w:rPr>
          <w:sz w:val="20"/>
          <w:szCs w:val="18"/>
          <w:lang w:val="en-US"/>
        </w:rPr>
        <w:t xml:space="preserve"> with respect to the </w:t>
      </w:r>
      <w:r>
        <w:rPr>
          <w:sz w:val="20"/>
          <w:szCs w:val="18"/>
          <w:lang w:val="en-US"/>
        </w:rPr>
        <w:t>full IFRS</w:t>
      </w:r>
      <w:r w:rsidRPr="002B3350">
        <w:rPr>
          <w:sz w:val="20"/>
          <w:szCs w:val="18"/>
          <w:lang w:val="en-US"/>
        </w:rPr>
        <w:t xml:space="preserve"> taxonomy; for those issuers, the use of a single mark-up resulted in a difficult practical application.  </w:t>
      </w:r>
    </w:p>
    <w:p w14:paraId="67D5EE64" w14:textId="77777777" w:rsidR="00562E45" w:rsidRPr="002B3350" w:rsidRDefault="00562E45" w:rsidP="00562E45">
      <w:pPr>
        <w:spacing w:after="0"/>
        <w:rPr>
          <w:sz w:val="20"/>
          <w:szCs w:val="18"/>
          <w:lang w:val="en-US"/>
        </w:rPr>
      </w:pPr>
      <w:r w:rsidRPr="002B3350">
        <w:rPr>
          <w:sz w:val="20"/>
          <w:szCs w:val="18"/>
          <w:lang w:val="en-US"/>
        </w:rPr>
        <w:t xml:space="preserve">We welcome the suggestion to eliminate multiple </w:t>
      </w:r>
      <w:proofErr w:type="gramStart"/>
      <w:r w:rsidRPr="002B3350">
        <w:rPr>
          <w:sz w:val="20"/>
          <w:szCs w:val="18"/>
          <w:lang w:val="en-US"/>
        </w:rPr>
        <w:t xml:space="preserve">marking, </w:t>
      </w:r>
      <w:r>
        <w:rPr>
          <w:sz w:val="20"/>
          <w:szCs w:val="18"/>
          <w:lang w:val="en-US"/>
        </w:rPr>
        <w:t>and</w:t>
      </w:r>
      <w:proofErr w:type="gramEnd"/>
      <w:r>
        <w:rPr>
          <w:sz w:val="20"/>
          <w:szCs w:val="18"/>
          <w:lang w:val="en-US"/>
        </w:rPr>
        <w:t xml:space="preserve"> </w:t>
      </w:r>
      <w:r w:rsidRPr="002B3350">
        <w:rPr>
          <w:sz w:val="20"/>
          <w:szCs w:val="18"/>
          <w:lang w:val="en-US"/>
        </w:rPr>
        <w:t xml:space="preserve">instead marking each note once and trying to avoid multi-marking up. We would welcome the separate marking of each table, with the appropriate style attributes, included in the notes, although we must recall </w:t>
      </w:r>
      <w:r>
        <w:rPr>
          <w:sz w:val="20"/>
          <w:szCs w:val="18"/>
          <w:lang w:val="en-US"/>
        </w:rPr>
        <w:t xml:space="preserve">as an element of complexity </w:t>
      </w:r>
      <w:r w:rsidRPr="002B3350">
        <w:rPr>
          <w:sz w:val="20"/>
          <w:szCs w:val="18"/>
          <w:lang w:val="en-US"/>
        </w:rPr>
        <w:t xml:space="preserve">the granularity of tables included in the notes for banks and other financial institution in compliance </w:t>
      </w:r>
      <w:r>
        <w:rPr>
          <w:sz w:val="20"/>
          <w:szCs w:val="18"/>
          <w:lang w:val="en-US"/>
        </w:rPr>
        <w:t>with</w:t>
      </w:r>
      <w:r w:rsidRPr="002B3350">
        <w:rPr>
          <w:sz w:val="20"/>
          <w:szCs w:val="18"/>
          <w:lang w:val="en-US"/>
        </w:rPr>
        <w:t xml:space="preserve"> specific regulatory requirements – as well as the correlation between the tables in the notes and the corresponding items included in the financial statements.</w:t>
      </w:r>
    </w:p>
    <w:p w14:paraId="471B4256" w14:textId="7790DCEA" w:rsidR="006A64ED" w:rsidRPr="00AF763D" w:rsidRDefault="00562E45" w:rsidP="00562E45">
      <w:pPr>
        <w:spacing w:after="0"/>
        <w:rPr>
          <w:sz w:val="20"/>
          <w:szCs w:val="18"/>
        </w:rPr>
      </w:pPr>
      <w:r w:rsidRPr="002B3350">
        <w:rPr>
          <w:sz w:val="20"/>
          <w:szCs w:val="18"/>
          <w:lang w:val="en-US"/>
        </w:rPr>
        <w:t xml:space="preserve">Regarding the </w:t>
      </w:r>
      <w:r>
        <w:rPr>
          <w:sz w:val="20"/>
          <w:szCs w:val="18"/>
          <w:lang w:val="en-US"/>
        </w:rPr>
        <w:t xml:space="preserve">approach </w:t>
      </w:r>
      <w:r w:rsidRPr="002B3350">
        <w:rPr>
          <w:sz w:val="20"/>
          <w:szCs w:val="18"/>
          <w:lang w:val="en-US"/>
        </w:rPr>
        <w:t>proposed in paragraph 158 b)</w:t>
      </w:r>
      <w:r>
        <w:rPr>
          <w:sz w:val="20"/>
          <w:szCs w:val="18"/>
          <w:lang w:val="en-US"/>
        </w:rPr>
        <w:t>,</w:t>
      </w:r>
      <w:r w:rsidRPr="002B3350">
        <w:rPr>
          <w:sz w:val="20"/>
          <w:szCs w:val="18"/>
          <w:lang w:val="en-US"/>
        </w:rPr>
        <w:t xml:space="preserve"> </w:t>
      </w:r>
      <w:r>
        <w:rPr>
          <w:sz w:val="20"/>
          <w:szCs w:val="18"/>
          <w:lang w:val="en-US"/>
        </w:rPr>
        <w:t>it is our view</w:t>
      </w:r>
      <w:r w:rsidRPr="002B3350">
        <w:rPr>
          <w:sz w:val="20"/>
          <w:szCs w:val="18"/>
          <w:lang w:val="en-US"/>
        </w:rPr>
        <w:t xml:space="preserve"> that</w:t>
      </w:r>
      <w:r>
        <w:rPr>
          <w:sz w:val="20"/>
          <w:szCs w:val="18"/>
          <w:lang w:val="en-US"/>
        </w:rPr>
        <w:t>,</w:t>
      </w:r>
      <w:r w:rsidRPr="002B3350">
        <w:rPr>
          <w:sz w:val="20"/>
          <w:szCs w:val="18"/>
          <w:lang w:val="en-US"/>
        </w:rPr>
        <w:t xml:space="preserve"> although potentially useful, </w:t>
      </w:r>
      <w:r>
        <w:rPr>
          <w:sz w:val="20"/>
          <w:szCs w:val="18"/>
          <w:lang w:val="en-US"/>
        </w:rPr>
        <w:t>this</w:t>
      </w:r>
      <w:r w:rsidRPr="002B3350">
        <w:rPr>
          <w:sz w:val="20"/>
          <w:szCs w:val="18"/>
          <w:lang w:val="en-US"/>
        </w:rPr>
        <w:t xml:space="preserve"> could be difficult to implement where there are different notes linked to a single line item</w:t>
      </w:r>
      <w:r>
        <w:rPr>
          <w:sz w:val="20"/>
          <w:szCs w:val="18"/>
          <w:lang w:val="en-US"/>
        </w:rPr>
        <w:t>.</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DB53B89" w14:textId="39160B9A" w:rsidR="006A64ED" w:rsidRPr="00AF763D" w:rsidRDefault="00562E45" w:rsidP="006A64ED">
      <w:pPr>
        <w:spacing w:after="0"/>
        <w:rPr>
          <w:sz w:val="20"/>
          <w:szCs w:val="18"/>
        </w:rPr>
      </w:pPr>
      <w:permStart w:id="419173650" w:edGrp="everyone"/>
      <w:r>
        <w:rPr>
          <w:sz w:val="20"/>
          <w:szCs w:val="18"/>
          <w:lang w:val="en-US"/>
        </w:rPr>
        <w:t>T</w:t>
      </w:r>
      <w:r w:rsidRPr="002B3350">
        <w:rPr>
          <w:sz w:val="20"/>
          <w:szCs w:val="18"/>
          <w:lang w:val="en-US"/>
        </w:rPr>
        <w:t xml:space="preserve">he extent of the information to be marked </w:t>
      </w:r>
      <w:r>
        <w:rPr>
          <w:sz w:val="20"/>
          <w:szCs w:val="18"/>
          <w:lang w:val="en-US"/>
        </w:rPr>
        <w:t xml:space="preserve">up </w:t>
      </w:r>
      <w:r w:rsidRPr="002B3350">
        <w:rPr>
          <w:sz w:val="20"/>
          <w:szCs w:val="18"/>
          <w:lang w:val="en-US"/>
        </w:rPr>
        <w:t>(</w:t>
      </w:r>
      <w:r>
        <w:rPr>
          <w:sz w:val="20"/>
          <w:szCs w:val="18"/>
          <w:lang w:val="en-US"/>
        </w:rPr>
        <w:t xml:space="preserve">as </w:t>
      </w:r>
      <w:r w:rsidRPr="002B3350">
        <w:rPr>
          <w:sz w:val="20"/>
          <w:szCs w:val="18"/>
          <w:lang w:val="en-US"/>
        </w:rPr>
        <w:t xml:space="preserve">described in paragraphs 159 and 160) is highly granular, and costly. As indicated in </w:t>
      </w:r>
      <w:r>
        <w:rPr>
          <w:sz w:val="20"/>
          <w:szCs w:val="18"/>
          <w:lang w:val="en-US"/>
        </w:rPr>
        <w:t>our</w:t>
      </w:r>
      <w:r w:rsidRPr="002B3350">
        <w:rPr>
          <w:sz w:val="20"/>
          <w:szCs w:val="18"/>
          <w:lang w:val="en-US"/>
        </w:rPr>
        <w:t xml:space="preserve"> re</w:t>
      </w:r>
      <w:r>
        <w:rPr>
          <w:sz w:val="20"/>
          <w:szCs w:val="18"/>
          <w:lang w:val="en-US"/>
        </w:rPr>
        <w:t>sponse</w:t>
      </w:r>
      <w:r w:rsidRPr="002B3350">
        <w:rPr>
          <w:sz w:val="20"/>
          <w:szCs w:val="18"/>
          <w:lang w:val="en-US"/>
        </w:rPr>
        <w:t xml:space="preserve"> to question 17, we consider that it is useful to mark the amounts contained in the tables included in the notes and related only to the corresponding items included in the financial statements, because these extensions should be limited to those </w:t>
      </w:r>
      <w:proofErr w:type="gramStart"/>
      <w:r w:rsidRPr="002B3350">
        <w:rPr>
          <w:sz w:val="20"/>
          <w:szCs w:val="18"/>
          <w:lang w:val="en-US"/>
        </w:rPr>
        <w:t>actually deemed</w:t>
      </w:r>
      <w:proofErr w:type="gramEnd"/>
      <w:r w:rsidRPr="002B3350">
        <w:rPr>
          <w:sz w:val="20"/>
          <w:szCs w:val="18"/>
          <w:lang w:val="en-US"/>
        </w:rPr>
        <w:t xml:space="preserve"> necessary. In </w:t>
      </w:r>
      <w:r>
        <w:rPr>
          <w:sz w:val="20"/>
          <w:szCs w:val="18"/>
          <w:lang w:val="en-US"/>
        </w:rPr>
        <w:t>any event</w:t>
      </w:r>
      <w:r w:rsidRPr="002B3350">
        <w:rPr>
          <w:sz w:val="20"/>
          <w:szCs w:val="18"/>
          <w:lang w:val="en-US"/>
        </w:rPr>
        <w:t xml:space="preserve">, if it was applied as described in par 159-160, we </w:t>
      </w:r>
      <w:r>
        <w:rPr>
          <w:sz w:val="20"/>
          <w:szCs w:val="18"/>
          <w:lang w:val="en-US"/>
        </w:rPr>
        <w:t>suggest</w:t>
      </w:r>
      <w:r w:rsidRPr="002B3350">
        <w:rPr>
          <w:sz w:val="20"/>
          <w:szCs w:val="18"/>
          <w:lang w:val="en-US"/>
        </w:rPr>
        <w:t xml:space="preserve"> the entry into force of RTSs at the beginning of the first year following </w:t>
      </w:r>
      <w:r>
        <w:rPr>
          <w:sz w:val="20"/>
          <w:szCs w:val="18"/>
          <w:lang w:val="en-US"/>
        </w:rPr>
        <w:t xml:space="preserve">the one </w:t>
      </w:r>
      <w:r w:rsidRPr="002B3350">
        <w:rPr>
          <w:sz w:val="20"/>
          <w:szCs w:val="18"/>
          <w:lang w:val="en-US"/>
        </w:rPr>
        <w:t>in which they are published in the European Journal, irrespective of the six-month period of publication.</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D8AC951" w14:textId="77777777" w:rsidR="00562E45" w:rsidRPr="002B3350" w:rsidRDefault="00562E45" w:rsidP="00562E45">
      <w:pPr>
        <w:spacing w:after="0"/>
        <w:rPr>
          <w:sz w:val="20"/>
          <w:szCs w:val="18"/>
          <w:lang w:val="en-US"/>
        </w:rPr>
      </w:pPr>
      <w:permStart w:id="83845519" w:edGrp="everyone"/>
      <w:proofErr w:type="gramStart"/>
      <w:r w:rsidRPr="002B3350">
        <w:rPr>
          <w:sz w:val="20"/>
          <w:szCs w:val="18"/>
          <w:lang w:val="en-US"/>
        </w:rPr>
        <w:t>Taking into account</w:t>
      </w:r>
      <w:proofErr w:type="gramEnd"/>
      <w:r w:rsidRPr="002B3350">
        <w:rPr>
          <w:sz w:val="20"/>
          <w:szCs w:val="18"/>
          <w:lang w:val="en-US"/>
        </w:rPr>
        <w:t xml:space="preserve">, on the one hand, the future approach </w:t>
      </w:r>
      <w:r>
        <w:rPr>
          <w:sz w:val="20"/>
          <w:szCs w:val="18"/>
          <w:lang w:val="en-US"/>
        </w:rPr>
        <w:t xml:space="preserve">– as </w:t>
      </w:r>
      <w:r w:rsidRPr="002B3350">
        <w:rPr>
          <w:sz w:val="20"/>
          <w:szCs w:val="18"/>
          <w:lang w:val="en-US"/>
        </w:rPr>
        <w:t xml:space="preserve">outlined in para. 158 of the Consultation Paper </w:t>
      </w:r>
      <w:r>
        <w:rPr>
          <w:sz w:val="20"/>
          <w:szCs w:val="18"/>
          <w:lang w:val="en-US"/>
        </w:rPr>
        <w:t xml:space="preserve">– </w:t>
      </w:r>
      <w:r w:rsidRPr="002B3350">
        <w:rPr>
          <w:sz w:val="20"/>
          <w:szCs w:val="18"/>
          <w:lang w:val="en-US"/>
        </w:rPr>
        <w:t xml:space="preserve">of marking </w:t>
      </w:r>
      <w:r>
        <w:rPr>
          <w:sz w:val="20"/>
          <w:szCs w:val="18"/>
          <w:lang w:val="en-US"/>
        </w:rPr>
        <w:t xml:space="preserve">up </w:t>
      </w:r>
      <w:r w:rsidRPr="002B3350">
        <w:rPr>
          <w:sz w:val="20"/>
          <w:szCs w:val="18"/>
          <w:lang w:val="en-US"/>
        </w:rPr>
        <w:t xml:space="preserve">all accounting policies and other explanatory notes and, on the other hand, the current list of mandatory core taxonomy elements, as currently outlined in Annex II of the RTS on ESEF, we agree that such list </w:t>
      </w:r>
      <w:r>
        <w:rPr>
          <w:sz w:val="20"/>
          <w:szCs w:val="18"/>
          <w:lang w:val="en-US"/>
        </w:rPr>
        <w:t>should</w:t>
      </w:r>
      <w:r w:rsidRPr="002B3350">
        <w:rPr>
          <w:sz w:val="20"/>
          <w:szCs w:val="18"/>
          <w:lang w:val="en-US"/>
        </w:rPr>
        <w:t xml:space="preserve"> be removed.</w:t>
      </w:r>
    </w:p>
    <w:p w14:paraId="31A6B95C" w14:textId="105A075D" w:rsidR="006A64ED" w:rsidRPr="00AF763D" w:rsidRDefault="00562E45" w:rsidP="00562E45">
      <w:pPr>
        <w:spacing w:after="0"/>
        <w:rPr>
          <w:sz w:val="20"/>
          <w:szCs w:val="18"/>
        </w:rPr>
      </w:pPr>
      <w:r w:rsidRPr="002B3350">
        <w:rPr>
          <w:sz w:val="20"/>
          <w:szCs w:val="18"/>
          <w:lang w:val="en-US"/>
        </w:rPr>
        <w:t>Regarding the replacement of such list with a more concise and targeted list of mandatory taxonomy elements</w:t>
      </w:r>
      <w:r>
        <w:rPr>
          <w:sz w:val="20"/>
          <w:szCs w:val="18"/>
          <w:lang w:val="en-US"/>
        </w:rPr>
        <w:t>,</w:t>
      </w:r>
      <w:r w:rsidRPr="002B3350">
        <w:rPr>
          <w:sz w:val="20"/>
          <w:szCs w:val="18"/>
          <w:lang w:val="en-US"/>
        </w:rPr>
        <w:t xml:space="preserve"> </w:t>
      </w:r>
      <w:r>
        <w:rPr>
          <w:sz w:val="20"/>
          <w:szCs w:val="18"/>
          <w:lang w:val="en-US"/>
        </w:rPr>
        <w:t xml:space="preserve">we agree </w:t>
      </w:r>
      <w:r w:rsidRPr="002B3350">
        <w:rPr>
          <w:sz w:val="20"/>
          <w:szCs w:val="18"/>
          <w:lang w:val="en-US"/>
        </w:rPr>
        <w:t xml:space="preserve">in principle </w:t>
      </w:r>
      <w:r>
        <w:rPr>
          <w:sz w:val="20"/>
          <w:szCs w:val="18"/>
          <w:lang w:val="en-US"/>
        </w:rPr>
        <w:t>– provided that</w:t>
      </w:r>
      <w:r w:rsidRPr="002B3350">
        <w:rPr>
          <w:sz w:val="20"/>
          <w:szCs w:val="18"/>
          <w:lang w:val="en-US"/>
        </w:rPr>
        <w:t xml:space="preserve"> such elements are deemed useful by the users of financial </w:t>
      </w:r>
      <w:proofErr w:type="gramStart"/>
      <w:r w:rsidRPr="002B3350">
        <w:rPr>
          <w:sz w:val="20"/>
          <w:szCs w:val="18"/>
          <w:lang w:val="en-US"/>
        </w:rPr>
        <w:t>statements</w:t>
      </w:r>
      <w:proofErr w:type="gramEnd"/>
      <w:r w:rsidRPr="002B3350">
        <w:rPr>
          <w:sz w:val="20"/>
          <w:szCs w:val="18"/>
          <w:lang w:val="en-US"/>
        </w:rPr>
        <w:t xml:space="preserve"> and they correspond to information required by the applicable financial reporting framework for the preparation of financial statements or by common practice, and </w:t>
      </w:r>
      <w:r>
        <w:rPr>
          <w:sz w:val="20"/>
          <w:szCs w:val="18"/>
          <w:lang w:val="en-US"/>
        </w:rPr>
        <w:t xml:space="preserve">are </w:t>
      </w:r>
      <w:r w:rsidRPr="002B3350">
        <w:rPr>
          <w:sz w:val="20"/>
          <w:szCs w:val="18"/>
          <w:lang w:val="en-US"/>
        </w:rPr>
        <w:t>therefore included in the relevant taxonomy (IFRS Taxonomy).</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822DCCB" w14:textId="77777777" w:rsidR="00562E45" w:rsidRPr="002B3350" w:rsidRDefault="00562E45" w:rsidP="00562E45">
      <w:pPr>
        <w:spacing w:after="0"/>
        <w:rPr>
          <w:sz w:val="20"/>
          <w:szCs w:val="18"/>
          <w:lang w:val="en-US"/>
        </w:rPr>
      </w:pPr>
      <w:permStart w:id="1357663695" w:edGrp="everyone"/>
      <w:r w:rsidRPr="002B3350">
        <w:rPr>
          <w:sz w:val="20"/>
          <w:szCs w:val="18"/>
          <w:lang w:val="en-US"/>
        </w:rPr>
        <w:lastRenderedPageBreak/>
        <w:t>Based on our response to Question 19 above, we do not agree with the inclusion of items that do not correspond to information presented in the financial statements as required by the applicable financial reporting framework or common practice and therefore do not agree with the inclusion of the following three items:</w:t>
      </w:r>
    </w:p>
    <w:p w14:paraId="6C7D491C" w14:textId="77777777" w:rsidR="00562E45" w:rsidRPr="002B3350" w:rsidRDefault="00562E45" w:rsidP="00562E45">
      <w:pPr>
        <w:spacing w:after="0"/>
        <w:rPr>
          <w:sz w:val="20"/>
          <w:szCs w:val="18"/>
          <w:lang w:val="en-US"/>
        </w:rPr>
      </w:pPr>
      <w:r w:rsidRPr="002B3350">
        <w:rPr>
          <w:sz w:val="20"/>
          <w:szCs w:val="18"/>
          <w:lang w:val="en-US"/>
        </w:rPr>
        <w:t>- Name of the audit firm</w:t>
      </w:r>
    </w:p>
    <w:p w14:paraId="1D6AB0A2" w14:textId="77777777" w:rsidR="00562E45" w:rsidRPr="002B3350" w:rsidRDefault="00562E45" w:rsidP="00562E45">
      <w:pPr>
        <w:spacing w:after="0"/>
        <w:rPr>
          <w:sz w:val="20"/>
          <w:szCs w:val="18"/>
          <w:lang w:val="en-US"/>
        </w:rPr>
      </w:pPr>
      <w:r w:rsidRPr="002B3350">
        <w:rPr>
          <w:sz w:val="20"/>
          <w:szCs w:val="18"/>
          <w:lang w:val="en-US"/>
        </w:rPr>
        <w:t>- Unqualified audit opinion with no emphasis of matter</w:t>
      </w:r>
    </w:p>
    <w:p w14:paraId="2106FB43" w14:textId="77777777" w:rsidR="00562E45" w:rsidRPr="002B3350" w:rsidRDefault="00562E45" w:rsidP="00562E45">
      <w:pPr>
        <w:spacing w:after="0"/>
        <w:rPr>
          <w:sz w:val="20"/>
          <w:szCs w:val="18"/>
          <w:lang w:val="en-US"/>
        </w:rPr>
      </w:pPr>
      <w:r w:rsidRPr="002B3350">
        <w:rPr>
          <w:sz w:val="20"/>
          <w:szCs w:val="18"/>
          <w:lang w:val="en-US"/>
        </w:rPr>
        <w:t>- Name of software used to produce the report.</w:t>
      </w:r>
    </w:p>
    <w:p w14:paraId="7E11D364" w14:textId="2E53FAFC" w:rsidR="006A64ED" w:rsidRPr="00AF763D" w:rsidRDefault="00562E45" w:rsidP="00562E45">
      <w:pPr>
        <w:spacing w:after="0"/>
        <w:rPr>
          <w:sz w:val="20"/>
          <w:szCs w:val="18"/>
        </w:rPr>
      </w:pPr>
      <w:r w:rsidRPr="002B3350">
        <w:rPr>
          <w:sz w:val="20"/>
          <w:szCs w:val="18"/>
          <w:lang w:val="en-US"/>
        </w:rPr>
        <w:t xml:space="preserve">Indeed, it is unclear for which </w:t>
      </w:r>
      <w:r>
        <w:rPr>
          <w:sz w:val="20"/>
          <w:szCs w:val="18"/>
          <w:lang w:val="en-US"/>
        </w:rPr>
        <w:t xml:space="preserve">purpose </w:t>
      </w:r>
      <w:r w:rsidRPr="002B3350">
        <w:rPr>
          <w:sz w:val="20"/>
          <w:szCs w:val="18"/>
          <w:lang w:val="en-US"/>
        </w:rPr>
        <w:t xml:space="preserve">the marking </w:t>
      </w:r>
      <w:r>
        <w:rPr>
          <w:sz w:val="20"/>
          <w:szCs w:val="18"/>
          <w:lang w:val="en-US"/>
        </w:rPr>
        <w:t xml:space="preserve">up </w:t>
      </w:r>
      <w:r w:rsidRPr="002B3350">
        <w:rPr>
          <w:sz w:val="20"/>
          <w:szCs w:val="18"/>
          <w:lang w:val="en-US"/>
        </w:rPr>
        <w:t xml:space="preserve">of information corresponding to these elements is required, considering that, as indicated by ESMA in para. 164 of the Consultation Paper, the marking </w:t>
      </w:r>
      <w:r>
        <w:rPr>
          <w:sz w:val="20"/>
          <w:szCs w:val="18"/>
          <w:lang w:val="en-US"/>
        </w:rPr>
        <w:t xml:space="preserve">up </w:t>
      </w:r>
      <w:r w:rsidRPr="002B3350">
        <w:rPr>
          <w:sz w:val="20"/>
          <w:szCs w:val="18"/>
          <w:lang w:val="en-US"/>
        </w:rPr>
        <w:t xml:space="preserve">would be required “when this information is available” and companies, depending on the different jurisdictions in which they operate, may not be obliged to include </w:t>
      </w:r>
      <w:r>
        <w:rPr>
          <w:sz w:val="20"/>
          <w:szCs w:val="18"/>
          <w:lang w:val="en-US"/>
        </w:rPr>
        <w:t>such information</w:t>
      </w:r>
      <w:r w:rsidRPr="002B3350">
        <w:rPr>
          <w:sz w:val="20"/>
          <w:szCs w:val="18"/>
          <w:lang w:val="en-US"/>
        </w:rPr>
        <w:t xml:space="preserve"> in the </w:t>
      </w:r>
      <w:r>
        <w:rPr>
          <w:sz w:val="20"/>
          <w:szCs w:val="18"/>
          <w:lang w:val="en-US"/>
        </w:rPr>
        <w:t>annual financial reporting</w:t>
      </w:r>
      <w:r w:rsidRPr="002B3350">
        <w:rPr>
          <w:sz w:val="20"/>
          <w:szCs w:val="18"/>
          <w:lang w:val="en-US"/>
        </w:rPr>
        <w:t xml:space="preserve"> or may not have the information available at the time the financial statements are prepared in the ESEF format</w:t>
      </w:r>
      <w:r>
        <w:rPr>
          <w:sz w:val="20"/>
          <w:szCs w:val="18"/>
          <w:lang w:val="en-US"/>
        </w:rPr>
        <w:t>. As a result</w:t>
      </w:r>
      <w:r w:rsidRPr="002B3350">
        <w:rPr>
          <w:sz w:val="20"/>
          <w:szCs w:val="18"/>
          <w:lang w:val="en-US"/>
        </w:rPr>
        <w:t xml:space="preserve">, </w:t>
      </w:r>
      <w:r>
        <w:rPr>
          <w:sz w:val="20"/>
          <w:szCs w:val="18"/>
          <w:lang w:val="en-US"/>
        </w:rPr>
        <w:t>this provision could</w:t>
      </w:r>
      <w:r w:rsidRPr="002B3350">
        <w:rPr>
          <w:sz w:val="20"/>
          <w:szCs w:val="18"/>
          <w:lang w:val="en-US"/>
        </w:rPr>
        <w:t xml:space="preserve"> undermin</w:t>
      </w:r>
      <w:r>
        <w:rPr>
          <w:sz w:val="20"/>
          <w:szCs w:val="18"/>
          <w:lang w:val="en-US"/>
        </w:rPr>
        <w:t>e</w:t>
      </w:r>
      <w:r w:rsidRPr="002B3350">
        <w:rPr>
          <w:sz w:val="20"/>
          <w:szCs w:val="18"/>
          <w:lang w:val="en-US"/>
        </w:rPr>
        <w:t xml:space="preserve"> the completeness of any comparisons prepared by users</w:t>
      </w:r>
      <w:r w:rsidR="00866602" w:rsidRPr="002B3350">
        <w:rPr>
          <w:sz w:val="20"/>
          <w:szCs w:val="18"/>
          <w:lang w:val="en-US"/>
        </w:rPr>
        <w:t>.</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37683727" w14:textId="77777777" w:rsidR="00562E45" w:rsidRPr="002B3350" w:rsidRDefault="00562E45" w:rsidP="00562E45">
      <w:pPr>
        <w:spacing w:after="0"/>
        <w:rPr>
          <w:sz w:val="20"/>
          <w:szCs w:val="18"/>
          <w:lang w:val="en-US"/>
        </w:rPr>
      </w:pPr>
      <w:permStart w:id="268056993" w:edGrp="everyone"/>
      <w:r w:rsidRPr="002B3350">
        <w:rPr>
          <w:sz w:val="20"/>
          <w:szCs w:val="18"/>
          <w:lang w:val="en-US"/>
        </w:rPr>
        <w:t>Yes, we agree with the revised approach towards the creation of extension taxonomy elements for the Notes</w:t>
      </w:r>
      <w:r>
        <w:rPr>
          <w:sz w:val="20"/>
          <w:szCs w:val="18"/>
          <w:lang w:val="en-US"/>
        </w:rPr>
        <w:t>,</w:t>
      </w:r>
      <w:r w:rsidRPr="002B3350">
        <w:rPr>
          <w:sz w:val="20"/>
          <w:szCs w:val="18"/>
          <w:lang w:val="en-US"/>
        </w:rPr>
        <w:t xml:space="preserve"> given the proposal to fully mark</w:t>
      </w:r>
      <w:r>
        <w:rPr>
          <w:sz w:val="20"/>
          <w:szCs w:val="18"/>
          <w:lang w:val="en-US"/>
        </w:rPr>
        <w:t xml:space="preserve"> </w:t>
      </w:r>
      <w:r w:rsidRPr="002B3350">
        <w:rPr>
          <w:sz w:val="20"/>
          <w:szCs w:val="18"/>
          <w:lang w:val="en-US"/>
        </w:rPr>
        <w:t xml:space="preserve">up all notes and accounting policies using taxonomy elements that best reflect the closest accounting meaning of the disclosure. Notes to the </w:t>
      </w:r>
      <w:r>
        <w:rPr>
          <w:sz w:val="20"/>
          <w:szCs w:val="18"/>
          <w:lang w:val="en-US"/>
        </w:rPr>
        <w:t>financial statements</w:t>
      </w:r>
      <w:r w:rsidRPr="002B3350">
        <w:rPr>
          <w:sz w:val="20"/>
          <w:szCs w:val="18"/>
          <w:lang w:val="en-US"/>
        </w:rPr>
        <w:t xml:space="preserve"> may in fact include disclosure</w:t>
      </w:r>
      <w:r>
        <w:rPr>
          <w:sz w:val="20"/>
          <w:szCs w:val="18"/>
          <w:lang w:val="en-US"/>
        </w:rPr>
        <w:t>s</w:t>
      </w:r>
      <w:r w:rsidRPr="002B3350">
        <w:rPr>
          <w:sz w:val="20"/>
          <w:szCs w:val="18"/>
          <w:lang w:val="en-US"/>
        </w:rPr>
        <w:t xml:space="preserve"> that </w:t>
      </w:r>
      <w:r>
        <w:rPr>
          <w:sz w:val="20"/>
          <w:szCs w:val="18"/>
          <w:lang w:val="en-US"/>
        </w:rPr>
        <w:t>are</w:t>
      </w:r>
      <w:r w:rsidRPr="002B3350">
        <w:rPr>
          <w:sz w:val="20"/>
          <w:szCs w:val="18"/>
          <w:lang w:val="en-US"/>
        </w:rPr>
        <w:t xml:space="preserve"> either required by national law or national regulation and not by </w:t>
      </w:r>
      <w:r>
        <w:rPr>
          <w:sz w:val="20"/>
          <w:szCs w:val="18"/>
          <w:lang w:val="en-US"/>
        </w:rPr>
        <w:t xml:space="preserve">the </w:t>
      </w:r>
      <w:r w:rsidRPr="002B3350">
        <w:rPr>
          <w:sz w:val="20"/>
          <w:szCs w:val="18"/>
          <w:lang w:val="en-US"/>
        </w:rPr>
        <w:t xml:space="preserve">IFRS.  </w:t>
      </w:r>
    </w:p>
    <w:p w14:paraId="5B128B8D" w14:textId="55B7665A" w:rsidR="006A64ED" w:rsidRPr="00AF763D" w:rsidRDefault="00562E45" w:rsidP="00562E45">
      <w:pPr>
        <w:spacing w:after="0"/>
        <w:rPr>
          <w:sz w:val="20"/>
          <w:szCs w:val="18"/>
        </w:rPr>
      </w:pPr>
      <w:r w:rsidRPr="002B3350">
        <w:rPr>
          <w:sz w:val="20"/>
          <w:szCs w:val="18"/>
          <w:lang w:val="en-US"/>
        </w:rPr>
        <w:t>We also generally agree with the proposed principles to be applied in the creation of extension taxonomy elements for the notes</w:t>
      </w:r>
      <w:r>
        <w:rPr>
          <w:sz w:val="20"/>
          <w:szCs w:val="18"/>
          <w:lang w:val="en-US"/>
        </w:rPr>
        <w:t>,</w:t>
      </w:r>
      <w:r w:rsidRPr="002B3350">
        <w:rPr>
          <w:sz w:val="20"/>
          <w:szCs w:val="18"/>
          <w:lang w:val="en-US"/>
        </w:rPr>
        <w:t xml:space="preserve"> except for the anchoring requirement and related rules that may result complex to apply</w:t>
      </w:r>
      <w:r>
        <w:rPr>
          <w:sz w:val="20"/>
          <w:szCs w:val="18"/>
          <w:lang w:val="en-US"/>
        </w:rPr>
        <w:t>,</w:t>
      </w:r>
      <w:r w:rsidRPr="002B3350">
        <w:rPr>
          <w:sz w:val="20"/>
          <w:szCs w:val="18"/>
          <w:lang w:val="en-US"/>
        </w:rPr>
        <w:t xml:space="preserve"> especially for </w:t>
      </w:r>
      <w:r>
        <w:rPr>
          <w:sz w:val="20"/>
          <w:szCs w:val="18"/>
          <w:lang w:val="en-US"/>
        </w:rPr>
        <w:t>elements</w:t>
      </w:r>
      <w:r w:rsidRPr="002B3350">
        <w:rPr>
          <w:sz w:val="20"/>
          <w:szCs w:val="18"/>
          <w:lang w:val="en-US"/>
        </w:rPr>
        <w:t xml:space="preserve"> of disclosure required by national law and regulation requirements</w:t>
      </w:r>
      <w:r w:rsidR="00866602" w:rsidRPr="002B3350">
        <w:rPr>
          <w:sz w:val="20"/>
          <w:szCs w:val="18"/>
          <w:lang w:val="en-US"/>
        </w:rPr>
        <w:t>.</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6341225E" w:rsidR="006A64ED" w:rsidRPr="00AF763D" w:rsidRDefault="00562E45" w:rsidP="006A64ED">
      <w:pPr>
        <w:spacing w:after="0"/>
        <w:rPr>
          <w:sz w:val="20"/>
          <w:szCs w:val="18"/>
        </w:rPr>
      </w:pPr>
      <w:permStart w:id="1477533567" w:edGrp="everyone"/>
      <w:r w:rsidRPr="002B3350">
        <w:rPr>
          <w:sz w:val="20"/>
          <w:szCs w:val="18"/>
          <w:lang w:val="en-US"/>
        </w:rPr>
        <w:t xml:space="preserve">Yes, we agree with the inclusion of such a review clause that may prove particularly useful </w:t>
      </w:r>
      <w:r>
        <w:rPr>
          <w:sz w:val="20"/>
          <w:szCs w:val="18"/>
          <w:lang w:val="en-US"/>
        </w:rPr>
        <w:t xml:space="preserve">in the circumstances, particularly </w:t>
      </w:r>
      <w:r w:rsidRPr="002B3350">
        <w:rPr>
          <w:sz w:val="20"/>
          <w:szCs w:val="18"/>
          <w:lang w:val="en-US"/>
        </w:rPr>
        <w:t xml:space="preserve">considering that </w:t>
      </w:r>
      <w:r>
        <w:rPr>
          <w:sz w:val="20"/>
          <w:szCs w:val="18"/>
          <w:lang w:val="en-US"/>
        </w:rPr>
        <w:t xml:space="preserve">– as </w:t>
      </w:r>
      <w:r w:rsidRPr="002B3350">
        <w:rPr>
          <w:sz w:val="20"/>
          <w:szCs w:val="18"/>
          <w:lang w:val="en-US"/>
        </w:rPr>
        <w:t xml:space="preserve">pointed out </w:t>
      </w:r>
      <w:r>
        <w:rPr>
          <w:sz w:val="20"/>
          <w:szCs w:val="18"/>
          <w:lang w:val="en-US"/>
        </w:rPr>
        <w:t xml:space="preserve">by ESMA – </w:t>
      </w:r>
      <w:r w:rsidRPr="002B3350">
        <w:rPr>
          <w:sz w:val="20"/>
          <w:szCs w:val="18"/>
          <w:lang w:val="en-US"/>
        </w:rPr>
        <w:t>a prior field test ha</w:t>
      </w:r>
      <w:r>
        <w:rPr>
          <w:sz w:val="20"/>
          <w:szCs w:val="18"/>
          <w:lang w:val="en-US"/>
        </w:rPr>
        <w:t>s</w:t>
      </w:r>
      <w:r w:rsidRPr="002B3350">
        <w:rPr>
          <w:sz w:val="20"/>
          <w:szCs w:val="18"/>
          <w:lang w:val="en-US"/>
        </w:rPr>
        <w:t xml:space="preserve"> not been conducted.</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4B5C22"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3D4450D1" w:rsidR="00AF763D" w:rsidRPr="00AF763D" w:rsidRDefault="00562E45" w:rsidP="00AF763D">
      <w:pPr>
        <w:spacing w:after="0"/>
        <w:rPr>
          <w:sz w:val="20"/>
          <w:szCs w:val="18"/>
        </w:rPr>
      </w:pPr>
      <w:permStart w:id="751384416" w:edGrp="everyone"/>
      <w:r w:rsidRPr="00791D40">
        <w:rPr>
          <w:sz w:val="20"/>
          <w:szCs w:val="18"/>
        </w:rPr>
        <w:t>See please our responses to the previous questions</w:t>
      </w:r>
      <w:r>
        <w:rPr>
          <w:sz w:val="20"/>
          <w:szCs w:val="18"/>
        </w:rPr>
        <w:t>.</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lastRenderedPageBreak/>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4B5C22">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4B5C22"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w:t>
      </w:r>
      <w:r w:rsidRPr="00AF763D">
        <w:rPr>
          <w:rFonts w:eastAsia="Times New Roman"/>
          <w:color w:val="auto"/>
          <w:szCs w:val="22"/>
          <w:lang w:eastAsia="en-GB"/>
        </w:rPr>
        <w:lastRenderedPageBreak/>
        <w:t xml:space="preserve">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4B5C22">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4B5C22"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79AF" w14:textId="77777777" w:rsidR="00A54EA6" w:rsidRDefault="00A54EA6" w:rsidP="00F716D4">
      <w:r>
        <w:separator/>
      </w:r>
    </w:p>
    <w:p w14:paraId="2DBB23FD" w14:textId="77777777" w:rsidR="00A54EA6" w:rsidRDefault="00A54EA6" w:rsidP="00F716D4"/>
  </w:endnote>
  <w:endnote w:type="continuationSeparator" w:id="0">
    <w:p w14:paraId="3132A1DE" w14:textId="77777777" w:rsidR="00A54EA6" w:rsidRDefault="00A54EA6" w:rsidP="00F716D4">
      <w:r>
        <w:continuationSeparator/>
      </w:r>
    </w:p>
    <w:p w14:paraId="7E78805C" w14:textId="77777777" w:rsidR="00A54EA6" w:rsidRDefault="00A54EA6" w:rsidP="00F716D4"/>
  </w:endnote>
  <w:endnote w:type="continuationNotice" w:id="1">
    <w:p w14:paraId="31032E99" w14:textId="77777777" w:rsidR="00A54EA6" w:rsidRDefault="00A54EA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dipa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Collegamentoipertestuale"/>
          <w:sz w:val="15"/>
          <w:szCs w:val="15"/>
          <w:lang w:val="fr-FR"/>
        </w:rPr>
        <w:t>www.esma.</w:t>
      </w:r>
      <w:proofErr w:type="spellStart"/>
      <w:r w:rsidRPr="00A8626B">
        <w:rPr>
          <w:rStyle w:val="Collegamentoipertestuale"/>
          <w:sz w:val="15"/>
          <w:szCs w:val="15"/>
          <w:lang w:val="fr-BE"/>
        </w:rPr>
        <w:t>europa</w:t>
      </w:r>
      <w:proofErr w:type="spellEnd"/>
      <w:r w:rsidRPr="00A8626B">
        <w:rPr>
          <w:rStyle w:val="Collegamentoipertestual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FCB8" w14:textId="77777777" w:rsidR="00A54EA6" w:rsidRDefault="00A54EA6" w:rsidP="00F716D4">
      <w:r>
        <w:separator/>
      </w:r>
    </w:p>
    <w:p w14:paraId="4144F7C9" w14:textId="77777777" w:rsidR="00A54EA6" w:rsidRDefault="00A54EA6" w:rsidP="00F716D4"/>
  </w:footnote>
  <w:footnote w:type="continuationSeparator" w:id="0">
    <w:p w14:paraId="4AD90A96" w14:textId="77777777" w:rsidR="00A54EA6" w:rsidRDefault="00A54EA6" w:rsidP="00F716D4">
      <w:r>
        <w:continuationSeparator/>
      </w:r>
    </w:p>
    <w:p w14:paraId="03780C97" w14:textId="77777777" w:rsidR="00A54EA6" w:rsidRDefault="00A54EA6" w:rsidP="00F716D4"/>
  </w:footnote>
  <w:footnote w:type="continuationNotice" w:id="1">
    <w:p w14:paraId="01FD9025" w14:textId="77777777" w:rsidR="00A54EA6" w:rsidRDefault="00A54EA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C1721B9"/>
    <w:multiLevelType w:val="hybridMultilevel"/>
    <w:tmpl w:val="98B4B7D4"/>
    <w:lvl w:ilvl="0" w:tplc="86E8F7A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Titol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9"/>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1783574402">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8F8"/>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DA5"/>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322B"/>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9E8"/>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09DC"/>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5DF"/>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1E38"/>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5C22"/>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E45"/>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0E09"/>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C7BCE"/>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779"/>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602"/>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2CD7"/>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5B5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459"/>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4923"/>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5E5D"/>
    <w:rsid w:val="00DF7EA7"/>
    <w:rsid w:val="00E0242A"/>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Titolo1">
    <w:name w:val="heading 1"/>
    <w:basedOn w:val="Normale"/>
    <w:next w:val="Normale"/>
    <w:link w:val="Titolo1Carattere"/>
    <w:qFormat/>
    <w:locked/>
    <w:rsid w:val="00BB1973"/>
    <w:pPr>
      <w:keepNext/>
      <w:numPr>
        <w:numId w:val="36"/>
      </w:numPr>
      <w:spacing w:before="240" w:after="60" w:line="360" w:lineRule="auto"/>
      <w:outlineLvl w:val="0"/>
    </w:pPr>
    <w:rPr>
      <w:b/>
      <w:bCs/>
      <w:color w:val="00379F"/>
      <w:kern w:val="32"/>
      <w:sz w:val="28"/>
      <w:szCs w:val="28"/>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2"/>
      </w:numPr>
      <w:spacing w:before="200"/>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qFormat/>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styleId="Sommario4">
    <w:name w:val="toc 4"/>
    <w:basedOn w:val="Normale"/>
    <w:next w:val="Normale"/>
    <w:autoRedefine/>
    <w:uiPriority w:val="39"/>
    <w:unhideWhenUsed/>
    <w:locked/>
    <w:rsid w:val="00F377CD"/>
    <w:pPr>
      <w:spacing w:after="100"/>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7"/>
      </w:numPr>
      <w:spacing w:after="240"/>
    </w:pPr>
    <w:rPr>
      <w:rFonts w:ascii="Times New Roman" w:hAnsi="Times New Roman"/>
      <w:sz w:val="24"/>
      <w:lang w:eastAsia="en-GB"/>
    </w:rPr>
  </w:style>
  <w:style w:type="character" w:customStyle="1" w:styleId="CorpotestoCarattere">
    <w:name w:val="Corpo testo Carattere"/>
    <w:link w:val="Corpotesto"/>
    <w:rsid w:val="00AA016B"/>
    <w:rPr>
      <w:rFonts w:eastAsiaTheme="minorEastAsia" w:cs="Arial"/>
      <w:color w:val="181818" w:themeColor="background1" w:themeShade="1A"/>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rFonts w:eastAsiaTheme="minorEastAsia" w:cs="Arial"/>
      <w:b/>
      <w:bCs/>
      <w:color w:val="181818" w:themeColor="background1" w:themeShade="1A"/>
      <w:sz w:val="22"/>
      <w:szCs w:val="22"/>
      <w:lang w:eastAsia="en-US"/>
    </w:rPr>
  </w:style>
  <w:style w:type="character" w:customStyle="1" w:styleId="Titolo8Carattere">
    <w:name w:val="Titolo 8 Carattere"/>
    <w:link w:val="Titolo8"/>
    <w:rsid w:val="002D6E1A"/>
    <w:rPr>
      <w:rFonts w:eastAsiaTheme="minorEastAsia" w:cs="Arial"/>
      <w:i/>
      <w:iCs/>
      <w:color w:val="181818" w:themeColor="background1" w:themeShade="1A"/>
      <w:sz w:val="22"/>
      <w:lang w:eastAsia="en-US"/>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8"/>
      </w:numPr>
      <w:spacing w:before="120" w:after="120"/>
      <w:ind w:left="360" w:hanging="360"/>
    </w:pPr>
    <w:rPr>
      <w:rFonts w:ascii="Times New Roman" w:hAnsi="Times New Roman"/>
      <w:sz w:val="24"/>
    </w:r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pPr>
    <w:rPr>
      <w:rFonts w:eastAsia="Calibri"/>
      <w:lang w:eastAsia="en-GB"/>
    </w:rPr>
  </w:style>
  <w:style w:type="paragraph" w:customStyle="1" w:styleId="Tiret1">
    <w:name w:val="Tiret 1"/>
    <w:basedOn w:val="Normale"/>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pPr>
    <w:rPr>
      <w:b/>
      <w:u w:val="single"/>
    </w:rPr>
  </w:style>
  <w:style w:type="paragraph" w:customStyle="1" w:styleId="Bullet">
    <w:name w:val="Bullet"/>
    <w:basedOn w:val="Normale"/>
    <w:locked/>
    <w:rsid w:val="002D6E1A"/>
    <w:pPr>
      <w:numPr>
        <w:numId w:val="10"/>
      </w:numPr>
      <w:tabs>
        <w:tab w:val="left" w:pos="708"/>
      </w:tabs>
      <w:spacing w:before="120" w:after="120"/>
    </w:pPr>
    <w:rPr>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eastAsiaTheme="minorEastAsia" w:hAnsi="Arial" w:cs="Arial"/>
      <w:b/>
      <w:color w:val="181818" w:themeColor="background1" w:themeShade="1A"/>
      <w:sz w:val="22"/>
      <w:lang w:eastAsia="en-US"/>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line="340" w:lineRule="exact"/>
      <w:ind w:left="397" w:hanging="397"/>
    </w:pPr>
    <w:rPr>
      <w:b/>
      <w:caps/>
      <w:color w:val="2D4190"/>
      <w:sz w:val="28"/>
      <w:lang w:val="de-DE"/>
    </w:rPr>
  </w:style>
  <w:style w:type="paragraph" w:customStyle="1" w:styleId="04RunningText">
    <w:name w:val="04_Running Text"/>
    <w:basedOn w:val="Normale"/>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ind w:left="284" w:hanging="284"/>
    </w:pPr>
    <w:rPr>
      <w:rFonts w:eastAsia="Calibri"/>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e"/>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e"/>
    <w:next w:val="Normale"/>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e"/>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e"/>
    <w:rsid w:val="000D2D0B"/>
  </w:style>
  <w:style w:type="paragraph" w:customStyle="1" w:styleId="Sbuchead">
    <w:name w:val="Sbuchead"/>
    <w:basedOn w:val="Normale"/>
    <w:locked/>
    <w:rsid w:val="000D2D0B"/>
    <w:pPr>
      <w:spacing w:after="360"/>
    </w:pPr>
    <w:rPr>
      <w:rFonts w:ascii="Times New Roman" w:hAnsi="Times New Roman"/>
      <w:b/>
      <w:caps/>
      <w:sz w:val="24"/>
      <w:lang w:eastAsia="en-GB"/>
    </w:rPr>
  </w:style>
  <w:style w:type="paragraph" w:customStyle="1" w:styleId="Applicationdirecte">
    <w:name w:val="Application directe"/>
    <w:basedOn w:val="Normale"/>
    <w:next w:val="Fait"/>
    <w:locked/>
    <w:rsid w:val="000D2D0B"/>
    <w:pPr>
      <w:spacing w:before="480" w:after="120"/>
    </w:pPr>
    <w:rPr>
      <w:rFonts w:ascii="Times New Roman" w:hAnsi="Times New Roman"/>
      <w:sz w:val="24"/>
    </w:rPr>
  </w:style>
  <w:style w:type="paragraph" w:customStyle="1" w:styleId="Fait">
    <w:name w:val="Fait à"/>
    <w:basedOn w:val="Normale"/>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e"/>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e"/>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e"/>
    <w:locked/>
    <w:rsid w:val="000D2D0B"/>
    <w:pPr>
      <w:spacing w:before="120" w:after="120"/>
      <w:ind w:left="850"/>
    </w:pPr>
    <w:rPr>
      <w:rFonts w:ascii="Times New Roman" w:hAnsi="Times New Roman"/>
      <w:sz w:val="24"/>
    </w:rPr>
  </w:style>
  <w:style w:type="paragraph" w:customStyle="1" w:styleId="Text2">
    <w:name w:val="Text 2"/>
    <w:basedOn w:val="Normale"/>
    <w:locked/>
    <w:rsid w:val="000D2D0B"/>
    <w:pPr>
      <w:spacing w:before="120" w:after="120"/>
      <w:ind w:left="1417"/>
    </w:pPr>
    <w:rPr>
      <w:rFonts w:ascii="Times New Roman" w:hAnsi="Times New Roman"/>
      <w:sz w:val="24"/>
    </w:rPr>
  </w:style>
  <w:style w:type="paragraph" w:customStyle="1" w:styleId="Text3">
    <w:name w:val="Text 3"/>
    <w:basedOn w:val="Normale"/>
    <w:locked/>
    <w:rsid w:val="000D2D0B"/>
    <w:pPr>
      <w:spacing w:before="120" w:after="120"/>
      <w:ind w:left="1984"/>
    </w:pPr>
    <w:rPr>
      <w:rFonts w:ascii="Times New Roman" w:hAnsi="Times New Roman"/>
      <w:sz w:val="24"/>
    </w:rPr>
  </w:style>
  <w:style w:type="paragraph" w:customStyle="1" w:styleId="Text4">
    <w:name w:val="Text 4"/>
    <w:basedOn w:val="Normale"/>
    <w:locked/>
    <w:rsid w:val="000D2D0B"/>
    <w:pPr>
      <w:spacing w:before="120" w:after="120"/>
      <w:ind w:left="2551"/>
    </w:pPr>
    <w:rPr>
      <w:rFonts w:ascii="Times New Roman" w:hAnsi="Times New Roman"/>
      <w:sz w:val="24"/>
    </w:rPr>
  </w:style>
  <w:style w:type="paragraph" w:customStyle="1" w:styleId="NormalCentered">
    <w:name w:val="Normal Centered"/>
    <w:basedOn w:val="Normale"/>
    <w:rsid w:val="000D2D0B"/>
    <w:pPr>
      <w:spacing w:before="120" w:after="120"/>
      <w:jc w:val="center"/>
    </w:pPr>
    <w:rPr>
      <w:rFonts w:ascii="Times New Roman" w:hAnsi="Times New Roman"/>
      <w:sz w:val="24"/>
    </w:rPr>
  </w:style>
  <w:style w:type="paragraph" w:customStyle="1" w:styleId="NormalLeft">
    <w:name w:val="Normal Left"/>
    <w:basedOn w:val="Normale"/>
    <w:rsid w:val="000D2D0B"/>
    <w:pPr>
      <w:spacing w:before="120" w:after="120"/>
    </w:pPr>
    <w:rPr>
      <w:rFonts w:ascii="Times New Roman" w:hAnsi="Times New Roman"/>
      <w:sz w:val="24"/>
    </w:rPr>
  </w:style>
  <w:style w:type="paragraph" w:customStyle="1" w:styleId="NormalRight">
    <w:name w:val="Normal Right"/>
    <w:basedOn w:val="Normale"/>
    <w:rsid w:val="000D2D0B"/>
    <w:pPr>
      <w:spacing w:before="120" w:after="120"/>
      <w:jc w:val="right"/>
    </w:pPr>
    <w:rPr>
      <w:rFonts w:ascii="Times New Roman" w:hAnsi="Times New Roman"/>
      <w:sz w:val="24"/>
    </w:rPr>
  </w:style>
  <w:style w:type="paragraph" w:customStyle="1" w:styleId="QuotedText">
    <w:name w:val="Quoted Text"/>
    <w:basedOn w:val="Normale"/>
    <w:locked/>
    <w:rsid w:val="000D2D0B"/>
    <w:pPr>
      <w:spacing w:before="120" w:after="120"/>
      <w:ind w:left="1417"/>
    </w:pPr>
    <w:rPr>
      <w:rFonts w:ascii="Times New Roman" w:hAnsi="Times New Roman"/>
      <w:sz w:val="24"/>
    </w:rPr>
  </w:style>
  <w:style w:type="paragraph" w:customStyle="1" w:styleId="Point0">
    <w:name w:val="Point 0"/>
    <w:basedOn w:val="Normale"/>
    <w:locked/>
    <w:rsid w:val="000D2D0B"/>
    <w:pPr>
      <w:spacing w:before="120" w:after="120"/>
      <w:ind w:left="850" w:hanging="850"/>
    </w:pPr>
    <w:rPr>
      <w:rFonts w:ascii="Times New Roman" w:hAnsi="Times New Roman"/>
      <w:sz w:val="24"/>
    </w:rPr>
  </w:style>
  <w:style w:type="paragraph" w:customStyle="1" w:styleId="Point1">
    <w:name w:val="Point 1"/>
    <w:basedOn w:val="Normale"/>
    <w:locked/>
    <w:rsid w:val="000D2D0B"/>
    <w:pPr>
      <w:spacing w:before="120" w:after="120"/>
      <w:ind w:left="1417" w:hanging="567"/>
    </w:pPr>
    <w:rPr>
      <w:rFonts w:ascii="Times New Roman" w:hAnsi="Times New Roman"/>
      <w:sz w:val="24"/>
    </w:rPr>
  </w:style>
  <w:style w:type="paragraph" w:customStyle="1" w:styleId="Point2">
    <w:name w:val="Point 2"/>
    <w:basedOn w:val="Normale"/>
    <w:locked/>
    <w:rsid w:val="000D2D0B"/>
    <w:pPr>
      <w:spacing w:before="120" w:after="120"/>
      <w:ind w:left="1984" w:hanging="567"/>
    </w:pPr>
    <w:rPr>
      <w:rFonts w:ascii="Times New Roman" w:hAnsi="Times New Roman"/>
      <w:sz w:val="24"/>
    </w:rPr>
  </w:style>
  <w:style w:type="paragraph" w:customStyle="1" w:styleId="Point3">
    <w:name w:val="Point 3"/>
    <w:basedOn w:val="Normale"/>
    <w:locked/>
    <w:rsid w:val="000D2D0B"/>
    <w:pPr>
      <w:spacing w:before="120" w:after="120"/>
      <w:ind w:left="2551" w:hanging="567"/>
    </w:pPr>
    <w:rPr>
      <w:rFonts w:ascii="Times New Roman" w:hAnsi="Times New Roman"/>
      <w:sz w:val="24"/>
    </w:rPr>
  </w:style>
  <w:style w:type="paragraph" w:customStyle="1" w:styleId="Point4">
    <w:name w:val="Point 4"/>
    <w:basedOn w:val="Normale"/>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e"/>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e"/>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e"/>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e"/>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e"/>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e"/>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e"/>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e"/>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e"/>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e"/>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e"/>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e"/>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e"/>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e"/>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e"/>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e"/>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e"/>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e"/>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e"/>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e"/>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e"/>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e"/>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7"/>
      </w:numPr>
      <w:spacing w:before="120" w:after="120"/>
    </w:pPr>
    <w:rPr>
      <w:rFonts w:ascii="Times New Roman" w:hAnsi="Times New Roman"/>
      <w:sz w:val="24"/>
    </w:rPr>
  </w:style>
  <w:style w:type="paragraph" w:customStyle="1" w:styleId="Point1number">
    <w:name w:val="Point 1 (number)"/>
    <w:basedOn w:val="Normale"/>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e"/>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e"/>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e"/>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e"/>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e"/>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e"/>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e"/>
    <w:locked/>
    <w:rsid w:val="000D2D0B"/>
    <w:pPr>
      <w:numPr>
        <w:ilvl w:val="8"/>
        <w:numId w:val="27"/>
      </w:numPr>
      <w:spacing w:before="120" w:after="120"/>
    </w:pPr>
    <w:rPr>
      <w:rFonts w:ascii="Times New Roman" w:hAnsi="Times New Roman"/>
      <w:sz w:val="24"/>
    </w:rPr>
  </w:style>
  <w:style w:type="paragraph" w:customStyle="1" w:styleId="Bullet0">
    <w:name w:val="Bullet 0"/>
    <w:basedOn w:val="Normale"/>
    <w:locked/>
    <w:rsid w:val="000D2D0B"/>
    <w:pPr>
      <w:numPr>
        <w:numId w:val="21"/>
      </w:numPr>
      <w:spacing w:before="120" w:after="120"/>
    </w:pPr>
    <w:rPr>
      <w:rFonts w:ascii="Times New Roman" w:hAnsi="Times New Roman"/>
      <w:sz w:val="24"/>
    </w:rPr>
  </w:style>
  <w:style w:type="paragraph" w:customStyle="1" w:styleId="Bullet1">
    <w:name w:val="Bullet 1"/>
    <w:basedOn w:val="Normale"/>
    <w:locked/>
    <w:rsid w:val="000D2D0B"/>
    <w:pPr>
      <w:numPr>
        <w:numId w:val="22"/>
      </w:numPr>
      <w:spacing w:before="120" w:after="120"/>
    </w:pPr>
    <w:rPr>
      <w:rFonts w:ascii="Times New Roman" w:hAnsi="Times New Roman"/>
      <w:sz w:val="24"/>
    </w:rPr>
  </w:style>
  <w:style w:type="paragraph" w:customStyle="1" w:styleId="Bullet2">
    <w:name w:val="Bullet 2"/>
    <w:basedOn w:val="Normale"/>
    <w:locked/>
    <w:rsid w:val="000D2D0B"/>
    <w:pPr>
      <w:numPr>
        <w:numId w:val="23"/>
      </w:numPr>
      <w:spacing w:before="120" w:after="120"/>
    </w:pPr>
    <w:rPr>
      <w:rFonts w:ascii="Times New Roman" w:hAnsi="Times New Roman"/>
      <w:sz w:val="24"/>
    </w:rPr>
  </w:style>
  <w:style w:type="paragraph" w:customStyle="1" w:styleId="Bullet3">
    <w:name w:val="Bullet 3"/>
    <w:basedOn w:val="Normale"/>
    <w:locked/>
    <w:rsid w:val="000D2D0B"/>
    <w:pPr>
      <w:numPr>
        <w:numId w:val="24"/>
      </w:numPr>
      <w:spacing w:before="120" w:after="120"/>
    </w:pPr>
    <w:rPr>
      <w:rFonts w:ascii="Times New Roman" w:hAnsi="Times New Roman"/>
      <w:sz w:val="24"/>
    </w:rPr>
  </w:style>
  <w:style w:type="paragraph" w:customStyle="1" w:styleId="Bullet4">
    <w:name w:val="Bullet 4"/>
    <w:basedOn w:val="Normale"/>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e"/>
    <w:next w:val="Normale"/>
    <w:locked/>
    <w:rsid w:val="000D2D0B"/>
    <w:pPr>
      <w:keepNext/>
      <w:spacing w:before="480" w:after="120"/>
    </w:pPr>
    <w:rPr>
      <w:rFonts w:ascii="Times New Roman" w:hAnsi="Times New Roman"/>
      <w:sz w:val="24"/>
      <w:u w:val="single"/>
    </w:rPr>
  </w:style>
  <w:style w:type="paragraph" w:customStyle="1" w:styleId="Confidence">
    <w:name w:val="Confidence"/>
    <w:basedOn w:val="Normale"/>
    <w:next w:val="Normale"/>
    <w:locked/>
    <w:rsid w:val="000D2D0B"/>
    <w:pPr>
      <w:spacing w:before="360" w:after="120"/>
      <w:jc w:val="center"/>
    </w:pPr>
    <w:rPr>
      <w:rFonts w:ascii="Times New Roman" w:hAnsi="Times New Roman"/>
      <w:sz w:val="24"/>
    </w:rPr>
  </w:style>
  <w:style w:type="paragraph" w:customStyle="1" w:styleId="Confidentialit">
    <w:name w:val="Confidentialité"/>
    <w:basedOn w:val="Normale"/>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e"/>
    <w:next w:val="Normale"/>
    <w:locked/>
    <w:rsid w:val="000D2D0B"/>
    <w:pPr>
      <w:spacing w:after="240"/>
    </w:pPr>
    <w:rPr>
      <w:rFonts w:ascii="Times New Roman" w:hAnsi="Times New Roman"/>
      <w:sz w:val="24"/>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rPr>
  </w:style>
  <w:style w:type="paragraph" w:customStyle="1" w:styleId="Emission">
    <w:name w:val="Emission"/>
    <w:basedOn w:val="Normale"/>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e"/>
    <w:next w:val="Normale"/>
    <w:locked/>
    <w:rsid w:val="000D2D0B"/>
    <w:pPr>
      <w:keepNext/>
      <w:spacing w:before="600" w:after="120"/>
    </w:pPr>
    <w:rPr>
      <w:rFonts w:ascii="Times New Roman" w:hAnsi="Times New Roman"/>
      <w:sz w:val="24"/>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e"/>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e"/>
    <w:next w:val="Emission"/>
    <w:locked/>
    <w:rsid w:val="000D2D0B"/>
    <w:rPr>
      <w:sz w:val="24"/>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rPr>
  </w:style>
  <w:style w:type="paragraph" w:customStyle="1" w:styleId="Sous-titreobjet">
    <w:name w:val="Sous-titre objet"/>
    <w:basedOn w:val="Normale"/>
    <w:locked/>
    <w:rsid w:val="000D2D0B"/>
    <w:pPr>
      <w:jc w:val="center"/>
    </w:pPr>
    <w:rPr>
      <w:rFonts w:ascii="Times New Roman" w:hAnsi="Times New Roman"/>
      <w:b/>
      <w:sz w:val="24"/>
    </w:rPr>
  </w:style>
  <w:style w:type="paragraph" w:customStyle="1" w:styleId="Statut">
    <w:name w:val="Statut"/>
    <w:basedOn w:val="Normale"/>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e"/>
    <w:next w:val="Normale"/>
    <w:locked/>
    <w:rsid w:val="000D2D0B"/>
    <w:pPr>
      <w:spacing w:before="120" w:after="120"/>
    </w:pPr>
    <w:rPr>
      <w:rFonts w:ascii="Times New Roman" w:hAnsi="Times New Roman"/>
      <w:i/>
      <w:caps/>
      <w:sz w:val="24"/>
    </w:rPr>
  </w:style>
  <w:style w:type="paragraph" w:customStyle="1" w:styleId="Pagedecouverture">
    <w:name w:val="Page de couverture"/>
    <w:basedOn w:val="Normale"/>
    <w:next w:val="Normale"/>
    <w:locked/>
    <w:rsid w:val="000D2D0B"/>
    <w:pPr>
      <w:spacing w:before="120" w:after="120"/>
    </w:pPr>
    <w:rPr>
      <w:rFonts w:ascii="Times New Roman" w:hAnsi="Times New Roman"/>
      <w:sz w:val="24"/>
    </w:rPr>
  </w:style>
  <w:style w:type="paragraph" w:customStyle="1" w:styleId="Supertitre">
    <w:name w:val="Supertitre"/>
    <w:basedOn w:val="Normale"/>
    <w:next w:val="Normale"/>
    <w:locked/>
    <w:rsid w:val="000D2D0B"/>
    <w:pPr>
      <w:spacing w:after="600"/>
      <w:jc w:val="center"/>
    </w:pPr>
    <w:rPr>
      <w:rFonts w:ascii="Times New Roman" w:hAnsi="Times New Roman"/>
      <w:b/>
      <w:sz w:val="24"/>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rPr>
  </w:style>
  <w:style w:type="paragraph" w:customStyle="1" w:styleId="Rfrencecroise">
    <w:name w:val="Référence croisée"/>
    <w:basedOn w:val="Normale"/>
    <w:locked/>
    <w:rsid w:val="000D2D0B"/>
    <w:pPr>
      <w:jc w:val="center"/>
    </w:pPr>
    <w:rPr>
      <w:rFonts w:ascii="Times New Roman" w:hAnsi="Times New Roman"/>
      <w:sz w:val="24"/>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rPr>
  </w:style>
  <w:style w:type="paragraph" w:styleId="Numeroelenco2">
    <w:name w:val="List Number 2"/>
    <w:basedOn w:val="Normale"/>
    <w:locked/>
    <w:rsid w:val="000D2D0B"/>
    <w:pPr>
      <w:tabs>
        <w:tab w:val="num" w:pos="643"/>
      </w:tabs>
      <w:spacing w:before="120" w:after="120"/>
      <w:ind w:left="643" w:hanging="360"/>
    </w:pPr>
    <w:rPr>
      <w:rFonts w:ascii="Times New Roman" w:hAnsi="Times New Roman"/>
      <w:sz w:val="24"/>
    </w:rPr>
  </w:style>
  <w:style w:type="paragraph" w:styleId="Numeroelenco3">
    <w:name w:val="List Number 3"/>
    <w:basedOn w:val="Normale"/>
    <w:locked/>
    <w:rsid w:val="000D2D0B"/>
    <w:pPr>
      <w:tabs>
        <w:tab w:val="num" w:pos="926"/>
      </w:tabs>
      <w:spacing w:before="120" w:after="120"/>
      <w:ind w:left="926" w:hanging="360"/>
    </w:pPr>
    <w:rPr>
      <w:rFonts w:ascii="Times New Roman" w:hAnsi="Times New Roman"/>
      <w:sz w:val="24"/>
    </w:rPr>
  </w:style>
  <w:style w:type="paragraph" w:styleId="Numeroelenco4">
    <w:name w:val="List Number 4"/>
    <w:basedOn w:val="Normale"/>
    <w:locked/>
    <w:rsid w:val="000D2D0B"/>
    <w:pPr>
      <w:tabs>
        <w:tab w:val="num" w:pos="1209"/>
        <w:tab w:val="num" w:pos="1417"/>
      </w:tabs>
      <w:spacing w:before="120" w:after="120"/>
      <w:ind w:left="1209" w:hanging="360"/>
    </w:pPr>
    <w:rPr>
      <w:rFonts w:ascii="Times New Roman" w:hAnsi="Times New Roman"/>
      <w:sz w:val="24"/>
    </w:rPr>
  </w:style>
  <w:style w:type="paragraph" w:styleId="Puntoelenco">
    <w:name w:val="List Bullet"/>
    <w:basedOn w:val="Normale"/>
    <w:locked/>
    <w:rsid w:val="000D2D0B"/>
    <w:pPr>
      <w:numPr>
        <w:numId w:val="13"/>
      </w:numPr>
      <w:tabs>
        <w:tab w:val="num" w:pos="360"/>
      </w:tabs>
      <w:spacing w:before="120" w:after="120"/>
      <w:ind w:left="360" w:hanging="360"/>
    </w:pPr>
    <w:rPr>
      <w:rFonts w:ascii="Times New Roman" w:hAnsi="Times New Roman"/>
      <w:sz w:val="24"/>
    </w:rPr>
  </w:style>
  <w:style w:type="paragraph" w:styleId="Puntoelenco2">
    <w:name w:val="List Bullet 2"/>
    <w:basedOn w:val="Normale"/>
    <w:locked/>
    <w:rsid w:val="000D2D0B"/>
    <w:pPr>
      <w:tabs>
        <w:tab w:val="num" w:pos="643"/>
        <w:tab w:val="num" w:pos="851"/>
      </w:tabs>
      <w:spacing w:before="120" w:after="120"/>
      <w:ind w:left="643" w:hanging="360"/>
    </w:pPr>
    <w:rPr>
      <w:rFonts w:ascii="Times New Roman" w:hAnsi="Times New Roman"/>
      <w:sz w:val="24"/>
    </w:rPr>
  </w:style>
  <w:style w:type="paragraph" w:styleId="Puntoelenco3">
    <w:name w:val="List Bullet 3"/>
    <w:basedOn w:val="Normale"/>
    <w:locked/>
    <w:rsid w:val="000D2D0B"/>
    <w:pPr>
      <w:numPr>
        <w:numId w:val="15"/>
      </w:numPr>
      <w:tabs>
        <w:tab w:val="num" w:pos="926"/>
      </w:tabs>
      <w:spacing w:before="120" w:after="120"/>
      <w:ind w:left="926"/>
    </w:pPr>
    <w:rPr>
      <w:rFonts w:ascii="Times New Roman" w:hAnsi="Times New Roman"/>
      <w:sz w:val="24"/>
    </w:rPr>
  </w:style>
  <w:style w:type="paragraph" w:styleId="Puntoelenco4">
    <w:name w:val="List Bullet 4"/>
    <w:basedOn w:val="Normale"/>
    <w:locked/>
    <w:rsid w:val="000D2D0B"/>
    <w:pPr>
      <w:numPr>
        <w:numId w:val="16"/>
      </w:numPr>
      <w:tabs>
        <w:tab w:val="num" w:pos="1209"/>
      </w:tabs>
      <w:spacing w:before="120" w:after="120"/>
      <w:ind w:left="1209"/>
    </w:pPr>
    <w:rPr>
      <w:rFonts w:ascii="Times New Roman" w:hAnsi="Times New Roman"/>
      <w:sz w:val="24"/>
    </w:rPr>
  </w:style>
  <w:style w:type="paragraph" w:styleId="Indicedellefigure">
    <w:name w:val="table of figures"/>
    <w:basedOn w:val="Normale"/>
    <w:next w:val="Normale"/>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pPr>
    <w:rPr>
      <w:rFonts w:ascii="Myriad Pro Light" w:hAnsi="Myriad Pro Light"/>
      <w:b/>
      <w:sz w:val="21"/>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ind w:left="284" w:hanging="284"/>
    </w:p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e"/>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e"/>
    <w:locked/>
    <w:rsid w:val="003A6E9A"/>
    <w:pPr>
      <w:keepNext/>
      <w:numPr>
        <w:numId w:val="29"/>
      </w:numPr>
      <w:spacing w:before="240"/>
      <w:outlineLvl w:val="0"/>
    </w:pPr>
    <w:rPr>
      <w:b/>
      <w:bCs/>
      <w:kern w:val="32"/>
      <w:sz w:val="28"/>
      <w:szCs w:val="28"/>
    </w:rPr>
  </w:style>
  <w:style w:type="paragraph" w:customStyle="1" w:styleId="NEW-Level1">
    <w:name w:val="NEW-Level1"/>
    <w:basedOn w:val="Normale"/>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e"/>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e"/>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e"/>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1"/>
      </w:numPr>
      <w:spacing w:before="250"/>
    </w:pPr>
    <w:rPr>
      <w:rFonts w:cstheme="minorBidi"/>
      <w:b/>
    </w:rPr>
  </w:style>
  <w:style w:type="character" w:customStyle="1" w:styleId="CPQuestionsChar">
    <w:name w:val="CP_Questions Char"/>
    <w:basedOn w:val="Carpredefinitoparagrafo"/>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ol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e"/>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e"/>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e"/>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e"/>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e"/>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e"/>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e"/>
    <w:next w:val="Normale"/>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Carpredefinitoparagrafo"/>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Enfasigrassetto"/>
    <w:uiPriority w:val="1"/>
    <w:qFormat/>
    <w:rsid w:val="00F87468"/>
    <w:rPr>
      <w:b w:val="0"/>
      <w:bCs/>
      <w:caps/>
      <w:smallCaps w:val="0"/>
      <w:color w:val="FF0000" w:themeColor="accent6"/>
      <w:sz w:val="22"/>
    </w:rPr>
  </w:style>
  <w:style w:type="paragraph" w:styleId="Sottotitolo">
    <w:name w:val="Subtitle"/>
    <w:basedOn w:val="Normale"/>
    <w:next w:val="Normale"/>
    <w:link w:val="SottotitoloCarattere"/>
    <w:uiPriority w:val="11"/>
    <w:qFormat/>
    <w:locked/>
    <w:rsid w:val="00E70E2E"/>
    <w:pPr>
      <w:numPr>
        <w:ilvl w:val="1"/>
      </w:numPr>
    </w:pPr>
    <w:rPr>
      <w:rFonts w:eastAsiaTheme="majorEastAsia"/>
      <w:b/>
      <w:bCs/>
      <w:sz w:val="28"/>
    </w:rPr>
  </w:style>
  <w:style w:type="character" w:customStyle="1" w:styleId="SottotitoloCarattere">
    <w:name w:val="Sottotitolo Carattere"/>
    <w:basedOn w:val="Carpredefinitoparagrafo"/>
    <w:link w:val="Sottotitolo"/>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e"/>
    <w:link w:val="HeaderFootChar"/>
    <w:qFormat/>
    <w:rsid w:val="00F716D4"/>
    <w:pPr>
      <w:spacing w:after="0"/>
      <w:jc w:val="right"/>
    </w:pPr>
    <w:rPr>
      <w:color w:val="001B4F"/>
      <w:sz w:val="16"/>
      <w:szCs w:val="16"/>
    </w:rPr>
  </w:style>
  <w:style w:type="character" w:styleId="Menzionenonrisolta">
    <w:name w:val="Unresolved Mention"/>
    <w:basedOn w:val="Carpredefinitoparagrafo"/>
    <w:uiPriority w:val="99"/>
    <w:semiHidden/>
    <w:unhideWhenUsed/>
    <w:rsid w:val="0034374F"/>
    <w:rPr>
      <w:color w:val="605E5C"/>
      <w:shd w:val="clear" w:color="auto" w:fill="E1DFDD"/>
    </w:rPr>
  </w:style>
  <w:style w:type="character" w:customStyle="1" w:styleId="HeaderFootChar">
    <w:name w:val="HeaderFoot Char"/>
    <w:basedOn w:val="Carpredefinitoparagrafo"/>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e"/>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Carpredefinitoparagrafo"/>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Carpredefinitoparagrafo"/>
    <w:rsid w:val="004E60D2"/>
  </w:style>
  <w:style w:type="character" w:customStyle="1" w:styleId="mandatory">
    <w:name w:val="mandatory"/>
    <w:basedOn w:val="Carpredefinitoparagrafo"/>
    <w:rsid w:val="00E54596"/>
  </w:style>
  <w:style w:type="character" w:customStyle="1" w:styleId="screen-reader-only">
    <w:name w:val="screen-reader-only"/>
    <w:basedOn w:val="Carpredefinitoparagrafo"/>
    <w:rsid w:val="00E54596"/>
  </w:style>
  <w:style w:type="paragraph" w:styleId="Nessunaspaziatura">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Props1.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d0fb0f98-34f9-4d57-9559-eb8efd17aa5e"/>
    <ds:schemaRef ds:uri="http://schemas.microsoft.com/office/2006/metadata/properties"/>
    <ds:schemaRef ds:uri="http://purl.org/dc/terms/"/>
    <ds:schemaRef ds:uri="http://schemas.microsoft.com/office/2006/documentManagement/types"/>
    <ds:schemaRef ds:uri="http://www.w3.org/XML/1998/namespace"/>
    <ds:schemaRef ds:uri="ea984c69-31c5-4466-9245-f1525cd690b9"/>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5497</Words>
  <Characters>31513</Characters>
  <Application>Microsoft Office Word</Application>
  <DocSecurity>0</DocSecurity>
  <Lines>262</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Adele Lorenzoni - Assirevi</cp:lastModifiedBy>
  <cp:revision>3</cp:revision>
  <cp:lastPrinted>2015-02-18T20:01:00Z</cp:lastPrinted>
  <dcterms:created xsi:type="dcterms:W3CDTF">2025-03-31T15:24:00Z</dcterms:created>
  <dcterms:modified xsi:type="dcterms:W3CDTF">2025-03-31T15:47:00Z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