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first" r:id="rId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When you have drafted your responses, save the reply form according to the following convention: ESMA_</w:t>
      </w:r>
      <w:r w:rsidR="00E54596" w:rsidRPr="00AF763D">
        <w:rPr>
          <w:sz w:val="20"/>
          <w:szCs w:val="18"/>
        </w:rPr>
        <w:t>ESEFEEAP_</w:t>
      </w:r>
      <w:r w:rsidRPr="00AF763D">
        <w:rPr>
          <w:sz w:val="20"/>
          <w:szCs w:val="18"/>
        </w:rPr>
        <w:t xml:space="preserve">nameofrespondent.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lastRenderedPageBreak/>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id w:val="-179280767"/>
            <w:text/>
          </w:sdtPr>
          <w:sdtEndPr/>
          <w:sdtContent>
            <w:tc>
              <w:tcPr>
                <w:tcW w:w="6997" w:type="dxa"/>
                <w:gridSpan w:val="4"/>
              </w:tcPr>
              <w:p w14:paraId="0D7893C6" w14:textId="7AC8A302" w:rsidR="0030108F" w:rsidRDefault="00087206" w:rsidP="008A50BE">
                <w:pPr>
                  <w:spacing w:after="120"/>
                  <w:rPr>
                    <w:sz w:val="20"/>
                    <w:szCs w:val="18"/>
                  </w:rPr>
                </w:pPr>
                <w:r w:rsidRPr="00087206">
                  <w:t>German Association of Investment Professionals - DVFA</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EndPr/>
          <w:sdtContent>
            <w:tc>
              <w:tcPr>
                <w:tcW w:w="6997" w:type="dxa"/>
                <w:gridSpan w:val="4"/>
                <w:vAlign w:val="center"/>
              </w:tcPr>
              <w:p w14:paraId="4D2A02E5" w14:textId="246D0D4F" w:rsidR="00DE432B" w:rsidRDefault="00087206"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540DB3B8" w:rsidR="00DE432B" w:rsidRDefault="00087206" w:rsidP="008A50BE">
                <w:pPr>
                  <w:spacing w:after="120"/>
                  <w:rPr>
                    <w:sz w:val="20"/>
                    <w:szCs w:val="18"/>
                  </w:rPr>
                </w:pPr>
                <w:r>
                  <w:rPr>
                    <w:sz w:val="20"/>
                    <w:szCs w:val="18"/>
                  </w:rPr>
                  <w:t>Germany</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Public interest entity (entities governed by the law of an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ceholderText"/>
                <w:sz w:val="20"/>
                <w:szCs w:val="18"/>
              </w:rPr>
              <w:id w:val="733121204"/>
              <w:showingPlcHdr/>
              <w:text/>
            </w:sdtPr>
            <w:sdtEndPr>
              <w:rPr>
                <w:rStyle w:val="PlaceholderText"/>
              </w:rPr>
            </w:sdtEndPr>
            <w:sdtContent>
              <w:p w14:paraId="18F8042D" w14:textId="438BFE55" w:rsidR="00A10F6D" w:rsidRDefault="008A50BE" w:rsidP="008A50BE">
                <w:pPr>
                  <w:spacing w:after="120"/>
                  <w:rPr>
                    <w:sz w:val="20"/>
                    <w:szCs w:val="18"/>
                  </w:rPr>
                </w:pPr>
                <w:r w:rsidRPr="00AF763D">
                  <w:rPr>
                    <w:rStyle w:val="Placehold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1"/>
              <w14:checkedState w14:val="2612" w14:font="MS Gothic"/>
              <w14:uncheckedState w14:val="2610" w14:font="MS Gothic"/>
            </w14:checkbox>
          </w:sdtPr>
          <w:sdtEndPr/>
          <w:sdtContent>
            <w:tc>
              <w:tcPr>
                <w:tcW w:w="425" w:type="dxa"/>
                <w:vMerge w:val="restart"/>
              </w:tcPr>
              <w:p w14:paraId="39A245A0" w14:textId="61369222" w:rsidR="008203B2" w:rsidRDefault="000F021C"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1"/>
              <w14:checkedState w14:val="2612" w14:font="MS Gothic"/>
              <w14:uncheckedState w14:val="2610" w14:font="MS Gothic"/>
            </w14:checkbox>
          </w:sdtPr>
          <w:sdtEndPr/>
          <w:sdtContent>
            <w:tc>
              <w:tcPr>
                <w:tcW w:w="416" w:type="dxa"/>
              </w:tcPr>
              <w:p w14:paraId="29459430" w14:textId="06F551A3" w:rsidR="008203B2" w:rsidRDefault="00087206"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1"/>
              <w14:checkedState w14:val="2612" w14:font="MS Gothic"/>
              <w14:uncheckedState w14:val="2610" w14:font="MS Gothic"/>
            </w14:checkbox>
          </w:sdtPr>
          <w:sdtEndPr/>
          <w:sdtContent>
            <w:tc>
              <w:tcPr>
                <w:tcW w:w="416" w:type="dxa"/>
              </w:tcPr>
              <w:p w14:paraId="7A69DF71" w14:textId="7AC26882" w:rsidR="00A10F6D" w:rsidRDefault="00087206" w:rsidP="008A50BE">
                <w:pPr>
                  <w:spacing w:after="120"/>
                  <w:rPr>
                    <w:sz w:val="20"/>
                    <w:szCs w:val="18"/>
                  </w:rPr>
                </w:pPr>
                <w:r>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1"/>
              <w14:checkedState w14:val="2612" w14:font="MS Gothic"/>
              <w14:uncheckedState w14:val="2610" w14:font="MS Gothic"/>
            </w14:checkbox>
          </w:sdtPr>
          <w:sdtEndPr/>
          <w:sdtContent>
            <w:tc>
              <w:tcPr>
                <w:tcW w:w="416" w:type="dxa"/>
              </w:tcPr>
              <w:p w14:paraId="4DEA2738" w14:textId="46F1433A" w:rsidR="00A10F6D" w:rsidRDefault="00087206" w:rsidP="008A50BE">
                <w:pPr>
                  <w:spacing w:after="120"/>
                  <w:rPr>
                    <w:sz w:val="20"/>
                    <w:szCs w:val="18"/>
                  </w:rPr>
                </w:pPr>
                <w:r>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1"/>
              <w14:checkedState w14:val="2612" w14:font="MS Gothic"/>
              <w14:uncheckedState w14:val="2610" w14:font="MS Gothic"/>
            </w14:checkbox>
          </w:sdtPr>
          <w:sdtEndPr/>
          <w:sdtContent>
            <w:tc>
              <w:tcPr>
                <w:tcW w:w="416" w:type="dxa"/>
              </w:tcPr>
              <w:p w14:paraId="230F53D2" w14:textId="7662F6C9" w:rsidR="00A10F6D" w:rsidRDefault="00087206" w:rsidP="008A50BE">
                <w:pPr>
                  <w:spacing w:after="120"/>
                  <w:rPr>
                    <w:sz w:val="20"/>
                    <w:szCs w:val="18"/>
                  </w:rPr>
                </w:pPr>
                <w:r>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EndPr>
              <w:rPr>
                <w:rStyle w:val="PlaceholderText"/>
              </w:rPr>
            </w:sdtEnd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End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ceholderText"/>
              <w:sz w:val="20"/>
              <w:szCs w:val="18"/>
            </w:rPr>
            <w:id w:val="1865097083"/>
            <w:showingPlcHdr/>
            <w:text/>
          </w:sdtPr>
          <w:sdtEndPr>
            <w:rPr>
              <w:rStyle w:val="PlaceholderText"/>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cehold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manner in which the various elements and factors are to be considered in developing the marking up rules and the phased </w:t>
      </w:r>
      <w:r w:rsidRPr="00E54596">
        <w:rPr>
          <w:rFonts w:eastAsia="Times New Roman"/>
          <w:color w:val="auto"/>
          <w:szCs w:val="22"/>
          <w:lang w:eastAsia="en-GB"/>
        </w:rPr>
        <w:lastRenderedPageBreak/>
        <w:t>approach? If not, please explain your reasons and suggest any elements or factors that should be added or removed, or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472EA06A" w14:textId="69D97450" w:rsidR="006B5DF1" w:rsidRDefault="00F340AE" w:rsidP="006B5DF1">
      <w:pPr>
        <w:spacing w:after="0"/>
        <w:rPr>
          <w:sz w:val="20"/>
          <w:lang w:val="en-US"/>
        </w:rPr>
      </w:pPr>
      <w:permStart w:id="1107116594" w:edGrp="everyone"/>
      <w:r w:rsidRPr="002A41D8">
        <w:rPr>
          <w:sz w:val="20"/>
          <w:lang w:val="en-US"/>
        </w:rPr>
        <w:t xml:space="preserve">While we strongly support the transition to </w:t>
      </w:r>
      <w:r>
        <w:rPr>
          <w:sz w:val="20"/>
          <w:lang w:val="en-US"/>
        </w:rPr>
        <w:t xml:space="preserve">digital reporting and to use </w:t>
      </w:r>
      <w:r w:rsidRPr="002A41D8">
        <w:rPr>
          <w:sz w:val="20"/>
          <w:lang w:val="en-US"/>
        </w:rPr>
        <w:t xml:space="preserve">the iXBRL format, which merges machine-readable and visually readable data, we stress that structured data (such as XBRL) is crucial for automation and cost efficiency. The better data is structured, the higher the quality of AI-driven insights. </w:t>
      </w:r>
    </w:p>
    <w:p w14:paraId="3BF538BE" w14:textId="77777777" w:rsidR="00020C2E" w:rsidRDefault="00020C2E" w:rsidP="006B5DF1">
      <w:pPr>
        <w:spacing w:after="0"/>
        <w:rPr>
          <w:sz w:val="20"/>
          <w:lang w:val="en-US"/>
        </w:rPr>
      </w:pPr>
    </w:p>
    <w:p w14:paraId="010FB270" w14:textId="01281208" w:rsidR="002D2DB8" w:rsidRDefault="00020C2E" w:rsidP="006B5DF1">
      <w:pPr>
        <w:spacing w:after="0"/>
        <w:rPr>
          <w:sz w:val="20"/>
          <w:szCs w:val="18"/>
        </w:rPr>
      </w:pPr>
      <w:r w:rsidRPr="00020C2E">
        <w:rPr>
          <w:sz w:val="20"/>
          <w:szCs w:val="18"/>
        </w:rPr>
        <w:t>We believe the phased approach</w:t>
      </w:r>
      <w:r w:rsidR="000346BB">
        <w:rPr>
          <w:sz w:val="20"/>
          <w:szCs w:val="18"/>
        </w:rPr>
        <w:t>es</w:t>
      </w:r>
      <w:r w:rsidRPr="00020C2E">
        <w:rPr>
          <w:sz w:val="20"/>
          <w:szCs w:val="18"/>
        </w:rPr>
        <w:t xml:space="preserve"> </w:t>
      </w:r>
      <w:r w:rsidR="000346BB">
        <w:rPr>
          <w:sz w:val="20"/>
          <w:szCs w:val="18"/>
        </w:rPr>
        <w:t xml:space="preserve">are </w:t>
      </w:r>
      <w:r w:rsidRPr="00020C2E">
        <w:rPr>
          <w:sz w:val="20"/>
          <w:szCs w:val="18"/>
        </w:rPr>
        <w:t>too complex and unnecessarily time-consuming for everyone involved.</w:t>
      </w:r>
      <w:r w:rsidR="000346BB">
        <w:rPr>
          <w:sz w:val="20"/>
          <w:szCs w:val="18"/>
        </w:rPr>
        <w:t xml:space="preserve"> </w:t>
      </w:r>
      <w:r w:rsidRPr="00020C2E">
        <w:rPr>
          <w:sz w:val="20"/>
          <w:szCs w:val="18"/>
        </w:rPr>
        <w:t xml:space="preserve">A fundamental change of direction would be much more important, with digital reporting no longer being an "appendage" to paper reporting (PDF) but rather becoming the central source of information in the future. </w:t>
      </w:r>
      <w:r w:rsidR="002D2DB8" w:rsidRPr="002D2DB8">
        <w:rPr>
          <w:sz w:val="20"/>
          <w:szCs w:val="18"/>
        </w:rPr>
        <w:t>Unfortunately, we do not see this change in direction</w:t>
      </w:r>
      <w:r w:rsidR="007536C7">
        <w:rPr>
          <w:sz w:val="20"/>
          <w:szCs w:val="18"/>
        </w:rPr>
        <w:t>.</w:t>
      </w:r>
    </w:p>
    <w:p w14:paraId="0828F2DB" w14:textId="77777777" w:rsidR="002D2DB8" w:rsidRDefault="002D2DB8" w:rsidP="006B5DF1">
      <w:pPr>
        <w:spacing w:after="0"/>
        <w:rPr>
          <w:sz w:val="20"/>
          <w:szCs w:val="18"/>
        </w:rPr>
      </w:pPr>
    </w:p>
    <w:p w14:paraId="0663FB98" w14:textId="6AE0874A" w:rsidR="00D4474A" w:rsidRPr="00D4474A" w:rsidRDefault="00D4474A" w:rsidP="00D4474A">
      <w:pPr>
        <w:spacing w:after="0"/>
        <w:rPr>
          <w:sz w:val="20"/>
          <w:szCs w:val="18"/>
        </w:rPr>
      </w:pPr>
      <w:r w:rsidRPr="00D4474A">
        <w:rPr>
          <w:sz w:val="20"/>
          <w:szCs w:val="18"/>
        </w:rPr>
        <w:t>The digital reporting process must be thought through from start to finish in the interests of information users, and the courage must be mustered to issue the necessary regulations and provide the necessary technical infrastructure (Europe-wide regulations for the technical enforcement of a standardised minimum data quality, EU standardised quality assurance rule engine).</w:t>
      </w:r>
      <w:r w:rsidR="000346BB">
        <w:rPr>
          <w:sz w:val="20"/>
          <w:szCs w:val="18"/>
        </w:rPr>
        <w:t xml:space="preserve"> </w:t>
      </w:r>
      <w:r w:rsidR="000346BB" w:rsidRPr="000346BB">
        <w:rPr>
          <w:sz w:val="20"/>
          <w:szCs w:val="18"/>
        </w:rPr>
        <w:t>Unfortunately, we are several decades behind the global capital markets.</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241B0CDD" w14:textId="77777777" w:rsidR="008E030C" w:rsidRPr="008E030C" w:rsidRDefault="008E030C" w:rsidP="008E030C">
      <w:pPr>
        <w:spacing w:after="0"/>
        <w:jc w:val="left"/>
        <w:rPr>
          <w:sz w:val="20"/>
          <w:szCs w:val="18"/>
          <w:lang w:val="en-US"/>
        </w:rPr>
      </w:pPr>
      <w:bookmarkStart w:id="9" w:name="_Hlk193794257"/>
      <w:r w:rsidRPr="008E030C">
        <w:rPr>
          <w:sz w:val="20"/>
          <w:szCs w:val="18"/>
          <w:lang w:val="en-US"/>
        </w:rPr>
        <w:t>No. The phased approach should not delay the existing CSRD timeline.</w:t>
      </w:r>
      <w:r w:rsidRPr="008E030C">
        <w:rPr>
          <w:sz w:val="20"/>
          <w:szCs w:val="18"/>
          <w:lang w:val="en-US"/>
        </w:rPr>
        <w:br/>
        <w:t>Investment professionals need access to ESRS data generated by companies as quickly as possible. Otherwise, we will have to continue relying on data provided by third-party service providers for several additional years—along with all the well-known disadvantages that entails.</w:t>
      </w:r>
    </w:p>
    <w:p w14:paraId="3CC94510" w14:textId="77777777" w:rsidR="008E030C" w:rsidRPr="008E030C" w:rsidRDefault="008E030C" w:rsidP="008E030C">
      <w:pPr>
        <w:spacing w:after="0"/>
        <w:rPr>
          <w:sz w:val="20"/>
          <w:szCs w:val="18"/>
          <w:lang w:val="en-US"/>
        </w:rPr>
      </w:pPr>
      <w:r w:rsidRPr="008E030C">
        <w:rPr>
          <w:sz w:val="20"/>
          <w:szCs w:val="18"/>
          <w:lang w:val="en-US"/>
        </w:rPr>
        <w:t>The first phase should be implemented for the same financial year in which the amendments are published. Rather than postponing the current schedule and thereby introducing further complexity for all parties involved, it would be better to significantly simplify the regulations and reduce their content.</w:t>
      </w:r>
    </w:p>
    <w:bookmarkEnd w:id="9"/>
    <w:p w14:paraId="5C99C845" w14:textId="13D66CDD" w:rsidR="006B5DF1" w:rsidRDefault="005319DC" w:rsidP="00B51427">
      <w:pPr>
        <w:spacing w:after="0"/>
        <w:rPr>
          <w:sz w:val="20"/>
          <w:szCs w:val="18"/>
        </w:rPr>
      </w:pPr>
      <w:r w:rsidRPr="00AF763D">
        <w:rPr>
          <w:sz w:val="20"/>
          <w:szCs w:val="18"/>
        </w:rPr>
        <w:t>&lt;</w:t>
      </w:r>
      <w:r w:rsidR="006B5DF1" w:rsidRPr="00AF763D">
        <w:rPr>
          <w:sz w:val="20"/>
          <w:szCs w:val="18"/>
        </w:rPr>
        <w:t>ESMA_QUESTION_</w:t>
      </w:r>
      <w:r w:rsidR="00E54596" w:rsidRPr="00AF763D">
        <w:rPr>
          <w:sz w:val="20"/>
          <w:szCs w:val="18"/>
        </w:rPr>
        <w:t>ESEFEEAP_</w:t>
      </w:r>
      <w:r w:rsidR="003E7313" w:rsidRPr="00AF763D">
        <w:rPr>
          <w:sz w:val="20"/>
          <w:szCs w:val="18"/>
        </w:rPr>
        <w:t>02</w:t>
      </w:r>
      <w:r w:rsidR="006B5DF1"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7C8A7E7D" w14:textId="77777777" w:rsidR="008E030C" w:rsidRPr="008E030C" w:rsidRDefault="008E030C" w:rsidP="00E66597">
      <w:pPr>
        <w:spacing w:after="0"/>
        <w:jc w:val="left"/>
        <w:rPr>
          <w:lang w:val="en-US"/>
        </w:rPr>
      </w:pPr>
      <w:r w:rsidRPr="008E030C">
        <w:rPr>
          <w:b/>
          <w:bCs/>
          <w:lang w:val="en-US"/>
        </w:rPr>
        <w:t>No. We believe that requiring an analogue report for one or more reporting periods before transitioning to a digital report is unnecessary and counterproductive.</w:t>
      </w:r>
      <w:r w:rsidRPr="008E030C">
        <w:rPr>
          <w:lang w:val="en-US"/>
        </w:rPr>
        <w:br/>
        <w:t>Such a requirement imposes additional costs on companies for a process with no long-term value. It also creates inefficiencies, as companies would need to redesign their systems, processes, and controls—not only once, but twice. The same applies to all other stakeholders, including data users, who would face the disadvantage of delayed access to machine-readable data, thereby postponing automation.</w:t>
      </w:r>
    </w:p>
    <w:p w14:paraId="68237552" w14:textId="77777777" w:rsidR="008E030C" w:rsidRPr="008E030C" w:rsidRDefault="008E030C" w:rsidP="008E030C">
      <w:pPr>
        <w:spacing w:after="0"/>
        <w:rPr>
          <w:lang w:val="en-US"/>
        </w:rPr>
      </w:pPr>
      <w:r w:rsidRPr="008E030C">
        <w:rPr>
          <w:lang w:val="en-US"/>
        </w:rPr>
        <w:t>It would be more effective to design new processes with automation in mind from the outset, rather than building traditional processes that serve merely as a transitional step. This approach is inherently inefficient.</w:t>
      </w:r>
    </w:p>
    <w:p w14:paraId="3358CAFE" w14:textId="77777777" w:rsidR="008E030C" w:rsidRPr="008E030C" w:rsidRDefault="008E030C" w:rsidP="008E030C">
      <w:pPr>
        <w:spacing w:after="0"/>
        <w:rPr>
          <w:lang w:val="en-US"/>
        </w:rPr>
      </w:pPr>
      <w:r w:rsidRPr="008E030C">
        <w:rPr>
          <w:lang w:val="en-US"/>
        </w:rPr>
        <w:lastRenderedPageBreak/>
        <w:t>Furthermore, investment professionals need machine-readable ESRS data generated by companies as quickly as possible. Otherwise, we will be forced to continue relying on data produced by service providers for several additional years—with all the well-known disadvantages that entails.</w:t>
      </w:r>
    </w:p>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F4B7CE0" w14:textId="3EEA1AF5" w:rsidR="007D4F05" w:rsidRPr="007D53AE" w:rsidRDefault="00202F12" w:rsidP="007D53AE">
      <w:pPr>
        <w:spacing w:after="0"/>
        <w:rPr>
          <w:sz w:val="20"/>
          <w:szCs w:val="18"/>
          <w:lang w:val="en-US"/>
        </w:rPr>
      </w:pPr>
      <w:permStart w:id="91707497" w:edGrp="everyone"/>
      <w:r>
        <w:rPr>
          <w:sz w:val="20"/>
          <w:szCs w:val="18"/>
          <w:lang w:val="en-US"/>
        </w:rPr>
        <w:t xml:space="preserve">No. </w:t>
      </w:r>
      <w:r w:rsidR="007D53AE" w:rsidRPr="007D53AE">
        <w:rPr>
          <w:sz w:val="20"/>
          <w:szCs w:val="18"/>
          <w:lang w:val="en-US"/>
        </w:rPr>
        <w:t xml:space="preserve">Phasing is far too complicated to understand for </w:t>
      </w:r>
      <w:r w:rsidR="007D53AE">
        <w:rPr>
          <w:sz w:val="20"/>
          <w:szCs w:val="18"/>
          <w:lang w:val="en-US"/>
        </w:rPr>
        <w:t xml:space="preserve">all stakeholders. </w:t>
      </w:r>
      <w:r w:rsidR="008F4030">
        <w:rPr>
          <w:sz w:val="20"/>
          <w:szCs w:val="18"/>
          <w:lang w:val="en-US"/>
        </w:rPr>
        <w:t>W</w:t>
      </w:r>
      <w:r w:rsidR="007D53AE" w:rsidRPr="007D53AE">
        <w:rPr>
          <w:sz w:val="20"/>
          <w:szCs w:val="18"/>
          <w:lang w:val="en-US"/>
        </w:rPr>
        <w:t>e propose full tagging</w:t>
      </w:r>
      <w:r w:rsidR="007D53AE">
        <w:rPr>
          <w:sz w:val="20"/>
          <w:szCs w:val="18"/>
          <w:lang w:val="en-US"/>
        </w:rPr>
        <w:t xml:space="preserve"> </w:t>
      </w:r>
      <w:r w:rsidR="007D53AE" w:rsidRPr="007D53AE">
        <w:rPr>
          <w:sz w:val="20"/>
          <w:szCs w:val="18"/>
          <w:lang w:val="en-US"/>
        </w:rPr>
        <w:t xml:space="preserve">from day one. </w:t>
      </w:r>
      <w:r w:rsidR="007D53AE">
        <w:rPr>
          <w:sz w:val="20"/>
          <w:szCs w:val="18"/>
          <w:lang w:val="en-US"/>
        </w:rPr>
        <w:t xml:space="preserve">Our second </w:t>
      </w:r>
      <w:r w:rsidR="007D53AE" w:rsidRPr="007D53AE">
        <w:rPr>
          <w:sz w:val="20"/>
          <w:szCs w:val="18"/>
          <w:lang w:val="en-US"/>
        </w:rPr>
        <w:t>preference is full tagging from day one but</w:t>
      </w:r>
      <w:r w:rsidR="007D53AE">
        <w:rPr>
          <w:sz w:val="20"/>
          <w:szCs w:val="18"/>
          <w:lang w:val="en-US"/>
        </w:rPr>
        <w:t xml:space="preserve"> </w:t>
      </w:r>
      <w:r w:rsidR="007D53AE" w:rsidRPr="007D53AE">
        <w:rPr>
          <w:sz w:val="20"/>
          <w:szCs w:val="18"/>
          <w:lang w:val="en-US"/>
        </w:rPr>
        <w:t>with a grace year</w:t>
      </w:r>
      <w:r w:rsidR="007D53AE">
        <w:rPr>
          <w:sz w:val="20"/>
          <w:szCs w:val="18"/>
          <w:lang w:val="en-US"/>
        </w:rPr>
        <w:t>.</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0C4A53CA" w14:textId="72179CB0" w:rsidR="00117925" w:rsidRDefault="00202F12" w:rsidP="007D4F05">
      <w:pPr>
        <w:spacing w:after="0"/>
        <w:rPr>
          <w:sz w:val="20"/>
          <w:szCs w:val="18"/>
        </w:rPr>
      </w:pPr>
      <w:r>
        <w:rPr>
          <w:sz w:val="20"/>
          <w:szCs w:val="18"/>
          <w:lang w:val="en-US"/>
        </w:rPr>
        <w:t xml:space="preserve">No. </w:t>
      </w:r>
      <w:r w:rsidR="00117925" w:rsidRPr="00117925">
        <w:rPr>
          <w:sz w:val="20"/>
          <w:szCs w:val="18"/>
          <w:lang w:val="en-US"/>
        </w:rPr>
        <w:t>We don’t agree with this approach at all.</w:t>
      </w:r>
      <w:r w:rsidR="00117925" w:rsidRPr="00117925">
        <w:rPr>
          <w:sz w:val="20"/>
          <w:szCs w:val="18"/>
        </w:rPr>
        <w:t xml:space="preserve"> </w:t>
      </w:r>
    </w:p>
    <w:p w14:paraId="2D551CB6" w14:textId="4711ADEE"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6B2CA113" w14:textId="0F12A6C1" w:rsidR="007D4F05" w:rsidRPr="00AF763D" w:rsidRDefault="00117925" w:rsidP="007D4F05">
      <w:pPr>
        <w:spacing w:after="0"/>
        <w:rPr>
          <w:sz w:val="20"/>
          <w:szCs w:val="18"/>
        </w:rPr>
      </w:pPr>
      <w:permStart w:id="772892299" w:edGrp="everyone"/>
      <w:r>
        <w:rPr>
          <w:sz w:val="20"/>
          <w:szCs w:val="18"/>
        </w:rPr>
        <w:t xml:space="preserve">Yes we agree. </w:t>
      </w:r>
      <w:permEnd w:id="772892299"/>
      <w:r w:rsidR="007D4F05"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237A7115" w:rsidR="007D4F05" w:rsidRPr="00AF763D" w:rsidRDefault="00F42F00" w:rsidP="007D4F05">
      <w:pPr>
        <w:spacing w:after="0"/>
        <w:rPr>
          <w:sz w:val="20"/>
          <w:szCs w:val="18"/>
        </w:rPr>
      </w:pPr>
      <w:permStart w:id="638739279" w:edGrp="everyone"/>
      <w:r w:rsidRPr="00F42F00">
        <w:rPr>
          <w:sz w:val="20"/>
          <w:szCs w:val="18"/>
        </w:rPr>
        <w:t>ESMA will ask for and take into account the experiences of actual users. This also applies to cases where it turns out that unnecessary detailed provisions exist, which should then be reduced.</w:t>
      </w:r>
      <w:r w:rsidRPr="00F42F00">
        <w:t xml:space="preserve"> </w:t>
      </w:r>
      <w:r w:rsidRPr="00F42F00">
        <w:rPr>
          <w:sz w:val="20"/>
          <w:szCs w:val="18"/>
        </w:rPr>
        <w:t>However, such experiences will only be reliably available after an introductory phase has expired.</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0542CD" w:rsidP="006B5DF1">
      <w:pPr>
        <w:rPr>
          <w:sz w:val="20"/>
          <w:szCs w:val="18"/>
        </w:rPr>
      </w:pPr>
      <w:r>
        <w:rPr>
          <w:rFonts w:eastAsia="Times New Roman"/>
          <w:noProof/>
          <w:color w:val="auto"/>
          <w:szCs w:val="22"/>
          <w:lang w:eastAsia="en-GB"/>
        </w:rPr>
        <w:pict w14:anchorId="0CC3EFB0">
          <v:rect id="_x0000_i1025" alt="" style="width:453.6pt;height:.05pt;mso-width-percent:0;mso-height-percent:0;mso-width-percent:0;mso-height-percent:0"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77777777" w:rsidR="006A64ED" w:rsidRPr="00AF763D" w:rsidRDefault="006A64ED" w:rsidP="006A64ED">
      <w:pPr>
        <w:spacing w:after="0"/>
        <w:rPr>
          <w:sz w:val="20"/>
          <w:szCs w:val="18"/>
        </w:rPr>
      </w:pPr>
      <w:permStart w:id="43591955" w:edGrp="everyone"/>
      <w:r w:rsidRPr="00AF763D">
        <w:rPr>
          <w:sz w:val="20"/>
          <w:szCs w:val="18"/>
        </w:rPr>
        <w:t>TYPE YOUR TEXT HERE</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77777777" w:rsidR="006A64ED" w:rsidRPr="00AF763D" w:rsidRDefault="006A64ED" w:rsidP="006A64ED">
      <w:pPr>
        <w:spacing w:after="0"/>
        <w:rPr>
          <w:sz w:val="20"/>
          <w:szCs w:val="18"/>
        </w:rPr>
      </w:pPr>
      <w:permStart w:id="611662945" w:edGrp="everyone"/>
      <w:r w:rsidRPr="00AF763D">
        <w:rPr>
          <w:sz w:val="20"/>
          <w:szCs w:val="18"/>
        </w:rPr>
        <w:t>TYPE YOUR TEXT HERE</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77777777" w:rsidR="006A64ED" w:rsidRPr="00AF763D" w:rsidRDefault="006A64ED" w:rsidP="006A64ED">
      <w:pPr>
        <w:spacing w:after="0"/>
        <w:rPr>
          <w:sz w:val="20"/>
          <w:szCs w:val="18"/>
        </w:rPr>
      </w:pPr>
      <w:permStart w:id="74010525" w:edGrp="everyone"/>
      <w:r w:rsidRPr="00AF763D">
        <w:rPr>
          <w:sz w:val="20"/>
          <w:szCs w:val="18"/>
        </w:rPr>
        <w:t>TYPE YOUR TEXT HERE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542CD" w:rsidP="006B5DF1">
      <w:pPr>
        <w:rPr>
          <w:sz w:val="20"/>
          <w:szCs w:val="18"/>
          <w:lang w:val="en-US"/>
        </w:rPr>
      </w:pPr>
      <w:r>
        <w:rPr>
          <w:rFonts w:eastAsia="Times New Roman"/>
          <w:noProof/>
          <w:color w:val="auto"/>
          <w:szCs w:val="22"/>
          <w:lang w:eastAsia="en-GB"/>
        </w:rPr>
        <w:pict w14:anchorId="301C2528">
          <v:rect id="_x0000_i1026" alt="" style="width:453.6pt;height:.05pt;mso-width-percent:0;mso-height-percent:0;mso-width-percent:0;mso-height-percent:0"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similar to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542CD" w:rsidP="006B5DF1">
      <w:pPr>
        <w:rPr>
          <w:rFonts w:eastAsia="Times New Roman"/>
          <w:color w:val="auto"/>
          <w:sz w:val="24"/>
          <w:szCs w:val="24"/>
          <w:lang w:eastAsia="en-GB"/>
        </w:rPr>
      </w:pPr>
      <w:r>
        <w:rPr>
          <w:rFonts w:eastAsia="Times New Roman"/>
          <w:noProof/>
          <w:color w:val="auto"/>
          <w:sz w:val="24"/>
          <w:szCs w:val="24"/>
          <w:lang w:eastAsia="en-GB"/>
        </w:rPr>
        <w:pict w14:anchorId="2ADFF5CF">
          <v:rect id="_x0000_i1027" alt="" style="width:453.6pt;height:.05pt;mso-width-percent:0;mso-height-percent:0;mso-width-percent:0;mso-height-percent:0"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3619016C" w:rsidR="006A64ED" w:rsidRPr="00AF763D" w:rsidRDefault="00A3357E" w:rsidP="006A64ED">
      <w:pPr>
        <w:spacing w:after="0"/>
        <w:rPr>
          <w:sz w:val="20"/>
          <w:szCs w:val="18"/>
        </w:rPr>
      </w:pPr>
      <w:permStart w:id="1970232525" w:edGrp="everyone"/>
      <w:r>
        <w:rPr>
          <w:sz w:val="20"/>
          <w:szCs w:val="18"/>
        </w:rPr>
        <w:t>Yes</w:t>
      </w:r>
      <w:r w:rsidR="006047BE">
        <w:rPr>
          <w:sz w:val="20"/>
          <w:szCs w:val="18"/>
        </w:rPr>
        <w:t>,</w:t>
      </w:r>
      <w:r>
        <w:rPr>
          <w:sz w:val="20"/>
          <w:szCs w:val="18"/>
        </w:rPr>
        <w:t xml:space="preserve"> we agree.</w:t>
      </w:r>
      <w:r w:rsidR="00B46289">
        <w:rPr>
          <w:sz w:val="20"/>
          <w:szCs w:val="18"/>
        </w:rPr>
        <w:t xml:space="preserve"> </w:t>
      </w:r>
      <w:r w:rsidR="00B46289" w:rsidRPr="00B46289">
        <w:rPr>
          <w:sz w:val="20"/>
          <w:szCs w:val="18"/>
        </w:rPr>
        <w:t xml:space="preserve">We should adopt </w:t>
      </w:r>
      <w:r w:rsidR="00B46289">
        <w:rPr>
          <w:sz w:val="20"/>
          <w:szCs w:val="18"/>
        </w:rPr>
        <w:t xml:space="preserve">the marking up rule, including </w:t>
      </w:r>
      <w:r w:rsidR="00B46289" w:rsidRPr="00B46289">
        <w:rPr>
          <w:sz w:val="20"/>
          <w:szCs w:val="18"/>
        </w:rPr>
        <w:t>the level of detail</w:t>
      </w:r>
      <w:r w:rsidR="00B46289">
        <w:rPr>
          <w:sz w:val="20"/>
          <w:szCs w:val="18"/>
        </w:rPr>
        <w:t>,</w:t>
      </w:r>
      <w:r w:rsidR="00B46289" w:rsidRPr="00B46289">
        <w:rPr>
          <w:sz w:val="20"/>
          <w:szCs w:val="18"/>
        </w:rPr>
        <w:t xml:space="preserve"> that has been mandatory in the United States for many years</w:t>
      </w:r>
      <w:r w:rsidR="008F4030">
        <w:rPr>
          <w:sz w:val="20"/>
          <w:szCs w:val="18"/>
        </w:rPr>
        <w:t>,</w:t>
      </w:r>
      <w:r w:rsidR="00B46289" w:rsidRPr="00B46289">
        <w:rPr>
          <w:sz w:val="20"/>
          <w:szCs w:val="18"/>
        </w:rPr>
        <w:t xml:space="preserve"> as quickly as possible.</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54C0A421" w14:textId="7BA0F65B" w:rsidR="006A64ED" w:rsidRPr="00AF763D" w:rsidRDefault="00A3357E" w:rsidP="006A64ED">
      <w:pPr>
        <w:spacing w:after="0"/>
        <w:rPr>
          <w:sz w:val="20"/>
          <w:szCs w:val="18"/>
        </w:rPr>
      </w:pPr>
      <w:r w:rsidRPr="00A3357E">
        <w:rPr>
          <w:sz w:val="20"/>
          <w:szCs w:val="18"/>
        </w:rPr>
        <w:t xml:space="preserve">The notes are established and not new, so we see no need for additional implementation periods for changes if the publication date included in the question is met. </w:t>
      </w:r>
      <w:r w:rsidR="006A64ED"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2681A8A2" w14:textId="437FDBC9" w:rsidR="00B46289" w:rsidRPr="00AF763D" w:rsidRDefault="00461AD8" w:rsidP="00B46289">
      <w:pPr>
        <w:spacing w:after="0"/>
        <w:rPr>
          <w:sz w:val="20"/>
          <w:szCs w:val="18"/>
        </w:rPr>
      </w:pPr>
      <w:permStart w:id="662070572" w:edGrp="everyone"/>
      <w:r w:rsidRPr="00461AD8">
        <w:rPr>
          <w:sz w:val="20"/>
          <w:szCs w:val="18"/>
        </w:rPr>
        <w:t>Yes, we agree. We should adopt markup rule</w:t>
      </w:r>
      <w:r>
        <w:rPr>
          <w:sz w:val="20"/>
          <w:szCs w:val="18"/>
        </w:rPr>
        <w:t>s</w:t>
      </w:r>
      <w:r w:rsidRPr="00461AD8">
        <w:rPr>
          <w:sz w:val="20"/>
          <w:szCs w:val="18"/>
        </w:rPr>
        <w:t>, including the required level of detail, that has been mandatory in the U.S. for years as soon as possible. Since companies here already have several years of experience with markup, we don't see the need for a phased approach. We believe this would only create unnecessary extra work for all stakeholders.</w:t>
      </w:r>
    </w:p>
    <w:p w14:paraId="471B4256" w14:textId="4F6E0245" w:rsidR="006A64ED" w:rsidRPr="0038734F" w:rsidRDefault="006A64ED" w:rsidP="006A64ED">
      <w:pPr>
        <w:spacing w:after="0"/>
        <w:rPr>
          <w:sz w:val="20"/>
          <w:szCs w:val="18"/>
          <w:lang w:val="en-US"/>
        </w:rPr>
      </w:pP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0A56D5" w:rsidRDefault="006A64ED" w:rsidP="006A64ED">
      <w:pPr>
        <w:spacing w:after="0"/>
        <w:rPr>
          <w:sz w:val="20"/>
          <w:szCs w:val="18"/>
          <w:lang w:val="en-US"/>
        </w:rPr>
      </w:pPr>
      <w:r w:rsidRPr="000346BB">
        <w:rPr>
          <w:rFonts w:eastAsia="Times New Roman"/>
          <w:color w:val="auto"/>
          <w:szCs w:val="22"/>
          <w:lang w:val="en-US" w:eastAsia="en-GB"/>
        </w:rPr>
        <w:br/>
      </w:r>
      <w:r w:rsidRPr="000A56D5">
        <w:rPr>
          <w:sz w:val="20"/>
          <w:szCs w:val="18"/>
          <w:lang w:val="en-US"/>
        </w:rPr>
        <w:t>&lt;ESMA_QUESTION_ESEFEEAP_18&gt;</w:t>
      </w:r>
    </w:p>
    <w:p w14:paraId="3DB53B89" w14:textId="74D9A2D6" w:rsidR="006A64ED" w:rsidRPr="0038734F" w:rsidRDefault="000A56D5" w:rsidP="006A64ED">
      <w:pPr>
        <w:spacing w:after="0"/>
        <w:rPr>
          <w:sz w:val="20"/>
          <w:szCs w:val="18"/>
          <w:lang w:val="en-US"/>
        </w:rPr>
      </w:pPr>
      <w:permStart w:id="419173650" w:edGrp="everyone"/>
      <w:r w:rsidRPr="000A56D5">
        <w:rPr>
          <w:sz w:val="20"/>
          <w:szCs w:val="18"/>
        </w:rPr>
        <w:t>Yes, we agree. There is significant value in the detailed marking up of the Notes to the IFRS consolidated financial statements, as has been required in the USA for years. We believe the effort required by companies to create company-specific elements, along with the annual tagging, is relatively low compared to the upfront effort needed to gather this information internally and establish the necessary internal control processes.</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00037B8C" w:rsidR="006A64ED" w:rsidRPr="00AF763D" w:rsidRDefault="00A05298" w:rsidP="006A64ED">
      <w:pPr>
        <w:spacing w:after="0"/>
        <w:rPr>
          <w:sz w:val="20"/>
          <w:szCs w:val="18"/>
        </w:rPr>
      </w:pPr>
      <w:permStart w:id="83845519" w:edGrp="everyone"/>
      <w:r>
        <w:rPr>
          <w:sz w:val="20"/>
          <w:szCs w:val="18"/>
        </w:rPr>
        <w:t>Yes we agree.</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lastRenderedPageBreak/>
        <w:br/>
      </w:r>
      <w:r w:rsidRPr="00AF763D">
        <w:rPr>
          <w:sz w:val="20"/>
          <w:szCs w:val="18"/>
        </w:rPr>
        <w:t>&lt;ESMA_QUESTION_ESEFEEAP_20&gt;</w:t>
      </w:r>
    </w:p>
    <w:p w14:paraId="7E11D364" w14:textId="6045B6B3" w:rsidR="006A64ED" w:rsidRPr="00AF763D" w:rsidRDefault="00A05298" w:rsidP="006A64ED">
      <w:pPr>
        <w:spacing w:after="0"/>
        <w:rPr>
          <w:sz w:val="20"/>
          <w:szCs w:val="18"/>
        </w:rPr>
      </w:pPr>
      <w:permStart w:id="1357663695" w:edGrp="everyone"/>
      <w:r>
        <w:rPr>
          <w:sz w:val="20"/>
          <w:szCs w:val="18"/>
        </w:rPr>
        <w:t>Yes, but establish a process, what an entity should do, if mandatory data is not existing.</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70ABC890" w14:textId="77777777" w:rsidR="00084C2E" w:rsidRDefault="00084C2E" w:rsidP="006A64ED">
      <w:pPr>
        <w:spacing w:after="0"/>
        <w:rPr>
          <w:sz w:val="20"/>
          <w:szCs w:val="18"/>
        </w:rPr>
      </w:pPr>
    </w:p>
    <w:p w14:paraId="1ED7E255" w14:textId="3B16B1B2" w:rsidR="006A64ED" w:rsidRPr="00AF763D" w:rsidRDefault="006A64ED" w:rsidP="006A64ED">
      <w:pPr>
        <w:spacing w:after="0"/>
        <w:rPr>
          <w:sz w:val="20"/>
          <w:szCs w:val="18"/>
        </w:rPr>
      </w:pPr>
      <w:r w:rsidRPr="00AF763D">
        <w:rPr>
          <w:sz w:val="20"/>
          <w:szCs w:val="18"/>
        </w:rPr>
        <w:t>&lt;ESMA_QUESTION_ESEFEEAP_21&gt;</w:t>
      </w:r>
    </w:p>
    <w:p w14:paraId="5B128B8D" w14:textId="7B050CB6" w:rsidR="006A64ED" w:rsidRPr="00AF763D" w:rsidRDefault="00A05298" w:rsidP="006A64ED">
      <w:pPr>
        <w:spacing w:after="0"/>
        <w:rPr>
          <w:sz w:val="20"/>
          <w:szCs w:val="18"/>
        </w:rPr>
      </w:pPr>
      <w:permStart w:id="268056993" w:edGrp="everyone"/>
      <w:r>
        <w:rPr>
          <w:sz w:val="20"/>
          <w:szCs w:val="18"/>
        </w:rPr>
        <w:t>Yes we agree.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4779A5D9" w:rsidR="006A64ED" w:rsidRPr="00AF763D" w:rsidRDefault="00A05298" w:rsidP="006A64ED">
      <w:pPr>
        <w:spacing w:after="0"/>
        <w:rPr>
          <w:sz w:val="20"/>
          <w:szCs w:val="18"/>
        </w:rPr>
      </w:pPr>
      <w:permStart w:id="1477533567" w:edGrp="everyone"/>
      <w:r>
        <w:rPr>
          <w:sz w:val="20"/>
          <w:szCs w:val="18"/>
        </w:rPr>
        <w:t>Yes we agree.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542CD" w:rsidP="006A64ED">
      <w:pPr>
        <w:spacing w:after="0"/>
        <w:rPr>
          <w:sz w:val="20"/>
          <w:szCs w:val="18"/>
        </w:rPr>
      </w:pPr>
      <w:r>
        <w:rPr>
          <w:rFonts w:eastAsia="Times New Roman"/>
          <w:noProof/>
          <w:color w:val="auto"/>
          <w:szCs w:val="22"/>
          <w:lang w:eastAsia="en-GB"/>
        </w:rPr>
        <w:pict w14:anchorId="61DC2E14">
          <v:rect id="_x0000_i1028" alt="" style="width:453.6pt;height:.05pt;mso-width-percent:0;mso-height-percent:0;mso-width-percent:0;mso-height-percent:0"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542CD">
        <w:rPr>
          <w:rFonts w:eastAsia="Times New Roman"/>
          <w:noProof/>
          <w:color w:val="auto"/>
          <w:szCs w:val="22"/>
          <w:lang w:eastAsia="en-GB"/>
        </w:rPr>
        <w:pict w14:anchorId="208BE29E">
          <v:rect id="_x0000_i1029" alt="" style="width:453.6pt;height:.05pt;mso-width-percent:0;mso-height-percent:0;mso-width-percent:0;mso-height-percent:0"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542CD" w:rsidP="005D3762">
      <w:pPr>
        <w:rPr>
          <w:color w:val="00379F" w:themeColor="text1"/>
          <w:sz w:val="20"/>
          <w:szCs w:val="18"/>
        </w:rPr>
      </w:pPr>
      <w:r>
        <w:rPr>
          <w:rFonts w:eastAsia="Times New Roman"/>
          <w:noProof/>
          <w:color w:val="00379F" w:themeColor="text1"/>
          <w:szCs w:val="22"/>
          <w:lang w:eastAsia="en-GB"/>
        </w:rPr>
        <w:pict w14:anchorId="43AD0757">
          <v:rect id="_x0000_i1030" alt="" style="width:453.6pt;height:.05pt;mso-width-percent:0;mso-height-percent:0;mso-width-percent:0;mso-height-percent:0"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0346BB" w:rsidRDefault="00AF763D" w:rsidP="00AF763D">
      <w:pPr>
        <w:spacing w:after="0"/>
        <w:rPr>
          <w:sz w:val="20"/>
          <w:szCs w:val="18"/>
          <w:lang w:val="en-US"/>
        </w:rPr>
      </w:pPr>
      <w:r w:rsidRPr="000346BB">
        <w:rPr>
          <w:sz w:val="20"/>
          <w:szCs w:val="18"/>
          <w:lang w:val="en-US"/>
        </w:rPr>
        <w:t>&lt;ESMA_QUESTION_ESEFEEAP_27&gt;</w:t>
      </w:r>
    </w:p>
    <w:p w14:paraId="4EE90BB9" w14:textId="37F8702B" w:rsidR="00AF763D" w:rsidRPr="000346BB" w:rsidRDefault="00AF763D" w:rsidP="00AF763D">
      <w:pPr>
        <w:spacing w:after="0"/>
        <w:rPr>
          <w:sz w:val="20"/>
          <w:szCs w:val="18"/>
          <w:lang w:val="en-US"/>
        </w:rPr>
      </w:pPr>
      <w:permStart w:id="1231181901" w:edGrp="everyone"/>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40B5F4D0" w:rsidR="00AF763D" w:rsidRPr="00AF763D" w:rsidRDefault="000A56D5" w:rsidP="00AF763D">
      <w:pPr>
        <w:spacing w:after="0"/>
        <w:rPr>
          <w:sz w:val="20"/>
          <w:szCs w:val="18"/>
        </w:rPr>
      </w:pPr>
      <w:permStart w:id="891377430" w:edGrp="everyone"/>
      <w:r w:rsidRPr="000A56D5">
        <w:rPr>
          <w:sz w:val="20"/>
          <w:szCs w:val="18"/>
        </w:rPr>
        <w:t xml:space="preserve">We support option 2. The information that issuers have </w:t>
      </w:r>
      <w:r w:rsidR="006C2516" w:rsidRPr="006C2516">
        <w:rPr>
          <w:sz w:val="20"/>
          <w:szCs w:val="18"/>
        </w:rPr>
        <w:t xml:space="preserve">laboriously </w:t>
      </w:r>
      <w:r w:rsidRPr="000A56D5">
        <w:rPr>
          <w:sz w:val="20"/>
          <w:szCs w:val="18"/>
        </w:rPr>
        <w:t>gathered should also be made machine-readable, or the obligation to collect it should be removed entirely if it’s not deemed important. The benefits of machine-readable information far outweigh the additional effort required for electronic markup. While a phased introduction may seem appealing in theory, considering the overall costs, it would result in duplicate work for stakeholders, leading to significant additional costs for everyone involved.</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DD92A18" w:rsidR="00AF763D" w:rsidRPr="00AF763D" w:rsidRDefault="003C451F" w:rsidP="00AF763D">
      <w:pPr>
        <w:spacing w:after="0"/>
        <w:rPr>
          <w:sz w:val="20"/>
          <w:szCs w:val="18"/>
        </w:rPr>
      </w:pPr>
      <w:permStart w:id="1546392288" w:edGrp="everyone"/>
      <w:r w:rsidRPr="003C451F">
        <w:rPr>
          <w:sz w:val="20"/>
          <w:szCs w:val="18"/>
        </w:rPr>
        <w:t xml:space="preserve">We vote for </w:t>
      </w:r>
      <w:r>
        <w:rPr>
          <w:sz w:val="20"/>
          <w:szCs w:val="18"/>
        </w:rPr>
        <w:t>the baseline scenario</w:t>
      </w:r>
      <w:r w:rsidRPr="003C451F">
        <w:rPr>
          <w:sz w:val="20"/>
          <w:szCs w:val="18"/>
        </w:rPr>
        <w:t xml:space="preserve">. </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lastRenderedPageBreak/>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4988CA1C" w:rsidR="00AF763D" w:rsidRPr="00AF763D" w:rsidRDefault="006C2516" w:rsidP="00AF763D">
      <w:pPr>
        <w:spacing w:after="0"/>
        <w:rPr>
          <w:sz w:val="20"/>
          <w:szCs w:val="18"/>
        </w:rPr>
      </w:pPr>
      <w:permStart w:id="929779331" w:edGrp="everyone"/>
      <w:r w:rsidRPr="006C2516">
        <w:rPr>
          <w:sz w:val="20"/>
          <w:szCs w:val="18"/>
        </w:rPr>
        <w:t xml:space="preserve">We support option 2. The information that issuers have laboriously gathered should also be made machine-readable, or the obligation to collect it should be removed entirely if it is not considered important. The benefits of machine-readable information far outweigh the additional effort required for electronic markup. While a phased introduction may seem appealing in principle, when considering the overall costs, it would lead to duplicate work for stakeholders and, consequently, significant additional costs for everyone involved. The detailed marking of the notes to financial statements, as has been required in the USA for years, is essential. Criteria such as depth of detail, data quality, transparency, evaluability, comparability, information costs, and the usability of data for automation and AI applications are crucial in global capital market competition. We cannot afford to </w:t>
      </w:r>
      <w:r>
        <w:rPr>
          <w:sz w:val="20"/>
          <w:szCs w:val="18"/>
        </w:rPr>
        <w:t xml:space="preserve">continue to lag </w:t>
      </w:r>
      <w:r w:rsidRPr="006C2516">
        <w:rPr>
          <w:sz w:val="20"/>
          <w:szCs w:val="18"/>
        </w:rPr>
        <w:t xml:space="preserve"> behind the US capital market in this regard.</w:t>
      </w:r>
      <w:r>
        <w:rPr>
          <w:sz w:val="20"/>
          <w:szCs w:val="18"/>
        </w:rPr>
        <w:t xml:space="preserve"> </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0B1361AC" w14:textId="50A9B589" w:rsidR="00AF763D" w:rsidRPr="00AF763D" w:rsidRDefault="00082DC9" w:rsidP="00AF763D">
      <w:pPr>
        <w:rPr>
          <w:sz w:val="20"/>
          <w:szCs w:val="18"/>
        </w:rPr>
      </w:pPr>
      <w:permStart w:id="701313514" w:edGrp="everyone"/>
      <w:r w:rsidRPr="003C451F">
        <w:rPr>
          <w:sz w:val="20"/>
          <w:szCs w:val="18"/>
        </w:rPr>
        <w:t xml:space="preserve">We vote for option 2. </w:t>
      </w:r>
      <w:permEnd w:id="701313514"/>
      <w:r w:rsidR="00AF763D" w:rsidRPr="00AF763D">
        <w:rPr>
          <w:sz w:val="20"/>
          <w:szCs w:val="18"/>
        </w:rPr>
        <w:t>&lt;ESMA_QUESTION_ESEFEEAP_33&gt;</w:t>
      </w:r>
      <w:r w:rsidR="000542CD">
        <w:rPr>
          <w:rFonts w:eastAsia="Times New Roman"/>
          <w:noProof/>
          <w:color w:val="auto"/>
          <w:szCs w:val="22"/>
          <w:lang w:eastAsia="en-GB"/>
        </w:rPr>
        <w:pict w14:anchorId="7FB9E0B7">
          <v:rect id="_x0000_i1031" alt="" style="width:453.6pt;height:.05pt;mso-width-percent:0;mso-height-percent:0;mso-width-percent:0;mso-height-percent:0"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542CD" w:rsidP="00AF763D">
      <w:pPr>
        <w:rPr>
          <w:sz w:val="20"/>
          <w:szCs w:val="18"/>
        </w:rPr>
      </w:pPr>
      <w:r>
        <w:rPr>
          <w:rFonts w:eastAsia="Times New Roman"/>
          <w:noProof/>
          <w:color w:val="auto"/>
          <w:szCs w:val="22"/>
          <w:lang w:eastAsia="en-GB"/>
        </w:rPr>
        <w:pict w14:anchorId="7A7E4D2F">
          <v:rect id="_x0000_i1032" alt="" style="width:453.6pt;height:.05pt;mso-width-percent:0;mso-height-percent:0;mso-width-percent:0;mso-height-percent:0"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lastRenderedPageBreak/>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D0A2" w14:textId="77777777" w:rsidR="007235F5" w:rsidRDefault="007235F5" w:rsidP="00F716D4">
      <w:r>
        <w:separator/>
      </w:r>
    </w:p>
    <w:p w14:paraId="3DEEB6D6" w14:textId="77777777" w:rsidR="007235F5" w:rsidRDefault="007235F5" w:rsidP="00F716D4"/>
  </w:endnote>
  <w:endnote w:type="continuationSeparator" w:id="0">
    <w:p w14:paraId="4A4CDFE1" w14:textId="77777777" w:rsidR="007235F5" w:rsidRDefault="007235F5" w:rsidP="00F716D4">
      <w:r>
        <w:continuationSeparator/>
      </w:r>
    </w:p>
    <w:p w14:paraId="0235A7B0" w14:textId="77777777" w:rsidR="007235F5" w:rsidRDefault="007235F5" w:rsidP="00F716D4"/>
  </w:endnote>
  <w:endnote w:type="continuationNotice" w:id="1">
    <w:p w14:paraId="3726F333" w14:textId="77777777" w:rsidR="007235F5" w:rsidRDefault="007235F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1CDA6D17" w:rsidR="00C54034" w:rsidRPr="00104E00" w:rsidRDefault="00C54034" w:rsidP="00104E00">
    <w:pPr>
      <w:pStyle w:val="Footer"/>
      <w:jc w:val="left"/>
      <w:rPr>
        <w:color w:val="001B4F"/>
        <w:sz w:val="15"/>
        <w:szCs w:val="15"/>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4248" w14:textId="77777777" w:rsidR="007235F5" w:rsidRDefault="007235F5" w:rsidP="00F716D4">
      <w:r>
        <w:separator/>
      </w:r>
    </w:p>
    <w:p w14:paraId="42B0A38A" w14:textId="77777777" w:rsidR="007235F5" w:rsidRDefault="007235F5" w:rsidP="00F716D4"/>
  </w:footnote>
  <w:footnote w:type="continuationSeparator" w:id="0">
    <w:p w14:paraId="53C178FF" w14:textId="77777777" w:rsidR="007235F5" w:rsidRDefault="007235F5" w:rsidP="00F716D4">
      <w:r>
        <w:continuationSeparator/>
      </w:r>
    </w:p>
    <w:p w14:paraId="404BB896" w14:textId="77777777" w:rsidR="007235F5" w:rsidRDefault="007235F5" w:rsidP="00F716D4"/>
  </w:footnote>
  <w:footnote w:type="continuationNotice" w:id="1">
    <w:p w14:paraId="5EC6D527" w14:textId="77777777" w:rsidR="007235F5" w:rsidRDefault="007235F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5B1F" w14:textId="31AC0E97" w:rsidR="004E60D2" w:rsidRDefault="004E60D2" w:rsidP="001853C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6CB" w14:textId="30B89484" w:rsidR="00F107EF" w:rsidRPr="00F87468" w:rsidRDefault="00F107EF" w:rsidP="005C56D3">
    <w:pPr>
      <w:pStyle w:val="HeaderFoo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C2E"/>
    <w:rsid w:val="00020D0F"/>
    <w:rsid w:val="000215EB"/>
    <w:rsid w:val="00021C96"/>
    <w:rsid w:val="00021E83"/>
    <w:rsid w:val="00023713"/>
    <w:rsid w:val="00023C4D"/>
    <w:rsid w:val="000253FF"/>
    <w:rsid w:val="00025E71"/>
    <w:rsid w:val="00026226"/>
    <w:rsid w:val="00026269"/>
    <w:rsid w:val="00027154"/>
    <w:rsid w:val="00027ECF"/>
    <w:rsid w:val="000303BE"/>
    <w:rsid w:val="00033A94"/>
    <w:rsid w:val="000344D6"/>
    <w:rsid w:val="000346BB"/>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2CD"/>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DC9"/>
    <w:rsid w:val="00082E31"/>
    <w:rsid w:val="00083AA3"/>
    <w:rsid w:val="00084C2E"/>
    <w:rsid w:val="00085947"/>
    <w:rsid w:val="000868FE"/>
    <w:rsid w:val="00087206"/>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56D5"/>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21C"/>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925"/>
    <w:rsid w:val="00117C20"/>
    <w:rsid w:val="00120F0E"/>
    <w:rsid w:val="00121A5D"/>
    <w:rsid w:val="00121BED"/>
    <w:rsid w:val="00123D39"/>
    <w:rsid w:val="001244CD"/>
    <w:rsid w:val="0012566F"/>
    <w:rsid w:val="001262B1"/>
    <w:rsid w:val="00130F41"/>
    <w:rsid w:val="00130FAF"/>
    <w:rsid w:val="001337B0"/>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C626E"/>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2F12"/>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457"/>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B8"/>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D"/>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34F"/>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51F"/>
    <w:rsid w:val="003C462F"/>
    <w:rsid w:val="003C46F7"/>
    <w:rsid w:val="003C4A02"/>
    <w:rsid w:val="003C4F05"/>
    <w:rsid w:val="003C6191"/>
    <w:rsid w:val="003C6E49"/>
    <w:rsid w:val="003D0CBF"/>
    <w:rsid w:val="003D0DD6"/>
    <w:rsid w:val="003D2014"/>
    <w:rsid w:val="003D4B73"/>
    <w:rsid w:val="003D503B"/>
    <w:rsid w:val="003D605E"/>
    <w:rsid w:val="003D61D1"/>
    <w:rsid w:val="003D6780"/>
    <w:rsid w:val="003D6DB1"/>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AD8"/>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1E6"/>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A61F5"/>
    <w:rsid w:val="004A7275"/>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9DC"/>
    <w:rsid w:val="00531C6D"/>
    <w:rsid w:val="00532EF4"/>
    <w:rsid w:val="005347CE"/>
    <w:rsid w:val="00535477"/>
    <w:rsid w:val="00535DEA"/>
    <w:rsid w:val="0053723A"/>
    <w:rsid w:val="00537636"/>
    <w:rsid w:val="00537B1D"/>
    <w:rsid w:val="00540191"/>
    <w:rsid w:val="00540A2A"/>
    <w:rsid w:val="00541F27"/>
    <w:rsid w:val="00542297"/>
    <w:rsid w:val="005423B4"/>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4AD"/>
    <w:rsid w:val="00583885"/>
    <w:rsid w:val="005860AF"/>
    <w:rsid w:val="00587F1D"/>
    <w:rsid w:val="00590348"/>
    <w:rsid w:val="00591161"/>
    <w:rsid w:val="00592318"/>
    <w:rsid w:val="00593133"/>
    <w:rsid w:val="0059575D"/>
    <w:rsid w:val="00596825"/>
    <w:rsid w:val="00597BCA"/>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2F7F"/>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47BE"/>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C79"/>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516"/>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5F5"/>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36C7"/>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E97"/>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3AE"/>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DAE"/>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030C"/>
    <w:rsid w:val="008E1B6A"/>
    <w:rsid w:val="008E3054"/>
    <w:rsid w:val="008E32FF"/>
    <w:rsid w:val="008E5625"/>
    <w:rsid w:val="008E5C5B"/>
    <w:rsid w:val="008E6A37"/>
    <w:rsid w:val="008F0354"/>
    <w:rsid w:val="008F085A"/>
    <w:rsid w:val="008F1462"/>
    <w:rsid w:val="008F19D8"/>
    <w:rsid w:val="008F2413"/>
    <w:rsid w:val="008F248D"/>
    <w:rsid w:val="008F4030"/>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3F3"/>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398"/>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5298"/>
    <w:rsid w:val="00A06340"/>
    <w:rsid w:val="00A0684F"/>
    <w:rsid w:val="00A06867"/>
    <w:rsid w:val="00A10148"/>
    <w:rsid w:val="00A10EE7"/>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57E"/>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1E8C"/>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48B"/>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6289"/>
    <w:rsid w:val="00B472AB"/>
    <w:rsid w:val="00B47CE4"/>
    <w:rsid w:val="00B503A8"/>
    <w:rsid w:val="00B5121D"/>
    <w:rsid w:val="00B51427"/>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A9E"/>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21DE"/>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74A"/>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031A"/>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07"/>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59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4DFA"/>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7B87"/>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0AE"/>
    <w:rsid w:val="00F341A7"/>
    <w:rsid w:val="00F3568B"/>
    <w:rsid w:val="00F377CD"/>
    <w:rsid w:val="00F40C3B"/>
    <w:rsid w:val="00F40CE0"/>
    <w:rsid w:val="00F42DBC"/>
    <w:rsid w:val="00F42F00"/>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8C3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5519">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89887">
      <w:bodyDiv w:val="1"/>
      <w:marLeft w:val="0"/>
      <w:marRight w:val="0"/>
      <w:marTop w:val="0"/>
      <w:marBottom w:val="0"/>
      <w:divBdr>
        <w:top w:val="none" w:sz="0" w:space="0" w:color="auto"/>
        <w:left w:val="none" w:sz="0" w:space="0" w:color="auto"/>
        <w:bottom w:val="none" w:sz="0" w:space="0" w:color="auto"/>
        <w:right w:val="none" w:sz="0" w:space="0" w:color="auto"/>
      </w:divBdr>
    </w:div>
    <w:div w:id="1680815167">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115228">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sma.europa.eu" TargetMode="External"/><Relationship Id="rId7" Type="http://schemas.openxmlformats.org/officeDocument/2006/relationships/endnotes" Target="endnotes.xml"/><Relationship Id="rId25"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AF75-7265-4813-A14F-E2C67DF2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3354</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2025-03-25T10:20:00Z</dcterms:created>
  <dcterms:modified xsi:type="dcterms:W3CDTF">2025-03-25T10:56:00Z</dcterms:modified>
</cp:coreProperties>
</file>