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ubtitle"/>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0AA1277" id="Freeform: Shape 1" o:spid="_x0000_s1026"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ListParagraph"/>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ListParagraph"/>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ListParagraph"/>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Paragraph"/>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ListParagraph"/>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ListParagraph"/>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ListParagraph"/>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ListParagraph"/>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ListParagraph"/>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Hyperlink"/>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ceholderText"/>
              <w:sz w:val="20"/>
              <w:szCs w:val="18"/>
            </w:rPr>
            <w:id w:val="-179280767"/>
            <w:text/>
          </w:sdtPr>
          <w:sdtContent>
            <w:tc>
              <w:tcPr>
                <w:tcW w:w="6997" w:type="dxa"/>
                <w:gridSpan w:val="4"/>
              </w:tcPr>
              <w:p w14:paraId="0D7893C6" w14:textId="75437593" w:rsidR="0030108F" w:rsidRDefault="001A32A3" w:rsidP="008A50BE">
                <w:pPr>
                  <w:spacing w:after="120"/>
                  <w:rPr>
                    <w:sz w:val="20"/>
                    <w:szCs w:val="18"/>
                  </w:rPr>
                </w:pPr>
                <w:proofErr w:type="spellStart"/>
                <w:r>
                  <w:rPr>
                    <w:rStyle w:val="PlaceholderText"/>
                    <w:sz w:val="20"/>
                    <w:szCs w:val="18"/>
                  </w:rPr>
                  <w:t>D</w:t>
                </w:r>
                <w:r>
                  <w:rPr>
                    <w:rStyle w:val="PlaceholderText"/>
                    <w:szCs w:val="18"/>
                  </w:rPr>
                  <w:t>r.</w:t>
                </w:r>
                <w:proofErr w:type="spellEnd"/>
                <w:r>
                  <w:rPr>
                    <w:rStyle w:val="PlaceholderText"/>
                    <w:szCs w:val="18"/>
                  </w:rPr>
                  <w:t xml:space="preserve"> </w:t>
                </w:r>
                <w:r w:rsidR="00BC2657">
                  <w:rPr>
                    <w:rStyle w:val="PlaceholderText"/>
                    <w:sz w:val="20"/>
                    <w:szCs w:val="18"/>
                  </w:rPr>
                  <w:t>M</w:t>
                </w:r>
                <w:r w:rsidR="00BC2657">
                  <w:rPr>
                    <w:rStyle w:val="PlaceholderText"/>
                    <w:szCs w:val="18"/>
                  </w:rPr>
                  <w:t xml:space="preserve">ax </w:t>
                </w:r>
                <w:r w:rsidR="00984F83">
                  <w:rPr>
                    <w:rStyle w:val="PlaceholderText"/>
                    <w:szCs w:val="18"/>
                  </w:rPr>
                  <w:t>Gutbrod</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Content>
            <w:tc>
              <w:tcPr>
                <w:tcW w:w="6997" w:type="dxa"/>
                <w:gridSpan w:val="4"/>
                <w:vAlign w:val="center"/>
              </w:tcPr>
              <w:p w14:paraId="4D2A02E5" w14:textId="6011C5DE" w:rsidR="00DE432B" w:rsidRDefault="00984F83"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6997" w:type="dxa"/>
                <w:gridSpan w:val="4"/>
                <w:vAlign w:val="center"/>
              </w:tcPr>
              <w:p w14:paraId="4CD6FA00" w14:textId="59874D2D" w:rsidR="00DE432B" w:rsidRDefault="00984F83" w:rsidP="008A50BE">
                <w:pPr>
                  <w:spacing w:after="120"/>
                  <w:rPr>
                    <w:sz w:val="20"/>
                    <w:szCs w:val="18"/>
                  </w:rPr>
                </w:pPr>
                <w:r>
                  <w:rPr>
                    <w:sz w:val="20"/>
                    <w:szCs w:val="18"/>
                  </w:rPr>
                  <w:t>G</w:t>
                </w:r>
                <w:r>
                  <w:rPr>
                    <w:sz w:val="20"/>
                  </w:rPr>
                  <w:t>ermany</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1"/>
              <w14:checkedState w14:val="2612" w14:font="MS Gothic"/>
              <w14:uncheckedState w14:val="2610" w14:font="MS Gothic"/>
            </w14:checkbox>
          </w:sdtPr>
          <w:sdtContent>
            <w:tc>
              <w:tcPr>
                <w:tcW w:w="425" w:type="dxa"/>
                <w:vMerge w:val="restart"/>
              </w:tcPr>
              <w:p w14:paraId="39A245A0" w14:textId="1F7F96B2" w:rsidR="008203B2" w:rsidRDefault="00472DAE"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1"/>
              <w14:checkedState w14:val="2612" w14:font="MS Gothic"/>
              <w14:uncheckedState w14:val="2610" w14:font="MS Gothic"/>
            </w14:checkbox>
          </w:sdtPr>
          <w:sdtContent>
            <w:tc>
              <w:tcPr>
                <w:tcW w:w="416" w:type="dxa"/>
              </w:tcPr>
              <w:p w14:paraId="29459430" w14:textId="250D0695" w:rsidR="008203B2" w:rsidRDefault="00472DAE"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showingPlcHdr/>
            <w:text/>
          </w:sdt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cehold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03D582E4" w14:textId="77777777" w:rsidR="003E76E5" w:rsidRDefault="007457A6" w:rsidP="00E176E2">
      <w:pPr>
        <w:pStyle w:val="ListParagraph"/>
        <w:numPr>
          <w:ilvl w:val="0"/>
          <w:numId w:val="38"/>
        </w:numPr>
        <w:spacing w:after="0"/>
        <w:rPr>
          <w:sz w:val="20"/>
          <w:szCs w:val="18"/>
          <w:lang w:val="en-US"/>
        </w:rPr>
      </w:pPr>
      <w:permStart w:id="1107116594" w:edGrp="everyone"/>
      <w:r>
        <w:rPr>
          <w:sz w:val="20"/>
          <w:szCs w:val="18"/>
        </w:rPr>
        <w:t>No</w:t>
      </w:r>
      <w:r w:rsidR="00833337" w:rsidRPr="0024294C">
        <w:rPr>
          <w:sz w:val="20"/>
          <w:szCs w:val="18"/>
        </w:rPr>
        <w:t>. 59</w:t>
      </w:r>
      <w:r w:rsidR="00D24321" w:rsidRPr="0024294C">
        <w:rPr>
          <w:sz w:val="20"/>
          <w:szCs w:val="18"/>
          <w:lang w:val="en-US"/>
        </w:rPr>
        <w:t xml:space="preserve"> </w:t>
      </w:r>
      <w:r w:rsidR="00974F6B" w:rsidRPr="0024294C">
        <w:rPr>
          <w:sz w:val="20"/>
          <w:szCs w:val="18"/>
          <w:lang w:val="en-US"/>
        </w:rPr>
        <w:t>(</w:t>
      </w:r>
      <w:r w:rsidR="00833337" w:rsidRPr="0024294C">
        <w:rPr>
          <w:sz w:val="20"/>
          <w:szCs w:val="18"/>
          <w:lang w:val="en-US"/>
        </w:rPr>
        <w:t>“</w:t>
      </w:r>
      <w:r w:rsidR="008C14EE" w:rsidRPr="0024294C">
        <w:rPr>
          <w:sz w:val="20"/>
          <w:szCs w:val="18"/>
          <w:lang w:val="en-US"/>
        </w:rPr>
        <w:t>Additional entity-specific metrics: include disclosures required by other legislation or Generally Accepted Sustainability Reporting Standards and frameworks (implemented via “Other” MDR-M in the taxonomy</w:t>
      </w:r>
      <w:r w:rsidR="00833337" w:rsidRPr="0024294C">
        <w:rPr>
          <w:sz w:val="20"/>
          <w:szCs w:val="18"/>
          <w:lang w:val="en-US"/>
        </w:rPr>
        <w:t>”</w:t>
      </w:r>
      <w:r w:rsidR="00974F6B" w:rsidRPr="0024294C">
        <w:rPr>
          <w:sz w:val="20"/>
          <w:szCs w:val="18"/>
          <w:lang w:val="en-US"/>
        </w:rPr>
        <w:t xml:space="preserve">) </w:t>
      </w:r>
      <w:r w:rsidR="0085051E">
        <w:rPr>
          <w:sz w:val="20"/>
          <w:szCs w:val="18"/>
          <w:lang w:val="en-US"/>
        </w:rPr>
        <w:t>is characteristic for what appears t</w:t>
      </w:r>
      <w:r w:rsidR="00E34BF8">
        <w:rPr>
          <w:sz w:val="20"/>
          <w:szCs w:val="18"/>
          <w:lang w:val="en-US"/>
        </w:rPr>
        <w:t>o be a much</w:t>
      </w:r>
      <w:r>
        <w:rPr>
          <w:sz w:val="20"/>
          <w:szCs w:val="18"/>
          <w:lang w:val="en-US"/>
        </w:rPr>
        <w:t xml:space="preserve"> to</w:t>
      </w:r>
      <w:r w:rsidR="00E34BF8">
        <w:rPr>
          <w:sz w:val="20"/>
          <w:szCs w:val="18"/>
          <w:lang w:val="en-US"/>
        </w:rPr>
        <w:t>o</w:t>
      </w:r>
      <w:r>
        <w:rPr>
          <w:sz w:val="20"/>
          <w:szCs w:val="18"/>
          <w:lang w:val="en-US"/>
        </w:rPr>
        <w:t xml:space="preserve"> narrow description of what should be considered by </w:t>
      </w:r>
      <w:r w:rsidR="00E34BF8">
        <w:rPr>
          <w:sz w:val="20"/>
          <w:szCs w:val="18"/>
          <w:lang w:val="en-US"/>
        </w:rPr>
        <w:t>rules and implementing action</w:t>
      </w:r>
      <w:r w:rsidR="00974F6B" w:rsidRPr="0024294C">
        <w:rPr>
          <w:sz w:val="20"/>
          <w:szCs w:val="18"/>
          <w:lang w:val="en-US"/>
        </w:rPr>
        <w:t xml:space="preserve">. </w:t>
      </w:r>
      <w:r w:rsidR="00CA5F03">
        <w:rPr>
          <w:sz w:val="20"/>
          <w:szCs w:val="18"/>
          <w:lang w:val="en-US"/>
        </w:rPr>
        <w:t>To the reverse</w:t>
      </w:r>
      <w:r w:rsidR="003B60A9" w:rsidRPr="0024294C">
        <w:rPr>
          <w:sz w:val="20"/>
          <w:szCs w:val="18"/>
          <w:lang w:val="en-US"/>
        </w:rPr>
        <w:t xml:space="preserve">, </w:t>
      </w:r>
      <w:r w:rsidR="00833337" w:rsidRPr="0024294C">
        <w:rPr>
          <w:sz w:val="20"/>
          <w:szCs w:val="18"/>
          <w:lang w:val="en-US"/>
        </w:rPr>
        <w:t xml:space="preserve">entity specific metrics </w:t>
      </w:r>
      <w:r w:rsidR="003B60A9" w:rsidRPr="0024294C">
        <w:rPr>
          <w:sz w:val="20"/>
          <w:szCs w:val="18"/>
          <w:lang w:val="en-US"/>
        </w:rPr>
        <w:t xml:space="preserve">used in capital markets are </w:t>
      </w:r>
      <w:r w:rsidR="00062524" w:rsidRPr="0024294C">
        <w:rPr>
          <w:sz w:val="20"/>
          <w:szCs w:val="18"/>
          <w:lang w:val="en-US"/>
        </w:rPr>
        <w:t xml:space="preserve">much </w:t>
      </w:r>
      <w:r w:rsidR="00CA5F03">
        <w:rPr>
          <w:sz w:val="20"/>
          <w:szCs w:val="18"/>
          <w:lang w:val="en-US"/>
        </w:rPr>
        <w:t>more manyfold</w:t>
      </w:r>
      <w:r w:rsidR="00062524" w:rsidRPr="0024294C">
        <w:rPr>
          <w:sz w:val="20"/>
          <w:szCs w:val="18"/>
          <w:lang w:val="en-US"/>
        </w:rPr>
        <w:t xml:space="preserve"> </w:t>
      </w:r>
      <w:r w:rsidR="00255162" w:rsidRPr="0024294C">
        <w:rPr>
          <w:sz w:val="20"/>
          <w:szCs w:val="18"/>
          <w:lang w:val="en-US"/>
        </w:rPr>
        <w:t>than suggested by this definition</w:t>
      </w:r>
      <w:r w:rsidR="003E76E5">
        <w:rPr>
          <w:sz w:val="20"/>
          <w:szCs w:val="18"/>
          <w:lang w:val="en-US"/>
        </w:rPr>
        <w:t xml:space="preserve">. </w:t>
      </w:r>
    </w:p>
    <w:p w14:paraId="214C93C9" w14:textId="77777777" w:rsidR="00C37205" w:rsidRPr="00C37205" w:rsidRDefault="00C37205" w:rsidP="00C37205">
      <w:pPr>
        <w:spacing w:after="0"/>
        <w:rPr>
          <w:sz w:val="20"/>
          <w:szCs w:val="18"/>
          <w:lang w:val="en-US"/>
        </w:rPr>
      </w:pPr>
    </w:p>
    <w:p w14:paraId="13B8861C" w14:textId="11CE4291" w:rsidR="00C37205" w:rsidRDefault="00C37205" w:rsidP="00C37205">
      <w:pPr>
        <w:pStyle w:val="ListParagraph"/>
        <w:spacing w:after="0"/>
        <w:rPr>
          <w:sz w:val="20"/>
          <w:szCs w:val="18"/>
          <w:lang w:val="en-US"/>
        </w:rPr>
      </w:pPr>
      <w:r>
        <w:rPr>
          <w:sz w:val="20"/>
          <w:szCs w:val="18"/>
          <w:lang w:val="en-US"/>
        </w:rPr>
        <w:t xml:space="preserve">For capital markets, </w:t>
      </w:r>
      <w:proofErr w:type="gramStart"/>
      <w:r>
        <w:rPr>
          <w:sz w:val="20"/>
          <w:szCs w:val="18"/>
          <w:lang w:val="en-US"/>
        </w:rPr>
        <w:t>a large number of</w:t>
      </w:r>
      <w:proofErr w:type="gramEnd"/>
      <w:r>
        <w:rPr>
          <w:sz w:val="20"/>
          <w:szCs w:val="18"/>
          <w:lang w:val="en-US"/>
        </w:rPr>
        <w:t xml:space="preserve"> parameters have become important that are not regulated in any manner. One characteristic example of is the prominence that “</w:t>
      </w:r>
      <w:r w:rsidRPr="00553830">
        <w:rPr>
          <w:sz w:val="20"/>
          <w:szCs w:val="18"/>
          <w:lang w:val="en-US"/>
        </w:rPr>
        <w:t>regulatory</w:t>
      </w:r>
      <w:r>
        <w:rPr>
          <w:sz w:val="20"/>
          <w:szCs w:val="18"/>
          <w:lang w:val="en-US"/>
        </w:rPr>
        <w:t xml:space="preserve"> events”</w:t>
      </w:r>
      <w:r w:rsidRPr="00553830">
        <w:rPr>
          <w:sz w:val="20"/>
          <w:szCs w:val="18"/>
          <w:lang w:val="en-US"/>
        </w:rPr>
        <w:t xml:space="preserve"> and </w:t>
      </w:r>
      <w:r>
        <w:rPr>
          <w:sz w:val="20"/>
          <w:szCs w:val="18"/>
          <w:lang w:val="en-US"/>
        </w:rPr>
        <w:t>“</w:t>
      </w:r>
      <w:r w:rsidRPr="00553830">
        <w:rPr>
          <w:sz w:val="20"/>
          <w:szCs w:val="18"/>
          <w:lang w:val="en-US"/>
        </w:rPr>
        <w:t>pipeline progression events</w:t>
      </w:r>
      <w:r>
        <w:rPr>
          <w:sz w:val="20"/>
          <w:szCs w:val="18"/>
          <w:lang w:val="en-US"/>
        </w:rPr>
        <w:t>”</w:t>
      </w:r>
      <w:r w:rsidRPr="00553830">
        <w:rPr>
          <w:sz w:val="20"/>
          <w:szCs w:val="18"/>
          <w:lang w:val="en-US"/>
        </w:rPr>
        <w:t xml:space="preserve"> have in </w:t>
      </w:r>
      <w:hyperlink r:id="rId27" w:history="1">
        <w:r w:rsidRPr="00B07751">
          <w:rPr>
            <w:rStyle w:val="Hyperlink"/>
            <w:sz w:val="20"/>
            <w:szCs w:val="18"/>
            <w:lang w:val="en-US"/>
          </w:rPr>
          <w:t>https://www.astrazeneca.com/investor-relations/annual-reports/annual-report-2024.html</w:t>
        </w:r>
      </w:hyperlink>
    </w:p>
    <w:p w14:paraId="2601775B" w14:textId="77777777" w:rsidR="00C37205" w:rsidRDefault="00C37205" w:rsidP="003E76E5">
      <w:pPr>
        <w:pStyle w:val="ListParagraph"/>
        <w:spacing w:after="0"/>
        <w:rPr>
          <w:sz w:val="20"/>
          <w:szCs w:val="18"/>
          <w:lang w:val="en-US"/>
        </w:rPr>
      </w:pPr>
    </w:p>
    <w:p w14:paraId="54EAB9DC" w14:textId="20E3838F" w:rsidR="001A1A58" w:rsidRPr="00C37205" w:rsidRDefault="003E76E5" w:rsidP="00C37205">
      <w:pPr>
        <w:pStyle w:val="ListParagraph"/>
        <w:spacing w:after="0"/>
        <w:rPr>
          <w:sz w:val="20"/>
          <w:szCs w:val="18"/>
          <w:lang w:val="en-US"/>
        </w:rPr>
      </w:pPr>
      <w:r>
        <w:rPr>
          <w:sz w:val="20"/>
          <w:szCs w:val="18"/>
          <w:lang w:val="en-US"/>
        </w:rPr>
        <w:t>In what relate</w:t>
      </w:r>
      <w:r w:rsidR="008C02F2">
        <w:rPr>
          <w:sz w:val="20"/>
          <w:szCs w:val="18"/>
          <w:lang w:val="en-US"/>
        </w:rPr>
        <w:t>s</w:t>
      </w:r>
      <w:r>
        <w:rPr>
          <w:sz w:val="20"/>
          <w:szCs w:val="18"/>
          <w:lang w:val="en-US"/>
        </w:rPr>
        <w:t xml:space="preserve"> to climate change, </w:t>
      </w:r>
      <w:r w:rsidR="00062524" w:rsidRPr="0024294C">
        <w:rPr>
          <w:sz w:val="20"/>
          <w:szCs w:val="18"/>
          <w:lang w:val="en-US"/>
        </w:rPr>
        <w:t xml:space="preserve">for instance, </w:t>
      </w:r>
      <w:r w:rsidR="00CA245A">
        <w:rPr>
          <w:sz w:val="20"/>
          <w:szCs w:val="18"/>
          <w:lang w:val="en-US"/>
        </w:rPr>
        <w:t xml:space="preserve">for an insurance business, </w:t>
      </w:r>
      <w:r w:rsidR="0086459D" w:rsidRPr="0024294C">
        <w:rPr>
          <w:sz w:val="20"/>
          <w:szCs w:val="18"/>
          <w:lang w:val="en-US"/>
        </w:rPr>
        <w:t xml:space="preserve">in </w:t>
      </w:r>
      <w:r w:rsidR="008C02F2">
        <w:rPr>
          <w:sz w:val="20"/>
          <w:szCs w:val="18"/>
          <w:lang w:val="en-US"/>
        </w:rPr>
        <w:t>addition to the emissions caused by the</w:t>
      </w:r>
      <w:r w:rsidR="00CA245A">
        <w:rPr>
          <w:sz w:val="20"/>
          <w:szCs w:val="18"/>
          <w:lang w:val="en-US"/>
        </w:rPr>
        <w:t xml:space="preserve"> very business, </w:t>
      </w:r>
      <w:r w:rsidR="00FF68F2" w:rsidRPr="0024294C">
        <w:rPr>
          <w:sz w:val="20"/>
          <w:szCs w:val="18"/>
          <w:lang w:val="en-US"/>
        </w:rPr>
        <w:t xml:space="preserve">a </w:t>
      </w:r>
      <w:r w:rsidR="00062524" w:rsidRPr="0024294C">
        <w:rPr>
          <w:sz w:val="20"/>
          <w:szCs w:val="18"/>
          <w:lang w:val="en-US"/>
        </w:rPr>
        <w:t xml:space="preserve">higher </w:t>
      </w:r>
      <w:r w:rsidR="0086459D" w:rsidRPr="0024294C">
        <w:rPr>
          <w:sz w:val="20"/>
          <w:szCs w:val="18"/>
          <w:lang w:val="en-US"/>
        </w:rPr>
        <w:t>percentage</w:t>
      </w:r>
      <w:r w:rsidR="00FF68F2" w:rsidRPr="0024294C">
        <w:rPr>
          <w:sz w:val="20"/>
          <w:szCs w:val="18"/>
          <w:lang w:val="en-US"/>
        </w:rPr>
        <w:t xml:space="preserve"> of </w:t>
      </w:r>
      <w:r w:rsidR="00062524" w:rsidRPr="0024294C">
        <w:rPr>
          <w:sz w:val="20"/>
          <w:szCs w:val="18"/>
          <w:lang w:val="en-US"/>
        </w:rPr>
        <w:t>insured risks in areas affected by climate change</w:t>
      </w:r>
      <w:r w:rsidR="007E4AE5" w:rsidRPr="0024294C">
        <w:rPr>
          <w:sz w:val="20"/>
          <w:szCs w:val="18"/>
          <w:lang w:val="en-US"/>
        </w:rPr>
        <w:t xml:space="preserve"> as c</w:t>
      </w:r>
      <w:r w:rsidR="0086459D" w:rsidRPr="0024294C">
        <w:rPr>
          <w:sz w:val="20"/>
          <w:szCs w:val="18"/>
          <w:lang w:val="en-US"/>
        </w:rPr>
        <w:t xml:space="preserve">ompared </w:t>
      </w:r>
      <w:r w:rsidR="007E4AE5" w:rsidRPr="0024294C">
        <w:rPr>
          <w:sz w:val="20"/>
          <w:szCs w:val="18"/>
          <w:lang w:val="en-US"/>
        </w:rPr>
        <w:t>to other insurances</w:t>
      </w:r>
      <w:r w:rsidR="00B276AD">
        <w:rPr>
          <w:sz w:val="20"/>
          <w:szCs w:val="18"/>
          <w:lang w:val="en-US"/>
        </w:rPr>
        <w:t xml:space="preserve"> can be an important parameter that is not </w:t>
      </w:r>
      <w:r w:rsidR="00E70F4C">
        <w:rPr>
          <w:sz w:val="20"/>
          <w:szCs w:val="18"/>
          <w:lang w:val="en-US"/>
        </w:rPr>
        <w:t xml:space="preserve">encompassed by any regulation, but is of interest to capital markets at large and </w:t>
      </w:r>
      <w:r w:rsidR="000B5FE9">
        <w:rPr>
          <w:sz w:val="20"/>
          <w:szCs w:val="18"/>
          <w:lang w:val="en-US"/>
        </w:rPr>
        <w:t xml:space="preserve">that will </w:t>
      </w:r>
      <w:r w:rsidR="000B16EE">
        <w:rPr>
          <w:sz w:val="20"/>
          <w:szCs w:val="18"/>
          <w:lang w:val="en-US"/>
        </w:rPr>
        <w:t xml:space="preserve">be composed by some of the parameters that are regulated. </w:t>
      </w:r>
      <w:r w:rsidR="00056099">
        <w:rPr>
          <w:sz w:val="20"/>
          <w:szCs w:val="18"/>
          <w:lang w:val="en-US"/>
        </w:rPr>
        <w:t xml:space="preserve">Similarly, </w:t>
      </w:r>
      <w:r w:rsidR="007E4AE5" w:rsidRPr="0024294C">
        <w:rPr>
          <w:sz w:val="20"/>
          <w:szCs w:val="18"/>
          <w:lang w:val="en-US"/>
        </w:rPr>
        <w:t>an issuer</w:t>
      </w:r>
      <w:r w:rsidR="00056099">
        <w:rPr>
          <w:sz w:val="20"/>
          <w:szCs w:val="18"/>
          <w:lang w:val="en-US"/>
        </w:rPr>
        <w:t xml:space="preserve"> may have</w:t>
      </w:r>
      <w:r w:rsidR="007E4AE5" w:rsidRPr="0024294C">
        <w:rPr>
          <w:sz w:val="20"/>
          <w:szCs w:val="18"/>
          <w:lang w:val="en-US"/>
        </w:rPr>
        <w:t xml:space="preserve"> </w:t>
      </w:r>
      <w:r w:rsidR="00062524" w:rsidRPr="0024294C">
        <w:rPr>
          <w:sz w:val="20"/>
          <w:szCs w:val="18"/>
          <w:lang w:val="en-US"/>
        </w:rPr>
        <w:t>business in areas</w:t>
      </w:r>
      <w:r w:rsidR="007E4AE5" w:rsidRPr="0024294C">
        <w:rPr>
          <w:sz w:val="20"/>
          <w:szCs w:val="18"/>
          <w:lang w:val="en-US"/>
        </w:rPr>
        <w:t xml:space="preserve"> </w:t>
      </w:r>
      <w:r w:rsidR="00056099">
        <w:rPr>
          <w:sz w:val="20"/>
          <w:szCs w:val="18"/>
          <w:lang w:val="en-US"/>
        </w:rPr>
        <w:t xml:space="preserve">more </w:t>
      </w:r>
      <w:r w:rsidR="007E4AE5" w:rsidRPr="0024294C">
        <w:rPr>
          <w:sz w:val="20"/>
          <w:szCs w:val="18"/>
          <w:lang w:val="en-US"/>
        </w:rPr>
        <w:t>affected by climate chan</w:t>
      </w:r>
      <w:r w:rsidR="00056099">
        <w:rPr>
          <w:sz w:val="20"/>
          <w:szCs w:val="18"/>
          <w:lang w:val="en-US"/>
        </w:rPr>
        <w:t>g</w:t>
      </w:r>
      <w:r w:rsidR="007E4AE5" w:rsidRPr="0024294C">
        <w:rPr>
          <w:sz w:val="20"/>
          <w:szCs w:val="18"/>
          <w:lang w:val="en-US"/>
        </w:rPr>
        <w:t>e</w:t>
      </w:r>
      <w:r w:rsidR="00062524" w:rsidRPr="0024294C">
        <w:rPr>
          <w:sz w:val="20"/>
          <w:szCs w:val="18"/>
          <w:lang w:val="en-US"/>
        </w:rPr>
        <w:t xml:space="preserve">, </w:t>
      </w:r>
      <w:r w:rsidR="00217861">
        <w:rPr>
          <w:sz w:val="20"/>
          <w:szCs w:val="18"/>
          <w:lang w:val="en-US"/>
        </w:rPr>
        <w:t xml:space="preserve">or the business of an issuer may be more </w:t>
      </w:r>
      <w:r w:rsidR="00062524" w:rsidRPr="0024294C">
        <w:rPr>
          <w:sz w:val="20"/>
          <w:szCs w:val="18"/>
          <w:lang w:val="en-US"/>
        </w:rPr>
        <w:t>resilien</w:t>
      </w:r>
      <w:r w:rsidR="00217861">
        <w:rPr>
          <w:sz w:val="20"/>
          <w:szCs w:val="18"/>
          <w:lang w:val="en-US"/>
        </w:rPr>
        <w:t>t against climate change than the business of competitors</w:t>
      </w:r>
      <w:r w:rsidR="0051029A">
        <w:rPr>
          <w:sz w:val="20"/>
          <w:szCs w:val="18"/>
          <w:lang w:val="en-US"/>
        </w:rPr>
        <w:t xml:space="preserve">, for </w:t>
      </w:r>
      <w:r w:rsidR="001E6A2E" w:rsidRPr="0024294C">
        <w:rPr>
          <w:sz w:val="20"/>
          <w:szCs w:val="18"/>
          <w:lang w:val="en-US"/>
        </w:rPr>
        <w:t>ins</w:t>
      </w:r>
      <w:r w:rsidR="00E0283B" w:rsidRPr="0024294C">
        <w:rPr>
          <w:sz w:val="20"/>
          <w:szCs w:val="18"/>
          <w:lang w:val="en-US"/>
        </w:rPr>
        <w:t>t</w:t>
      </w:r>
      <w:r w:rsidR="001E6A2E" w:rsidRPr="0024294C">
        <w:rPr>
          <w:sz w:val="20"/>
          <w:szCs w:val="18"/>
          <w:lang w:val="en-US"/>
        </w:rPr>
        <w:t xml:space="preserve">ance </w:t>
      </w:r>
      <w:r w:rsidR="0051029A">
        <w:rPr>
          <w:sz w:val="20"/>
          <w:szCs w:val="18"/>
          <w:lang w:val="en-US"/>
        </w:rPr>
        <w:t>because of being</w:t>
      </w:r>
      <w:r w:rsidR="004D7865" w:rsidRPr="0024294C">
        <w:rPr>
          <w:sz w:val="20"/>
          <w:szCs w:val="18"/>
          <w:lang w:val="en-US"/>
        </w:rPr>
        <w:t xml:space="preserve"> be</w:t>
      </w:r>
      <w:r w:rsidR="00E0283B" w:rsidRPr="0024294C">
        <w:rPr>
          <w:sz w:val="20"/>
          <w:szCs w:val="18"/>
          <w:lang w:val="en-US"/>
        </w:rPr>
        <w:t xml:space="preserve"> </w:t>
      </w:r>
      <w:r w:rsidR="001E6A2E" w:rsidRPr="0024294C">
        <w:rPr>
          <w:sz w:val="20"/>
          <w:szCs w:val="18"/>
          <w:lang w:val="en-US"/>
        </w:rPr>
        <w:t xml:space="preserve">particularly </w:t>
      </w:r>
      <w:r w:rsidR="004D7865" w:rsidRPr="0024294C">
        <w:rPr>
          <w:sz w:val="20"/>
          <w:szCs w:val="18"/>
          <w:lang w:val="en-US"/>
        </w:rPr>
        <w:t>effective</w:t>
      </w:r>
      <w:r w:rsidR="001E6A2E" w:rsidRPr="0024294C">
        <w:rPr>
          <w:sz w:val="20"/>
          <w:szCs w:val="18"/>
          <w:lang w:val="en-US"/>
        </w:rPr>
        <w:t xml:space="preserve"> in reducing emissions</w:t>
      </w:r>
      <w:r w:rsidR="004F18D8">
        <w:rPr>
          <w:sz w:val="20"/>
          <w:szCs w:val="18"/>
          <w:lang w:val="en-US"/>
        </w:rPr>
        <w:t xml:space="preserve"> by lending structures</w:t>
      </w:r>
      <w:r w:rsidR="001E6A2E" w:rsidRPr="0024294C">
        <w:rPr>
          <w:sz w:val="20"/>
          <w:szCs w:val="18"/>
          <w:lang w:val="en-US"/>
        </w:rPr>
        <w:t xml:space="preserve"> or </w:t>
      </w:r>
      <w:r w:rsidR="004F18D8">
        <w:rPr>
          <w:sz w:val="20"/>
          <w:szCs w:val="18"/>
          <w:lang w:val="en-US"/>
        </w:rPr>
        <w:t xml:space="preserve">by offering </w:t>
      </w:r>
      <w:r w:rsidR="001E6A2E" w:rsidRPr="0024294C">
        <w:rPr>
          <w:sz w:val="20"/>
          <w:szCs w:val="18"/>
          <w:lang w:val="en-US"/>
        </w:rPr>
        <w:t>equipment required to reduce emissions</w:t>
      </w:r>
      <w:r w:rsidR="004F18D8">
        <w:rPr>
          <w:sz w:val="20"/>
          <w:szCs w:val="18"/>
          <w:lang w:val="en-US"/>
        </w:rPr>
        <w:t xml:space="preserve"> for </w:t>
      </w:r>
      <w:proofErr w:type="gramStart"/>
      <w:r w:rsidR="004F18D8">
        <w:rPr>
          <w:sz w:val="20"/>
          <w:szCs w:val="18"/>
          <w:lang w:val="en-US"/>
        </w:rPr>
        <w:t>sale</w:t>
      </w:r>
      <w:r w:rsidR="00D24321" w:rsidRPr="0024294C">
        <w:rPr>
          <w:sz w:val="20"/>
          <w:szCs w:val="18"/>
          <w:lang w:val="en-US"/>
        </w:rPr>
        <w:t>.</w:t>
      </w:r>
      <w:r w:rsidR="008850FF" w:rsidRPr="00C37205">
        <w:rPr>
          <w:sz w:val="20"/>
          <w:szCs w:val="18"/>
          <w:lang w:val="en-US"/>
        </w:rPr>
        <w:t>.</w:t>
      </w:r>
      <w:proofErr w:type="gramEnd"/>
      <w:r w:rsidR="008850FF" w:rsidRPr="00C37205">
        <w:rPr>
          <w:sz w:val="20"/>
          <w:szCs w:val="18"/>
          <w:lang w:val="en-US"/>
        </w:rPr>
        <w:t xml:space="preserve"> </w:t>
      </w:r>
    </w:p>
    <w:p w14:paraId="64485FCF" w14:textId="77777777" w:rsidR="0006224D" w:rsidRPr="0006224D" w:rsidRDefault="0006224D" w:rsidP="0006224D">
      <w:pPr>
        <w:spacing w:after="0"/>
        <w:rPr>
          <w:sz w:val="20"/>
          <w:szCs w:val="18"/>
          <w:lang w:val="en-US"/>
        </w:rPr>
      </w:pPr>
    </w:p>
    <w:p w14:paraId="479082EE" w14:textId="77777777" w:rsidR="0006224D" w:rsidRPr="00A72164" w:rsidRDefault="0006224D" w:rsidP="0006224D">
      <w:pPr>
        <w:pStyle w:val="ListParagraph"/>
        <w:spacing w:after="0"/>
        <w:rPr>
          <w:sz w:val="20"/>
          <w:szCs w:val="18"/>
          <w:lang w:val="en-US"/>
        </w:rPr>
      </w:pPr>
      <w:proofErr w:type="gramStart"/>
      <w:r>
        <w:rPr>
          <w:sz w:val="20"/>
          <w:szCs w:val="18"/>
          <w:lang w:val="en-US"/>
        </w:rPr>
        <w:t>Needless to say, coverage</w:t>
      </w:r>
      <w:proofErr w:type="gramEnd"/>
      <w:r>
        <w:rPr>
          <w:sz w:val="20"/>
          <w:szCs w:val="18"/>
          <w:lang w:val="en-US"/>
        </w:rPr>
        <w:t xml:space="preserve"> of such types of parameters and their use should </w:t>
      </w:r>
      <w:proofErr w:type="spellStart"/>
      <w:r>
        <w:rPr>
          <w:sz w:val="20"/>
          <w:szCs w:val="18"/>
          <w:lang w:val="en-US"/>
        </w:rPr>
        <w:t>perferrably</w:t>
      </w:r>
      <w:proofErr w:type="spellEnd"/>
      <w:r>
        <w:rPr>
          <w:sz w:val="20"/>
          <w:szCs w:val="18"/>
          <w:lang w:val="en-US"/>
        </w:rPr>
        <w:t xml:space="preserve"> be as consistent as possible as relating to any issuer over time and within every </w:t>
      </w:r>
      <w:r w:rsidRPr="00A72164">
        <w:rPr>
          <w:sz w:val="20"/>
          <w:szCs w:val="18"/>
          <w:lang w:val="en-US"/>
        </w:rPr>
        <w:t>industry</w:t>
      </w:r>
      <w:r>
        <w:rPr>
          <w:sz w:val="20"/>
          <w:szCs w:val="18"/>
          <w:lang w:val="en-US"/>
        </w:rPr>
        <w:t>.</w:t>
      </w:r>
    </w:p>
    <w:p w14:paraId="655E0DE8" w14:textId="77777777" w:rsidR="0006224D" w:rsidRDefault="0006224D" w:rsidP="00553830">
      <w:pPr>
        <w:pStyle w:val="ListParagraph"/>
        <w:spacing w:after="0"/>
        <w:rPr>
          <w:sz w:val="20"/>
          <w:szCs w:val="18"/>
          <w:lang w:val="en-US"/>
        </w:rPr>
      </w:pPr>
    </w:p>
    <w:p w14:paraId="2B5E5328" w14:textId="04D6AE40" w:rsidR="005E3C83" w:rsidRDefault="005E3C83" w:rsidP="00553830">
      <w:pPr>
        <w:pStyle w:val="ListParagraph"/>
        <w:spacing w:after="0"/>
        <w:rPr>
          <w:sz w:val="20"/>
          <w:szCs w:val="18"/>
          <w:lang w:val="en-US"/>
        </w:rPr>
      </w:pPr>
      <w:r>
        <w:rPr>
          <w:sz w:val="20"/>
          <w:szCs w:val="18"/>
          <w:lang w:val="en-US"/>
        </w:rPr>
        <w:t xml:space="preserve">Such parameters, different from </w:t>
      </w:r>
      <w:r w:rsidR="00C37205">
        <w:rPr>
          <w:sz w:val="20"/>
          <w:szCs w:val="18"/>
          <w:lang w:val="en-US"/>
        </w:rPr>
        <w:t xml:space="preserve">those parameters </w:t>
      </w:r>
      <w:r w:rsidR="000D0F80">
        <w:rPr>
          <w:sz w:val="20"/>
          <w:szCs w:val="18"/>
          <w:lang w:val="en-US"/>
        </w:rPr>
        <w:t xml:space="preserve">that are based on </w:t>
      </w:r>
      <w:r>
        <w:rPr>
          <w:sz w:val="20"/>
          <w:szCs w:val="18"/>
          <w:lang w:val="en-US"/>
        </w:rPr>
        <w:t xml:space="preserve">financial </w:t>
      </w:r>
      <w:r w:rsidR="000D0F80">
        <w:rPr>
          <w:sz w:val="20"/>
          <w:szCs w:val="18"/>
          <w:lang w:val="en-US"/>
        </w:rPr>
        <w:t>accounts</w:t>
      </w:r>
      <w:r>
        <w:rPr>
          <w:sz w:val="20"/>
          <w:szCs w:val="18"/>
          <w:lang w:val="en-US"/>
        </w:rPr>
        <w:t xml:space="preserve">, are not </w:t>
      </w:r>
      <w:r w:rsidR="00C37205">
        <w:rPr>
          <w:sz w:val="20"/>
          <w:szCs w:val="18"/>
          <w:lang w:val="en-US"/>
        </w:rPr>
        <w:t xml:space="preserve">directly </w:t>
      </w:r>
      <w:r>
        <w:rPr>
          <w:sz w:val="20"/>
          <w:szCs w:val="18"/>
          <w:lang w:val="en-US"/>
        </w:rPr>
        <w:t xml:space="preserve">subject to regulation. Given how diverse they are and that they will be frequently changed depending on market developments, they should </w:t>
      </w:r>
      <w:proofErr w:type="spellStart"/>
      <w:r>
        <w:rPr>
          <w:sz w:val="20"/>
          <w:szCs w:val="18"/>
          <w:lang w:val="en-US"/>
        </w:rPr>
        <w:t>no</w:t>
      </w:r>
      <w:proofErr w:type="spellEnd"/>
      <w:r>
        <w:rPr>
          <w:sz w:val="20"/>
          <w:szCs w:val="18"/>
          <w:lang w:val="en-US"/>
        </w:rPr>
        <w:t xml:space="preserve"> become subject of regulation. At the same time, </w:t>
      </w:r>
      <w:r w:rsidR="00216C90">
        <w:rPr>
          <w:sz w:val="20"/>
          <w:szCs w:val="18"/>
          <w:lang w:val="en-US"/>
        </w:rPr>
        <w:t xml:space="preserve">for the efficiency of issuers and capital markets and because the parameters in question will typically be </w:t>
      </w:r>
      <w:r w:rsidR="00A60E27">
        <w:rPr>
          <w:sz w:val="20"/>
          <w:szCs w:val="18"/>
          <w:lang w:val="en-US"/>
        </w:rPr>
        <w:t>calculated by internal system and frequently be interlinked with financial reporting, the</w:t>
      </w:r>
      <w:r w:rsidR="00A715D3">
        <w:rPr>
          <w:sz w:val="20"/>
          <w:szCs w:val="18"/>
          <w:lang w:val="en-US"/>
        </w:rPr>
        <w:t>y should be considered by marking up rules, at least insofar as marking up rules are voluntary.</w:t>
      </w:r>
      <w:r>
        <w:rPr>
          <w:sz w:val="20"/>
          <w:szCs w:val="18"/>
          <w:lang w:val="en-US"/>
        </w:rPr>
        <w:t xml:space="preserve"> </w:t>
      </w:r>
    </w:p>
    <w:p w14:paraId="0DB1DF0A" w14:textId="77777777" w:rsidR="001A1403" w:rsidRDefault="001A1403" w:rsidP="001A1403">
      <w:pPr>
        <w:pStyle w:val="ListParagraph"/>
        <w:spacing w:after="0"/>
        <w:rPr>
          <w:sz w:val="20"/>
          <w:szCs w:val="18"/>
          <w:lang w:val="en-US"/>
        </w:rPr>
      </w:pPr>
    </w:p>
    <w:p w14:paraId="339B6590" w14:textId="3ADC12C3" w:rsidR="00BA35CB" w:rsidRDefault="002A5F54" w:rsidP="00E176E2">
      <w:pPr>
        <w:pStyle w:val="ListParagraph"/>
        <w:numPr>
          <w:ilvl w:val="0"/>
          <w:numId w:val="38"/>
        </w:numPr>
        <w:spacing w:after="0"/>
        <w:rPr>
          <w:sz w:val="20"/>
          <w:szCs w:val="18"/>
          <w:lang w:val="en-US"/>
        </w:rPr>
      </w:pPr>
      <w:r>
        <w:rPr>
          <w:sz w:val="20"/>
          <w:szCs w:val="18"/>
          <w:lang w:val="en-US"/>
        </w:rPr>
        <w:t>Furthermore, it should be considered that the dynamics and importance of corporate communication is in flux and has likely substantially changed in the last years. Whilst earlier financial statements would be available through p</w:t>
      </w:r>
      <w:r w:rsidR="00494E31">
        <w:rPr>
          <w:sz w:val="20"/>
          <w:szCs w:val="18"/>
          <w:lang w:val="en-US"/>
        </w:rPr>
        <w:t xml:space="preserve">rint and sent by mail, they now are accessible at any time through </w:t>
      </w:r>
      <w:r w:rsidR="003E00A6">
        <w:rPr>
          <w:sz w:val="20"/>
          <w:szCs w:val="18"/>
          <w:lang w:val="en-US"/>
        </w:rPr>
        <w:t xml:space="preserve">the </w:t>
      </w:r>
      <w:proofErr w:type="gramStart"/>
      <w:r w:rsidR="003E00A6">
        <w:rPr>
          <w:sz w:val="20"/>
          <w:szCs w:val="18"/>
          <w:lang w:val="en-US"/>
        </w:rPr>
        <w:t>internet</w:t>
      </w:r>
      <w:proofErr w:type="gramEnd"/>
      <w:r w:rsidR="003E00A6">
        <w:rPr>
          <w:sz w:val="20"/>
          <w:szCs w:val="18"/>
          <w:lang w:val="en-US"/>
        </w:rPr>
        <w:t xml:space="preserve"> and they can easily be searched and copied. Investor conferences previously had limited audiences, </w:t>
      </w:r>
      <w:r w:rsidR="00704F96">
        <w:rPr>
          <w:sz w:val="20"/>
          <w:szCs w:val="18"/>
          <w:lang w:val="en-US"/>
        </w:rPr>
        <w:t xml:space="preserve">nowadays their recordings are easily available with or without transcripts. Focus of investment </w:t>
      </w:r>
      <w:proofErr w:type="spellStart"/>
      <w:r w:rsidR="00704F96">
        <w:rPr>
          <w:sz w:val="20"/>
          <w:szCs w:val="18"/>
          <w:lang w:val="en-US"/>
        </w:rPr>
        <w:t>analists</w:t>
      </w:r>
      <w:proofErr w:type="spellEnd"/>
      <w:r w:rsidR="00704F96">
        <w:rPr>
          <w:sz w:val="20"/>
          <w:szCs w:val="18"/>
          <w:lang w:val="en-US"/>
        </w:rPr>
        <w:t xml:space="preserve"> seems to mainly be directed towards </w:t>
      </w:r>
      <w:r w:rsidR="00DF1339">
        <w:rPr>
          <w:sz w:val="20"/>
          <w:szCs w:val="18"/>
          <w:lang w:val="en-US"/>
        </w:rPr>
        <w:t xml:space="preserve">regular, mostly </w:t>
      </w:r>
      <w:proofErr w:type="spellStart"/>
      <w:r w:rsidR="00DF1339">
        <w:rPr>
          <w:sz w:val="20"/>
          <w:szCs w:val="18"/>
          <w:lang w:val="en-US"/>
        </w:rPr>
        <w:t>quartlerly</w:t>
      </w:r>
      <w:proofErr w:type="spellEnd"/>
      <w:r w:rsidR="00DF1339">
        <w:rPr>
          <w:sz w:val="20"/>
          <w:szCs w:val="18"/>
          <w:lang w:val="en-US"/>
        </w:rPr>
        <w:t xml:space="preserve"> updates and “</w:t>
      </w:r>
      <w:proofErr w:type="spellStart"/>
      <w:r w:rsidR="00DF1339">
        <w:rPr>
          <w:sz w:val="20"/>
          <w:szCs w:val="18"/>
          <w:lang w:val="en-US"/>
        </w:rPr>
        <w:t>guidances</w:t>
      </w:r>
      <w:proofErr w:type="spellEnd"/>
      <w:r w:rsidR="00DF1339">
        <w:rPr>
          <w:sz w:val="20"/>
          <w:szCs w:val="18"/>
          <w:lang w:val="en-US"/>
        </w:rPr>
        <w:t>”</w:t>
      </w:r>
      <w:r w:rsidR="00485F54">
        <w:rPr>
          <w:sz w:val="20"/>
          <w:szCs w:val="18"/>
          <w:lang w:val="en-US"/>
        </w:rPr>
        <w:t>.</w:t>
      </w:r>
      <w:r w:rsidR="00FC5130">
        <w:rPr>
          <w:sz w:val="20"/>
          <w:szCs w:val="18"/>
          <w:lang w:val="en-US"/>
        </w:rPr>
        <w:t xml:space="preserve"> Not least, ad-hoc </w:t>
      </w:r>
      <w:proofErr w:type="spellStart"/>
      <w:r w:rsidR="00FC5130">
        <w:rPr>
          <w:sz w:val="20"/>
          <w:szCs w:val="18"/>
          <w:lang w:val="en-US"/>
        </w:rPr>
        <w:t>publcations</w:t>
      </w:r>
      <w:proofErr w:type="spellEnd"/>
      <w:r w:rsidR="00FC5130">
        <w:rPr>
          <w:sz w:val="20"/>
          <w:szCs w:val="18"/>
          <w:lang w:val="en-US"/>
        </w:rPr>
        <w:t xml:space="preserve"> </w:t>
      </w:r>
      <w:proofErr w:type="spellStart"/>
      <w:r w:rsidR="00FC5130">
        <w:rPr>
          <w:sz w:val="20"/>
          <w:szCs w:val="18"/>
          <w:lang w:val="en-US"/>
        </w:rPr>
        <w:t>typicaly</w:t>
      </w:r>
      <w:proofErr w:type="spellEnd"/>
      <w:r w:rsidR="00FC5130">
        <w:rPr>
          <w:sz w:val="20"/>
          <w:szCs w:val="18"/>
          <w:lang w:val="en-US"/>
        </w:rPr>
        <w:t xml:space="preserve"> </w:t>
      </w:r>
      <w:r w:rsidR="00BA35CB">
        <w:rPr>
          <w:sz w:val="20"/>
          <w:szCs w:val="18"/>
          <w:lang w:val="en-US"/>
        </w:rPr>
        <w:t>contain important information, and companies and their key managers will attempt to attract attention through social networks</w:t>
      </w:r>
      <w:r w:rsidR="00BD6081">
        <w:rPr>
          <w:sz w:val="20"/>
          <w:szCs w:val="18"/>
          <w:lang w:val="en-US"/>
        </w:rPr>
        <w:t xml:space="preserve">, and in particular </w:t>
      </w:r>
      <w:r w:rsidR="00E46A88">
        <w:rPr>
          <w:sz w:val="20"/>
          <w:szCs w:val="18"/>
          <w:lang w:val="en-US"/>
        </w:rPr>
        <w:t>exchange and discussions on social networks may contain important information that can substantially influence capital markets</w:t>
      </w:r>
      <w:r w:rsidR="00BA35CB">
        <w:rPr>
          <w:sz w:val="20"/>
          <w:szCs w:val="18"/>
          <w:lang w:val="en-US"/>
        </w:rPr>
        <w:t>.</w:t>
      </w:r>
      <w:r w:rsidR="006A3AF9">
        <w:rPr>
          <w:sz w:val="20"/>
          <w:szCs w:val="18"/>
          <w:lang w:val="en-US"/>
        </w:rPr>
        <w:t xml:space="preserve"> </w:t>
      </w:r>
    </w:p>
    <w:p w14:paraId="2A8D8316" w14:textId="77777777" w:rsidR="00BA35CB" w:rsidRDefault="00BA35CB" w:rsidP="00BA35CB">
      <w:pPr>
        <w:pStyle w:val="ListParagraph"/>
        <w:spacing w:after="0"/>
        <w:rPr>
          <w:sz w:val="20"/>
          <w:szCs w:val="18"/>
          <w:lang w:val="en-US"/>
        </w:rPr>
      </w:pPr>
    </w:p>
    <w:p w14:paraId="5F8142E3" w14:textId="56A62BDD" w:rsidR="000D0F80" w:rsidRDefault="00BA35CB" w:rsidP="00BA35CB">
      <w:pPr>
        <w:pStyle w:val="ListParagraph"/>
        <w:spacing w:after="0"/>
        <w:rPr>
          <w:sz w:val="20"/>
          <w:szCs w:val="18"/>
          <w:lang w:val="en-US"/>
        </w:rPr>
      </w:pPr>
      <w:r>
        <w:rPr>
          <w:sz w:val="20"/>
          <w:szCs w:val="18"/>
          <w:lang w:val="en-US"/>
        </w:rPr>
        <w:t xml:space="preserve">All of </w:t>
      </w:r>
      <w:proofErr w:type="gramStart"/>
      <w:r>
        <w:rPr>
          <w:sz w:val="20"/>
          <w:szCs w:val="18"/>
          <w:lang w:val="en-US"/>
        </w:rPr>
        <w:t>th</w:t>
      </w:r>
      <w:r w:rsidR="00BD6081">
        <w:rPr>
          <w:sz w:val="20"/>
          <w:szCs w:val="18"/>
          <w:lang w:val="en-US"/>
        </w:rPr>
        <w:t>is elements</w:t>
      </w:r>
      <w:proofErr w:type="gramEnd"/>
      <w:r w:rsidR="00BD6081">
        <w:rPr>
          <w:sz w:val="20"/>
          <w:szCs w:val="18"/>
          <w:lang w:val="en-US"/>
        </w:rPr>
        <w:t xml:space="preserve"> </w:t>
      </w:r>
      <w:r w:rsidR="006A3AF9">
        <w:rPr>
          <w:sz w:val="20"/>
          <w:szCs w:val="18"/>
          <w:lang w:val="en-US"/>
        </w:rPr>
        <w:t xml:space="preserve">should be </w:t>
      </w:r>
      <w:proofErr w:type="spellStart"/>
      <w:r w:rsidR="00D70038">
        <w:rPr>
          <w:sz w:val="20"/>
          <w:szCs w:val="18"/>
          <w:lang w:val="en-US"/>
        </w:rPr>
        <w:t>coonsidedered</w:t>
      </w:r>
      <w:proofErr w:type="spellEnd"/>
      <w:r w:rsidR="00D70038">
        <w:rPr>
          <w:sz w:val="20"/>
          <w:szCs w:val="18"/>
          <w:lang w:val="en-US"/>
        </w:rPr>
        <w:t xml:space="preserve"> by</w:t>
      </w:r>
      <w:r w:rsidR="006A3AF9">
        <w:rPr>
          <w:sz w:val="20"/>
          <w:szCs w:val="18"/>
          <w:lang w:val="en-US"/>
        </w:rPr>
        <w:t xml:space="preserve"> regulations</w:t>
      </w:r>
      <w:r w:rsidR="00BA3016">
        <w:rPr>
          <w:sz w:val="20"/>
          <w:szCs w:val="18"/>
          <w:lang w:val="en-US"/>
        </w:rPr>
        <w:t xml:space="preserve"> dealing with marking up so as to increase the relevance of the more detailed disclosure as </w:t>
      </w:r>
      <w:r w:rsidR="00FC5130">
        <w:rPr>
          <w:sz w:val="20"/>
          <w:szCs w:val="18"/>
          <w:lang w:val="en-US"/>
        </w:rPr>
        <w:t>included in financial statements</w:t>
      </w:r>
      <w:r w:rsidR="00D70038">
        <w:rPr>
          <w:sz w:val="20"/>
          <w:szCs w:val="18"/>
          <w:lang w:val="en-US"/>
        </w:rPr>
        <w:t xml:space="preserve"> and at least giving issuers the option to include relevant elements into </w:t>
      </w:r>
      <w:r w:rsidR="00B1237E">
        <w:rPr>
          <w:sz w:val="20"/>
          <w:szCs w:val="18"/>
          <w:lang w:val="en-US"/>
        </w:rPr>
        <w:t>what is marked up</w:t>
      </w:r>
      <w:r w:rsidR="00DF1339">
        <w:rPr>
          <w:sz w:val="20"/>
          <w:szCs w:val="18"/>
          <w:lang w:val="en-US"/>
        </w:rPr>
        <w:t>.</w:t>
      </w:r>
    </w:p>
    <w:p w14:paraId="1A8CB73C" w14:textId="77777777" w:rsidR="00DF1339" w:rsidRDefault="00DF1339" w:rsidP="00DF1339">
      <w:pPr>
        <w:pStyle w:val="ListParagraph"/>
        <w:spacing w:after="0"/>
        <w:rPr>
          <w:sz w:val="20"/>
          <w:szCs w:val="18"/>
          <w:lang w:val="en-US"/>
        </w:rPr>
      </w:pPr>
    </w:p>
    <w:p w14:paraId="6EA70439" w14:textId="1AD5A9AC" w:rsidR="00201CE0" w:rsidRDefault="00201CE0" w:rsidP="00DF1339">
      <w:pPr>
        <w:pStyle w:val="ListParagraph"/>
        <w:spacing w:after="0"/>
        <w:rPr>
          <w:sz w:val="20"/>
          <w:szCs w:val="18"/>
          <w:lang w:val="en-US"/>
        </w:rPr>
      </w:pPr>
      <w:r>
        <w:rPr>
          <w:sz w:val="20"/>
          <w:szCs w:val="18"/>
          <w:lang w:val="en-US"/>
        </w:rPr>
        <w:t xml:space="preserve">For instance, </w:t>
      </w:r>
      <w:r w:rsidR="00950794">
        <w:rPr>
          <w:sz w:val="20"/>
          <w:szCs w:val="18"/>
          <w:lang w:val="en-US"/>
        </w:rPr>
        <w:t>the commissioning, progress in construction</w:t>
      </w:r>
      <w:r w:rsidR="00F679EB">
        <w:rPr>
          <w:sz w:val="20"/>
          <w:szCs w:val="18"/>
          <w:lang w:val="en-US"/>
        </w:rPr>
        <w:t xml:space="preserve"> (with, for instance, delays arising because of </w:t>
      </w:r>
      <w:r w:rsidR="00541DCE">
        <w:rPr>
          <w:sz w:val="20"/>
          <w:szCs w:val="18"/>
          <w:lang w:val="en-US"/>
        </w:rPr>
        <w:t>later than expected approvals that give rise to a public debate)</w:t>
      </w:r>
      <w:r w:rsidR="00950794">
        <w:rPr>
          <w:sz w:val="20"/>
          <w:szCs w:val="18"/>
          <w:lang w:val="en-US"/>
        </w:rPr>
        <w:t xml:space="preserve">, finalization and </w:t>
      </w:r>
      <w:r w:rsidR="00250048">
        <w:rPr>
          <w:sz w:val="20"/>
          <w:szCs w:val="18"/>
          <w:lang w:val="en-US"/>
        </w:rPr>
        <w:t>profitability related parameters of a</w:t>
      </w:r>
      <w:r>
        <w:rPr>
          <w:sz w:val="20"/>
          <w:szCs w:val="18"/>
          <w:lang w:val="en-US"/>
        </w:rPr>
        <w:t xml:space="preserve"> specifically energy efficient production facility may be </w:t>
      </w:r>
      <w:r w:rsidR="00250048">
        <w:rPr>
          <w:sz w:val="20"/>
          <w:szCs w:val="18"/>
          <w:lang w:val="en-US"/>
        </w:rPr>
        <w:t xml:space="preserve">dealt with in all types of communications </w:t>
      </w:r>
      <w:r w:rsidR="00721B5D">
        <w:rPr>
          <w:sz w:val="20"/>
          <w:szCs w:val="18"/>
          <w:lang w:val="en-US"/>
        </w:rPr>
        <w:t xml:space="preserve">mentioned above, and the ease of production of such communications and their consistency is of relevance to capital markets. </w:t>
      </w:r>
    </w:p>
    <w:p w14:paraId="4B6D723E" w14:textId="77777777" w:rsidR="00201CE0" w:rsidRDefault="00201CE0" w:rsidP="00DF1339">
      <w:pPr>
        <w:pStyle w:val="ListParagraph"/>
        <w:spacing w:after="0"/>
        <w:rPr>
          <w:sz w:val="20"/>
          <w:szCs w:val="18"/>
          <w:lang w:val="en-US"/>
        </w:rPr>
      </w:pPr>
    </w:p>
    <w:p w14:paraId="090105EE" w14:textId="074D4412" w:rsidR="005873E3" w:rsidRDefault="0012136D" w:rsidP="005873E3">
      <w:pPr>
        <w:pStyle w:val="ListParagraph"/>
        <w:numPr>
          <w:ilvl w:val="0"/>
          <w:numId w:val="38"/>
        </w:numPr>
        <w:spacing w:after="0"/>
        <w:rPr>
          <w:sz w:val="20"/>
          <w:szCs w:val="18"/>
          <w:lang w:val="en-US"/>
        </w:rPr>
      </w:pPr>
      <w:r w:rsidRPr="0024294C">
        <w:rPr>
          <w:sz w:val="20"/>
          <w:szCs w:val="18"/>
          <w:lang w:val="en-US"/>
        </w:rPr>
        <w:t xml:space="preserve">In addition, </w:t>
      </w:r>
      <w:r w:rsidR="001A1403">
        <w:rPr>
          <w:sz w:val="20"/>
          <w:szCs w:val="18"/>
          <w:lang w:val="en-US"/>
        </w:rPr>
        <w:t>it</w:t>
      </w:r>
      <w:r w:rsidR="0095587B" w:rsidRPr="0024294C">
        <w:rPr>
          <w:sz w:val="20"/>
          <w:szCs w:val="18"/>
          <w:lang w:val="en-US"/>
        </w:rPr>
        <w:t xml:space="preserve"> should be specifically </w:t>
      </w:r>
      <w:r w:rsidR="0024294C" w:rsidRPr="0024294C">
        <w:rPr>
          <w:sz w:val="20"/>
          <w:szCs w:val="18"/>
          <w:lang w:val="en-US"/>
        </w:rPr>
        <w:t>considered</w:t>
      </w:r>
      <w:r w:rsidR="00DD7B05" w:rsidRPr="0024294C">
        <w:rPr>
          <w:sz w:val="20"/>
          <w:szCs w:val="18"/>
          <w:lang w:val="en-US"/>
        </w:rPr>
        <w:t xml:space="preserve"> that the</w:t>
      </w:r>
      <w:r w:rsidR="00837A15">
        <w:rPr>
          <w:sz w:val="20"/>
          <w:szCs w:val="18"/>
          <w:lang w:val="en-US"/>
        </w:rPr>
        <w:t xml:space="preserve"> review and eva</w:t>
      </w:r>
      <w:r w:rsidR="00EF4455">
        <w:rPr>
          <w:sz w:val="20"/>
          <w:szCs w:val="18"/>
          <w:lang w:val="en-US"/>
        </w:rPr>
        <w:t>luation</w:t>
      </w:r>
      <w:r w:rsidR="00D62613">
        <w:rPr>
          <w:sz w:val="20"/>
          <w:szCs w:val="18"/>
          <w:lang w:val="en-US"/>
        </w:rPr>
        <w:t>, including through technical means,</w:t>
      </w:r>
      <w:r w:rsidR="00EF4455">
        <w:rPr>
          <w:sz w:val="20"/>
          <w:szCs w:val="18"/>
          <w:lang w:val="en-US"/>
        </w:rPr>
        <w:t xml:space="preserve"> of any of the data published is a key element of the functioning of capital markets</w:t>
      </w:r>
      <w:r w:rsidR="00467E2E">
        <w:rPr>
          <w:sz w:val="20"/>
          <w:szCs w:val="18"/>
          <w:lang w:val="en-US"/>
        </w:rPr>
        <w:t xml:space="preserve">, with the </w:t>
      </w:r>
      <w:r w:rsidR="00EE3C69">
        <w:rPr>
          <w:sz w:val="20"/>
          <w:szCs w:val="18"/>
          <w:lang w:val="en-US"/>
        </w:rPr>
        <w:t xml:space="preserve">technological manners of review </w:t>
      </w:r>
      <w:proofErr w:type="spellStart"/>
      <w:r w:rsidR="007D5E75">
        <w:rPr>
          <w:sz w:val="20"/>
          <w:szCs w:val="18"/>
          <w:lang w:val="en-US"/>
        </w:rPr>
        <w:t>continuisly</w:t>
      </w:r>
      <w:proofErr w:type="spellEnd"/>
      <w:r w:rsidR="007D5E75">
        <w:rPr>
          <w:sz w:val="20"/>
          <w:szCs w:val="18"/>
          <w:lang w:val="en-US"/>
        </w:rPr>
        <w:t xml:space="preserve"> increasing in importance</w:t>
      </w:r>
      <w:r w:rsidR="00B04F74">
        <w:rPr>
          <w:sz w:val="20"/>
          <w:szCs w:val="18"/>
          <w:lang w:val="en-US"/>
        </w:rPr>
        <w:t xml:space="preserve">. </w:t>
      </w:r>
      <w:r w:rsidR="00551BC1" w:rsidRPr="0024294C">
        <w:rPr>
          <w:sz w:val="20"/>
          <w:szCs w:val="18"/>
          <w:lang w:val="en-US"/>
        </w:rPr>
        <w:t xml:space="preserve">Whilst, </w:t>
      </w:r>
      <w:r w:rsidR="007D0FE5">
        <w:rPr>
          <w:sz w:val="20"/>
          <w:szCs w:val="18"/>
          <w:lang w:val="en-US"/>
        </w:rPr>
        <w:t>at least for now</w:t>
      </w:r>
      <w:r w:rsidR="00551BC1" w:rsidRPr="0024294C">
        <w:rPr>
          <w:sz w:val="20"/>
          <w:szCs w:val="18"/>
          <w:lang w:val="en-US"/>
        </w:rPr>
        <w:t xml:space="preserve">, the use of </w:t>
      </w:r>
      <w:r w:rsidR="007D0FE5">
        <w:rPr>
          <w:sz w:val="20"/>
          <w:szCs w:val="18"/>
          <w:lang w:val="en-US"/>
        </w:rPr>
        <w:t xml:space="preserve">technical means </w:t>
      </w:r>
      <w:r w:rsidR="00551BC1" w:rsidRPr="0024294C">
        <w:rPr>
          <w:sz w:val="20"/>
          <w:szCs w:val="18"/>
          <w:lang w:val="en-US"/>
        </w:rPr>
        <w:t xml:space="preserve">to compare and </w:t>
      </w:r>
      <w:proofErr w:type="spellStart"/>
      <w:r w:rsidR="00551BC1" w:rsidRPr="0024294C">
        <w:rPr>
          <w:sz w:val="20"/>
          <w:szCs w:val="18"/>
          <w:lang w:val="en-US"/>
        </w:rPr>
        <w:t>evualate</w:t>
      </w:r>
      <w:proofErr w:type="spellEnd"/>
      <w:r w:rsidR="00551BC1" w:rsidRPr="0024294C">
        <w:rPr>
          <w:sz w:val="20"/>
          <w:szCs w:val="18"/>
          <w:lang w:val="en-US"/>
        </w:rPr>
        <w:t xml:space="preserve"> such information </w:t>
      </w:r>
      <w:r w:rsidR="002279F1" w:rsidRPr="0024294C">
        <w:rPr>
          <w:sz w:val="20"/>
          <w:szCs w:val="18"/>
          <w:lang w:val="en-US"/>
        </w:rPr>
        <w:t>by investors</w:t>
      </w:r>
      <w:r w:rsidR="007D0FE5">
        <w:rPr>
          <w:sz w:val="20"/>
          <w:szCs w:val="18"/>
          <w:lang w:val="en-US"/>
        </w:rPr>
        <w:t xml:space="preserve">, </w:t>
      </w:r>
      <w:r w:rsidR="002279F1" w:rsidRPr="0024294C">
        <w:rPr>
          <w:sz w:val="20"/>
          <w:szCs w:val="18"/>
          <w:lang w:val="en-US"/>
        </w:rPr>
        <w:t xml:space="preserve">investment </w:t>
      </w:r>
      <w:proofErr w:type="spellStart"/>
      <w:r w:rsidR="002279F1" w:rsidRPr="0024294C">
        <w:rPr>
          <w:sz w:val="20"/>
          <w:szCs w:val="18"/>
          <w:lang w:val="en-US"/>
        </w:rPr>
        <w:t>analists</w:t>
      </w:r>
      <w:proofErr w:type="spellEnd"/>
      <w:r w:rsidR="00A47F2E">
        <w:rPr>
          <w:sz w:val="20"/>
          <w:szCs w:val="18"/>
          <w:lang w:val="en-US"/>
        </w:rPr>
        <w:t xml:space="preserve"> and rating agencies</w:t>
      </w:r>
      <w:r w:rsidR="002279F1" w:rsidRPr="0024294C">
        <w:rPr>
          <w:sz w:val="20"/>
          <w:szCs w:val="18"/>
          <w:lang w:val="en-US"/>
        </w:rPr>
        <w:t xml:space="preserve"> should not</w:t>
      </w:r>
      <w:r w:rsidR="00BF3EBB">
        <w:rPr>
          <w:sz w:val="20"/>
          <w:szCs w:val="18"/>
          <w:lang w:val="en-US"/>
        </w:rPr>
        <w:t xml:space="preserve"> </w:t>
      </w:r>
      <w:r w:rsidR="002279F1" w:rsidRPr="0024294C">
        <w:rPr>
          <w:sz w:val="20"/>
          <w:szCs w:val="18"/>
          <w:lang w:val="en-US"/>
        </w:rPr>
        <w:t xml:space="preserve">be </w:t>
      </w:r>
      <w:r w:rsidR="00BF3EBB">
        <w:rPr>
          <w:sz w:val="20"/>
          <w:szCs w:val="18"/>
          <w:lang w:val="en-US"/>
        </w:rPr>
        <w:t>addressed</w:t>
      </w:r>
      <w:r w:rsidR="002279F1" w:rsidRPr="0024294C">
        <w:rPr>
          <w:sz w:val="20"/>
          <w:szCs w:val="18"/>
          <w:lang w:val="en-US"/>
        </w:rPr>
        <w:t xml:space="preserve"> by regulation, regulation should support </w:t>
      </w:r>
      <w:r w:rsidR="00E4078D" w:rsidRPr="0024294C">
        <w:rPr>
          <w:sz w:val="20"/>
          <w:szCs w:val="18"/>
          <w:lang w:val="en-US"/>
        </w:rPr>
        <w:t xml:space="preserve">the </w:t>
      </w:r>
      <w:r w:rsidR="00D4714B" w:rsidRPr="0024294C">
        <w:rPr>
          <w:sz w:val="20"/>
          <w:szCs w:val="18"/>
          <w:lang w:val="en-US"/>
        </w:rPr>
        <w:t>consistency of the</w:t>
      </w:r>
      <w:r w:rsidR="00E4078D" w:rsidRPr="0024294C">
        <w:rPr>
          <w:sz w:val="20"/>
          <w:szCs w:val="18"/>
          <w:lang w:val="en-US"/>
        </w:rPr>
        <w:t xml:space="preserve"> use of </w:t>
      </w:r>
      <w:r w:rsidR="00370D8E">
        <w:rPr>
          <w:sz w:val="20"/>
          <w:szCs w:val="18"/>
          <w:lang w:val="en-US"/>
        </w:rPr>
        <w:t xml:space="preserve">all those </w:t>
      </w:r>
      <w:r w:rsidR="00E4078D" w:rsidRPr="0024294C">
        <w:rPr>
          <w:sz w:val="20"/>
          <w:szCs w:val="18"/>
          <w:lang w:val="en-US"/>
        </w:rPr>
        <w:t xml:space="preserve">data and the ability to make sense of </w:t>
      </w:r>
      <w:r w:rsidR="00D70038">
        <w:rPr>
          <w:sz w:val="20"/>
          <w:szCs w:val="18"/>
          <w:lang w:val="en-US"/>
        </w:rPr>
        <w:t>the publications</w:t>
      </w:r>
      <w:r w:rsidR="00370D8E">
        <w:rPr>
          <w:sz w:val="20"/>
          <w:szCs w:val="18"/>
          <w:lang w:val="en-US"/>
        </w:rPr>
        <w:t xml:space="preserve">. Importantly, at least </w:t>
      </w:r>
      <w:proofErr w:type="spellStart"/>
      <w:r w:rsidR="00370D8E">
        <w:rPr>
          <w:sz w:val="20"/>
          <w:szCs w:val="18"/>
          <w:lang w:val="en-US"/>
        </w:rPr>
        <w:t>anectodal</w:t>
      </w:r>
      <w:proofErr w:type="spellEnd"/>
      <w:r w:rsidR="00370D8E">
        <w:rPr>
          <w:sz w:val="20"/>
          <w:szCs w:val="18"/>
          <w:lang w:val="en-US"/>
        </w:rPr>
        <w:t xml:space="preserve"> evidence supports the notion </w:t>
      </w:r>
      <w:r w:rsidR="008206D5">
        <w:rPr>
          <w:sz w:val="20"/>
          <w:szCs w:val="18"/>
          <w:lang w:val="en-US"/>
        </w:rPr>
        <w:t xml:space="preserve">that, </w:t>
      </w:r>
      <w:r w:rsidR="008154DF" w:rsidRPr="0024294C">
        <w:rPr>
          <w:sz w:val="20"/>
          <w:szCs w:val="18"/>
          <w:lang w:val="en-US"/>
        </w:rPr>
        <w:t xml:space="preserve">as compared to financial data, novel </w:t>
      </w:r>
      <w:r w:rsidR="009C3424" w:rsidRPr="0024294C">
        <w:rPr>
          <w:sz w:val="20"/>
          <w:szCs w:val="18"/>
          <w:lang w:val="en-US"/>
        </w:rPr>
        <w:t>elements</w:t>
      </w:r>
      <w:r w:rsidR="008154DF" w:rsidRPr="0024294C">
        <w:rPr>
          <w:sz w:val="20"/>
          <w:szCs w:val="18"/>
          <w:lang w:val="en-US"/>
        </w:rPr>
        <w:t xml:space="preserve"> such as</w:t>
      </w:r>
      <w:r w:rsidR="009C3424" w:rsidRPr="0024294C">
        <w:rPr>
          <w:sz w:val="20"/>
          <w:szCs w:val="18"/>
          <w:lang w:val="en-US"/>
        </w:rPr>
        <w:t xml:space="preserve"> disclosure on corporate governance, remuneration, diversity and inclusion and sustainability </w:t>
      </w:r>
      <w:r w:rsidR="002E3C48">
        <w:rPr>
          <w:sz w:val="20"/>
          <w:szCs w:val="18"/>
          <w:lang w:val="en-US"/>
        </w:rPr>
        <w:t xml:space="preserve">are not in the center of attention. </w:t>
      </w:r>
      <w:r w:rsidR="00AB1ECD">
        <w:rPr>
          <w:sz w:val="20"/>
          <w:szCs w:val="18"/>
          <w:lang w:val="en-US"/>
        </w:rPr>
        <w:t xml:space="preserve">Indeed, it appears that “buy” or “sell” recommendations are largely driven </w:t>
      </w:r>
      <w:proofErr w:type="gramStart"/>
      <w:r w:rsidR="00AB1ECD">
        <w:rPr>
          <w:sz w:val="20"/>
          <w:szCs w:val="18"/>
          <w:lang w:val="en-US"/>
        </w:rPr>
        <w:t xml:space="preserve">by </w:t>
      </w:r>
      <w:r w:rsidR="00D8372D">
        <w:rPr>
          <w:sz w:val="20"/>
          <w:szCs w:val="18"/>
          <w:lang w:val="en-US"/>
        </w:rPr>
        <w:t>the use of</w:t>
      </w:r>
      <w:proofErr w:type="gramEnd"/>
      <w:r w:rsidR="00D8372D">
        <w:rPr>
          <w:sz w:val="20"/>
          <w:szCs w:val="18"/>
          <w:lang w:val="en-US"/>
        </w:rPr>
        <w:t xml:space="preserve"> </w:t>
      </w:r>
      <w:r w:rsidR="00AB1ECD">
        <w:rPr>
          <w:sz w:val="20"/>
          <w:szCs w:val="18"/>
          <w:lang w:val="en-US"/>
        </w:rPr>
        <w:t>sophisticated</w:t>
      </w:r>
      <w:r w:rsidR="00D8372D">
        <w:rPr>
          <w:sz w:val="20"/>
          <w:szCs w:val="18"/>
          <w:lang w:val="en-US"/>
        </w:rPr>
        <w:t xml:space="preserve"> tools to evaluate financial issuers information, and the current volatility in particular surrounding blue chips is enhanced by </w:t>
      </w:r>
      <w:r w:rsidR="00790372">
        <w:rPr>
          <w:sz w:val="20"/>
          <w:szCs w:val="18"/>
          <w:lang w:val="en-US"/>
        </w:rPr>
        <w:t>those tools reacting in a similar manner.</w:t>
      </w:r>
    </w:p>
    <w:p w14:paraId="3BB63C7B" w14:textId="77777777" w:rsidR="005873E3" w:rsidRDefault="005873E3" w:rsidP="005873E3">
      <w:pPr>
        <w:pStyle w:val="ListParagraph"/>
        <w:spacing w:after="0"/>
        <w:rPr>
          <w:sz w:val="20"/>
          <w:szCs w:val="18"/>
          <w:lang w:val="en-US"/>
        </w:rPr>
      </w:pPr>
    </w:p>
    <w:p w14:paraId="1E124F1F" w14:textId="77F83B1F" w:rsidR="00D2000E" w:rsidRDefault="00B30608" w:rsidP="005873E3">
      <w:pPr>
        <w:pStyle w:val="ListParagraph"/>
        <w:numPr>
          <w:ilvl w:val="0"/>
          <w:numId w:val="38"/>
        </w:numPr>
        <w:spacing w:after="0"/>
        <w:rPr>
          <w:sz w:val="20"/>
          <w:szCs w:val="18"/>
          <w:lang w:val="en-US"/>
        </w:rPr>
      </w:pPr>
      <w:r w:rsidRPr="005873E3">
        <w:rPr>
          <w:sz w:val="20"/>
          <w:szCs w:val="18"/>
          <w:lang w:val="en-US"/>
        </w:rPr>
        <w:t>M</w:t>
      </w:r>
      <w:r w:rsidR="00790372" w:rsidRPr="005873E3">
        <w:rPr>
          <w:sz w:val="20"/>
          <w:szCs w:val="18"/>
          <w:lang w:val="en-US"/>
        </w:rPr>
        <w:t xml:space="preserve">ore detailed </w:t>
      </w:r>
      <w:r w:rsidR="009C3424" w:rsidRPr="005873E3">
        <w:rPr>
          <w:sz w:val="20"/>
          <w:szCs w:val="18"/>
          <w:lang w:val="en-US"/>
        </w:rPr>
        <w:t>examples</w:t>
      </w:r>
      <w:r w:rsidR="00776AF4" w:rsidRPr="005873E3">
        <w:rPr>
          <w:sz w:val="20"/>
          <w:szCs w:val="18"/>
          <w:lang w:val="en-US"/>
        </w:rPr>
        <w:t xml:space="preserve"> that </w:t>
      </w:r>
      <w:r w:rsidRPr="005873E3">
        <w:rPr>
          <w:sz w:val="20"/>
          <w:szCs w:val="18"/>
          <w:lang w:val="en-US"/>
        </w:rPr>
        <w:t>deserve to be addressed and in which tools can be useful are</w:t>
      </w:r>
      <w:r w:rsidR="009C3424" w:rsidRPr="005873E3">
        <w:rPr>
          <w:sz w:val="20"/>
          <w:szCs w:val="18"/>
          <w:lang w:val="en-US"/>
        </w:rPr>
        <w:t>:</w:t>
      </w:r>
    </w:p>
    <w:p w14:paraId="5D11DF3D" w14:textId="77777777" w:rsidR="00FB1821" w:rsidRPr="00FB1821" w:rsidRDefault="00FB1821" w:rsidP="00FB1821">
      <w:pPr>
        <w:spacing w:after="0"/>
        <w:rPr>
          <w:sz w:val="20"/>
          <w:szCs w:val="18"/>
          <w:lang w:val="en-US"/>
        </w:rPr>
      </w:pPr>
    </w:p>
    <w:p w14:paraId="74884EB5" w14:textId="1E97D2D3" w:rsidR="009141B7" w:rsidRDefault="00D2000E" w:rsidP="00E176E2">
      <w:pPr>
        <w:pStyle w:val="ListParagraph"/>
        <w:numPr>
          <w:ilvl w:val="1"/>
          <w:numId w:val="38"/>
        </w:numPr>
        <w:spacing w:after="0"/>
        <w:rPr>
          <w:sz w:val="20"/>
          <w:szCs w:val="18"/>
          <w:lang w:val="en-US"/>
        </w:rPr>
      </w:pPr>
      <w:r w:rsidRPr="00411DFF">
        <w:rPr>
          <w:sz w:val="20"/>
          <w:szCs w:val="18"/>
          <w:lang w:val="en-US"/>
        </w:rPr>
        <w:t xml:space="preserve">Data processing </w:t>
      </w:r>
      <w:r w:rsidR="00FB1821">
        <w:rPr>
          <w:sz w:val="20"/>
          <w:szCs w:val="18"/>
          <w:lang w:val="en-US"/>
        </w:rPr>
        <w:t>c</w:t>
      </w:r>
      <w:r w:rsidRPr="00411DFF">
        <w:rPr>
          <w:sz w:val="20"/>
          <w:szCs w:val="18"/>
          <w:lang w:val="en-US"/>
        </w:rPr>
        <w:t xml:space="preserve">ould make it much easier to compare the sustainability related goals of the </w:t>
      </w:r>
      <w:r w:rsidR="007C75B1">
        <w:rPr>
          <w:sz w:val="20"/>
          <w:szCs w:val="18"/>
          <w:lang w:val="en-US"/>
        </w:rPr>
        <w:t>issuer</w:t>
      </w:r>
      <w:r w:rsidRPr="00411DFF">
        <w:rPr>
          <w:sz w:val="20"/>
          <w:szCs w:val="18"/>
          <w:lang w:val="en-US"/>
        </w:rPr>
        <w:t xml:space="preserve"> </w:t>
      </w:r>
      <w:r w:rsidR="00B47F26" w:rsidRPr="00411DFF">
        <w:rPr>
          <w:sz w:val="20"/>
          <w:szCs w:val="18"/>
          <w:lang w:val="en-US"/>
        </w:rPr>
        <w:t>in general to the sustainability related elements referred to in remuneration disclosure</w:t>
      </w:r>
      <w:r w:rsidR="006E689A" w:rsidRPr="00411DFF">
        <w:rPr>
          <w:sz w:val="20"/>
          <w:szCs w:val="18"/>
          <w:lang w:val="en-US"/>
        </w:rPr>
        <w:t xml:space="preserve">, and consistency in using terms in different types of reports could substantially further such </w:t>
      </w:r>
      <w:r w:rsidR="005D52C7" w:rsidRPr="00411DFF">
        <w:rPr>
          <w:sz w:val="20"/>
          <w:szCs w:val="18"/>
          <w:lang w:val="en-US"/>
        </w:rPr>
        <w:t>comparisons.</w:t>
      </w:r>
    </w:p>
    <w:p w14:paraId="7CD4B626" w14:textId="77777777" w:rsidR="00582963" w:rsidRDefault="00582963" w:rsidP="00582963">
      <w:pPr>
        <w:pStyle w:val="ListParagraph"/>
        <w:spacing w:after="0"/>
        <w:ind w:left="1440"/>
        <w:rPr>
          <w:sz w:val="20"/>
          <w:szCs w:val="18"/>
          <w:lang w:val="en-US"/>
        </w:rPr>
      </w:pPr>
    </w:p>
    <w:p w14:paraId="73248823" w14:textId="42A605C7" w:rsidR="00582963" w:rsidRDefault="00201CE0" w:rsidP="00582963">
      <w:pPr>
        <w:pStyle w:val="ListParagraph"/>
        <w:spacing w:after="0"/>
        <w:ind w:left="1440"/>
        <w:rPr>
          <w:sz w:val="20"/>
          <w:szCs w:val="18"/>
          <w:lang w:val="en-US"/>
        </w:rPr>
      </w:pPr>
      <w:r>
        <w:rPr>
          <w:sz w:val="20"/>
          <w:szCs w:val="18"/>
          <w:lang w:val="en-US"/>
        </w:rPr>
        <w:t>Furthermore</w:t>
      </w:r>
      <w:r w:rsidR="00582963">
        <w:rPr>
          <w:sz w:val="20"/>
          <w:szCs w:val="18"/>
          <w:lang w:val="en-US"/>
        </w:rPr>
        <w:t xml:space="preserve">, whilst, most likely, emission related disclosure requirements will allow to understand whether emissions are being reduced by the issuer or by offsets concluded with other parties, neither the </w:t>
      </w:r>
      <w:proofErr w:type="gramStart"/>
      <w:r w:rsidR="00582963">
        <w:rPr>
          <w:sz w:val="20"/>
          <w:szCs w:val="18"/>
          <w:lang w:val="en-US"/>
        </w:rPr>
        <w:t>long term</w:t>
      </w:r>
      <w:proofErr w:type="gramEnd"/>
      <w:r w:rsidR="00582963">
        <w:rPr>
          <w:sz w:val="20"/>
          <w:szCs w:val="18"/>
          <w:lang w:val="en-US"/>
        </w:rPr>
        <w:t xml:space="preserve"> commitment of such other parties nor the ability to create similar types of offsets by integrating them into the reporting of the issues (internal offsets) nor issues of biodiversity are being well covered by current disclosure rules. </w:t>
      </w:r>
    </w:p>
    <w:p w14:paraId="0EE10BB0" w14:textId="77777777" w:rsidR="00582963" w:rsidRDefault="00582963" w:rsidP="00582963">
      <w:pPr>
        <w:pStyle w:val="ListParagraph"/>
        <w:spacing w:after="0"/>
        <w:ind w:left="1440"/>
        <w:rPr>
          <w:sz w:val="20"/>
          <w:szCs w:val="18"/>
          <w:lang w:val="en-US"/>
        </w:rPr>
      </w:pPr>
    </w:p>
    <w:p w14:paraId="63624E66" w14:textId="77777777" w:rsidR="009141B7" w:rsidRDefault="005D52C7" w:rsidP="00E176E2">
      <w:pPr>
        <w:pStyle w:val="ListParagraph"/>
        <w:numPr>
          <w:ilvl w:val="1"/>
          <w:numId w:val="38"/>
        </w:numPr>
        <w:spacing w:after="0"/>
        <w:rPr>
          <w:sz w:val="20"/>
          <w:szCs w:val="18"/>
          <w:lang w:val="en-US"/>
        </w:rPr>
      </w:pPr>
      <w:r w:rsidRPr="009141B7">
        <w:rPr>
          <w:sz w:val="20"/>
          <w:szCs w:val="18"/>
          <w:lang w:val="en-US"/>
        </w:rPr>
        <w:t>Data processing should easily allow to assess whether text elements of disclosure</w:t>
      </w:r>
    </w:p>
    <w:p w14:paraId="1C11DE5B" w14:textId="4FF59788" w:rsidR="00851BC2" w:rsidRDefault="00582963" w:rsidP="00E176E2">
      <w:pPr>
        <w:pStyle w:val="ListParagraph"/>
        <w:numPr>
          <w:ilvl w:val="2"/>
          <w:numId w:val="38"/>
        </w:numPr>
        <w:spacing w:after="0"/>
        <w:rPr>
          <w:sz w:val="20"/>
          <w:szCs w:val="18"/>
          <w:lang w:val="en-US"/>
        </w:rPr>
      </w:pPr>
      <w:r>
        <w:rPr>
          <w:sz w:val="20"/>
          <w:szCs w:val="18"/>
          <w:lang w:val="en-US"/>
        </w:rPr>
        <w:t>a</w:t>
      </w:r>
      <w:r w:rsidR="00884580" w:rsidRPr="009141B7">
        <w:rPr>
          <w:sz w:val="20"/>
          <w:szCs w:val="18"/>
          <w:lang w:val="en-US"/>
        </w:rPr>
        <w:t xml:space="preserve">re being mechanically used suggesting that they </w:t>
      </w:r>
      <w:r w:rsidR="007E2E6F" w:rsidRPr="009141B7">
        <w:rPr>
          <w:sz w:val="20"/>
          <w:szCs w:val="18"/>
          <w:lang w:val="en-US"/>
        </w:rPr>
        <w:t xml:space="preserve">have been authored by junior employees without substantive review by members of management, suggesting that </w:t>
      </w:r>
      <w:r w:rsidR="00E316F8" w:rsidRPr="009141B7">
        <w:rPr>
          <w:sz w:val="20"/>
          <w:szCs w:val="18"/>
          <w:lang w:val="en-US"/>
        </w:rPr>
        <w:t>management attention to related issues is low</w:t>
      </w:r>
    </w:p>
    <w:p w14:paraId="3F69E61B" w14:textId="284A28C4" w:rsidR="00970475" w:rsidRPr="009141B7" w:rsidRDefault="00582963" w:rsidP="00E176E2">
      <w:pPr>
        <w:pStyle w:val="ListParagraph"/>
        <w:numPr>
          <w:ilvl w:val="2"/>
          <w:numId w:val="38"/>
        </w:numPr>
        <w:spacing w:after="0"/>
        <w:rPr>
          <w:sz w:val="20"/>
          <w:szCs w:val="18"/>
          <w:lang w:val="en-US"/>
        </w:rPr>
      </w:pPr>
      <w:r>
        <w:rPr>
          <w:sz w:val="20"/>
          <w:szCs w:val="18"/>
          <w:lang w:val="en-US"/>
        </w:rPr>
        <w:t>a</w:t>
      </w:r>
      <w:r w:rsidR="00884BC3" w:rsidRPr="009141B7">
        <w:rPr>
          <w:sz w:val="20"/>
          <w:szCs w:val="18"/>
          <w:lang w:val="en-US"/>
        </w:rPr>
        <w:t>re seen as being convoluted</w:t>
      </w:r>
      <w:r w:rsidR="00C97714" w:rsidRPr="009141B7">
        <w:rPr>
          <w:sz w:val="20"/>
          <w:szCs w:val="18"/>
          <w:lang w:val="en-US"/>
        </w:rPr>
        <w:t xml:space="preserve"> </w:t>
      </w:r>
      <w:r w:rsidR="00581BFC" w:rsidRPr="009141B7">
        <w:rPr>
          <w:sz w:val="20"/>
          <w:szCs w:val="18"/>
          <w:lang w:val="en-US"/>
        </w:rPr>
        <w:t>or for other reasons</w:t>
      </w:r>
      <w:r w:rsidR="00C97714" w:rsidRPr="009141B7">
        <w:rPr>
          <w:sz w:val="20"/>
          <w:szCs w:val="18"/>
          <w:lang w:val="en-US"/>
        </w:rPr>
        <w:t xml:space="preserve"> not </w:t>
      </w:r>
      <w:proofErr w:type="spellStart"/>
      <w:r w:rsidR="00C97714" w:rsidRPr="009141B7">
        <w:rPr>
          <w:sz w:val="20"/>
          <w:szCs w:val="18"/>
          <w:lang w:val="en-US"/>
        </w:rPr>
        <w:t>convicining</w:t>
      </w:r>
      <w:proofErr w:type="spellEnd"/>
      <w:r w:rsidR="00884BC3" w:rsidRPr="009141B7">
        <w:rPr>
          <w:sz w:val="20"/>
          <w:szCs w:val="18"/>
          <w:lang w:val="en-US"/>
        </w:rPr>
        <w:t xml:space="preserve"> by investors</w:t>
      </w:r>
      <w:r w:rsidR="00C97714" w:rsidRPr="009141B7">
        <w:rPr>
          <w:sz w:val="20"/>
          <w:szCs w:val="18"/>
          <w:lang w:val="en-US"/>
        </w:rPr>
        <w:t xml:space="preserve">. For instance, instead of an issuer referring to </w:t>
      </w:r>
      <w:r w:rsidR="00581BFC" w:rsidRPr="009141B7">
        <w:rPr>
          <w:sz w:val="20"/>
          <w:szCs w:val="18"/>
          <w:lang w:val="en-US"/>
        </w:rPr>
        <w:t xml:space="preserve">an industry benchmark, </w:t>
      </w:r>
      <w:r w:rsidR="00E17772" w:rsidRPr="009141B7">
        <w:rPr>
          <w:sz w:val="20"/>
          <w:szCs w:val="18"/>
          <w:lang w:val="en-US"/>
        </w:rPr>
        <w:t xml:space="preserve">investors may expect the issuer has </w:t>
      </w:r>
    </w:p>
    <w:p w14:paraId="60DE2D50" w14:textId="77777777" w:rsidR="004C220B" w:rsidRDefault="00E17772" w:rsidP="00E176E2">
      <w:pPr>
        <w:pStyle w:val="ListParagraph"/>
        <w:numPr>
          <w:ilvl w:val="3"/>
          <w:numId w:val="37"/>
        </w:numPr>
        <w:spacing w:after="0"/>
        <w:rPr>
          <w:sz w:val="20"/>
          <w:szCs w:val="18"/>
          <w:lang w:val="en-US"/>
        </w:rPr>
      </w:pPr>
      <w:r>
        <w:rPr>
          <w:sz w:val="20"/>
          <w:szCs w:val="18"/>
          <w:lang w:val="en-US"/>
        </w:rPr>
        <w:t>an assessment of its own on the pricing of a commodity</w:t>
      </w:r>
      <w:r w:rsidR="00970475">
        <w:rPr>
          <w:sz w:val="20"/>
          <w:szCs w:val="18"/>
          <w:lang w:val="en-US"/>
        </w:rPr>
        <w:t xml:space="preserve"> that is important to the business of the issuers, whereas the issuer refers to </w:t>
      </w:r>
      <w:proofErr w:type="spellStart"/>
      <w:r w:rsidR="00970475">
        <w:rPr>
          <w:sz w:val="20"/>
          <w:szCs w:val="18"/>
          <w:lang w:val="en-US"/>
        </w:rPr>
        <w:t>analists</w:t>
      </w:r>
      <w:proofErr w:type="spellEnd"/>
      <w:r w:rsidR="00970475">
        <w:rPr>
          <w:sz w:val="20"/>
          <w:szCs w:val="18"/>
          <w:lang w:val="en-US"/>
        </w:rPr>
        <w:t xml:space="preserve"> reports</w:t>
      </w:r>
      <w:r w:rsidR="004C220B">
        <w:rPr>
          <w:sz w:val="20"/>
          <w:szCs w:val="18"/>
          <w:lang w:val="en-US"/>
        </w:rPr>
        <w:t xml:space="preserve"> (</w:t>
      </w:r>
      <w:proofErr w:type="spellStart"/>
      <w:r w:rsidR="004C220B">
        <w:rPr>
          <w:sz w:val="20"/>
          <w:szCs w:val="18"/>
          <w:lang w:val="en-US"/>
        </w:rPr>
        <w:t>Südzucker</w:t>
      </w:r>
      <w:proofErr w:type="spellEnd"/>
      <w:r w:rsidR="004C220B">
        <w:rPr>
          <w:sz w:val="20"/>
          <w:szCs w:val="18"/>
          <w:lang w:val="en-US"/>
        </w:rPr>
        <w:t xml:space="preserve"> example)</w:t>
      </w:r>
      <w:r>
        <w:rPr>
          <w:sz w:val="20"/>
          <w:szCs w:val="18"/>
          <w:lang w:val="en-US"/>
        </w:rPr>
        <w:t>,</w:t>
      </w:r>
    </w:p>
    <w:p w14:paraId="7473D9DB" w14:textId="77777777" w:rsidR="00E35000" w:rsidRDefault="00E17772" w:rsidP="00E176E2">
      <w:pPr>
        <w:pStyle w:val="ListParagraph"/>
        <w:numPr>
          <w:ilvl w:val="3"/>
          <w:numId w:val="37"/>
        </w:numPr>
        <w:spacing w:after="0"/>
        <w:rPr>
          <w:sz w:val="20"/>
          <w:szCs w:val="18"/>
          <w:lang w:val="en-US"/>
        </w:rPr>
      </w:pPr>
      <w:r>
        <w:rPr>
          <w:sz w:val="20"/>
          <w:szCs w:val="18"/>
          <w:lang w:val="en-US"/>
        </w:rPr>
        <w:t xml:space="preserve">the reference to wars in </w:t>
      </w:r>
      <w:r w:rsidR="0091396A">
        <w:rPr>
          <w:sz w:val="20"/>
          <w:szCs w:val="18"/>
          <w:lang w:val="en-US"/>
        </w:rPr>
        <w:t xml:space="preserve">Ukraine and the Middle East is not suited as </w:t>
      </w:r>
      <w:r w:rsidR="00FC6CF6">
        <w:rPr>
          <w:sz w:val="20"/>
          <w:szCs w:val="18"/>
          <w:lang w:val="en-US"/>
        </w:rPr>
        <w:t xml:space="preserve">a normal expectation relating to the issuer would be </w:t>
      </w:r>
      <w:r w:rsidR="008828C1">
        <w:rPr>
          <w:sz w:val="20"/>
          <w:szCs w:val="18"/>
          <w:lang w:val="en-US"/>
        </w:rPr>
        <w:t xml:space="preserve">that the issuer deals </w:t>
      </w:r>
      <w:r w:rsidR="007D4CD0">
        <w:rPr>
          <w:sz w:val="20"/>
          <w:szCs w:val="18"/>
          <w:lang w:val="en-US"/>
        </w:rPr>
        <w:t xml:space="preserve">is able to </w:t>
      </w:r>
      <w:r w:rsidR="0091396A">
        <w:rPr>
          <w:sz w:val="20"/>
          <w:szCs w:val="18"/>
          <w:lang w:val="en-US"/>
        </w:rPr>
        <w:t>naviga</w:t>
      </w:r>
      <w:r w:rsidR="009C78F7">
        <w:rPr>
          <w:sz w:val="20"/>
          <w:szCs w:val="18"/>
          <w:lang w:val="en-US"/>
        </w:rPr>
        <w:t>te related risks</w:t>
      </w:r>
      <w:r w:rsidR="00E35000">
        <w:rPr>
          <w:sz w:val="20"/>
          <w:szCs w:val="18"/>
          <w:lang w:val="en-US"/>
        </w:rPr>
        <w:t xml:space="preserve"> (</w:t>
      </w:r>
      <w:proofErr w:type="spellStart"/>
      <w:r w:rsidR="00E35000">
        <w:rPr>
          <w:sz w:val="20"/>
          <w:szCs w:val="18"/>
          <w:lang w:val="en-US"/>
        </w:rPr>
        <w:t>Südzucker</w:t>
      </w:r>
      <w:proofErr w:type="spellEnd"/>
      <w:r w:rsidR="00E35000">
        <w:rPr>
          <w:sz w:val="20"/>
          <w:szCs w:val="18"/>
          <w:lang w:val="en-US"/>
        </w:rPr>
        <w:t xml:space="preserve"> example)</w:t>
      </w:r>
      <w:r w:rsidR="009C78F7">
        <w:rPr>
          <w:sz w:val="20"/>
          <w:szCs w:val="18"/>
          <w:lang w:val="en-US"/>
        </w:rPr>
        <w:t>,</w:t>
      </w:r>
    </w:p>
    <w:p w14:paraId="7A2F1FC5" w14:textId="30F63DFF" w:rsidR="008A4AB3" w:rsidRDefault="009C78F7" w:rsidP="00E176E2">
      <w:pPr>
        <w:pStyle w:val="ListParagraph"/>
        <w:numPr>
          <w:ilvl w:val="3"/>
          <w:numId w:val="37"/>
        </w:numPr>
        <w:spacing w:after="0"/>
        <w:rPr>
          <w:sz w:val="20"/>
          <w:szCs w:val="18"/>
          <w:lang w:val="en-US"/>
        </w:rPr>
      </w:pPr>
      <w:r>
        <w:rPr>
          <w:sz w:val="20"/>
          <w:szCs w:val="18"/>
          <w:lang w:val="en-US"/>
        </w:rPr>
        <w:t xml:space="preserve">the issuer </w:t>
      </w:r>
      <w:proofErr w:type="spellStart"/>
      <w:r w:rsidR="00E35000">
        <w:rPr>
          <w:sz w:val="20"/>
          <w:szCs w:val="18"/>
          <w:lang w:val="en-US"/>
        </w:rPr>
        <w:t>jas</w:t>
      </w:r>
      <w:proofErr w:type="spellEnd"/>
      <w:r w:rsidR="00E35000">
        <w:rPr>
          <w:sz w:val="20"/>
          <w:szCs w:val="18"/>
          <w:lang w:val="en-US"/>
        </w:rPr>
        <w:t xml:space="preserve"> a substantial position relating to a</w:t>
      </w:r>
      <w:r>
        <w:rPr>
          <w:sz w:val="20"/>
          <w:szCs w:val="18"/>
          <w:lang w:val="en-US"/>
        </w:rPr>
        <w:t xml:space="preserve"> </w:t>
      </w:r>
      <w:proofErr w:type="spellStart"/>
      <w:r>
        <w:rPr>
          <w:sz w:val="20"/>
          <w:szCs w:val="18"/>
          <w:lang w:val="en-US"/>
        </w:rPr>
        <w:t>reatively</w:t>
      </w:r>
      <w:proofErr w:type="spellEnd"/>
      <w:r>
        <w:rPr>
          <w:sz w:val="20"/>
          <w:szCs w:val="18"/>
          <w:lang w:val="en-US"/>
        </w:rPr>
        <w:t xml:space="preserve"> novel commodity such as GHG</w:t>
      </w:r>
      <w:r w:rsidR="00B31D70">
        <w:rPr>
          <w:sz w:val="20"/>
          <w:szCs w:val="18"/>
          <w:lang w:val="en-US"/>
        </w:rPr>
        <w:t xml:space="preserve">-quotes </w:t>
      </w:r>
      <w:r w:rsidR="00776AF4">
        <w:rPr>
          <w:sz w:val="20"/>
          <w:szCs w:val="18"/>
          <w:lang w:val="en-US"/>
        </w:rPr>
        <w:t>(</w:t>
      </w:r>
      <w:proofErr w:type="spellStart"/>
      <w:r w:rsidR="00776AF4">
        <w:rPr>
          <w:sz w:val="20"/>
          <w:szCs w:val="18"/>
          <w:lang w:val="en-US"/>
        </w:rPr>
        <w:t>Verbio</w:t>
      </w:r>
      <w:proofErr w:type="spellEnd"/>
      <w:r w:rsidR="00776AF4">
        <w:rPr>
          <w:sz w:val="20"/>
          <w:szCs w:val="18"/>
          <w:lang w:val="en-US"/>
        </w:rPr>
        <w:t xml:space="preserve"> example) </w:t>
      </w:r>
      <w:r w:rsidR="00B31D70">
        <w:rPr>
          <w:sz w:val="20"/>
          <w:szCs w:val="18"/>
          <w:lang w:val="en-US"/>
        </w:rPr>
        <w:t xml:space="preserve">or emission rights relating to the issuers industry in the ETS and </w:t>
      </w:r>
      <w:r w:rsidR="00672F61">
        <w:rPr>
          <w:sz w:val="20"/>
          <w:szCs w:val="18"/>
          <w:lang w:val="en-US"/>
        </w:rPr>
        <w:t xml:space="preserve">therefore could better take a position on how to increase the market value of such assets. </w:t>
      </w:r>
    </w:p>
    <w:p w14:paraId="4FDB1575" w14:textId="5556F5D5" w:rsidR="00CE392F" w:rsidRDefault="00CE392F" w:rsidP="00E176E2">
      <w:pPr>
        <w:pStyle w:val="ListParagraph"/>
        <w:numPr>
          <w:ilvl w:val="3"/>
          <w:numId w:val="37"/>
        </w:numPr>
        <w:spacing w:after="0"/>
        <w:rPr>
          <w:sz w:val="20"/>
          <w:szCs w:val="18"/>
          <w:lang w:val="en-US"/>
        </w:rPr>
      </w:pPr>
      <w:r>
        <w:rPr>
          <w:sz w:val="20"/>
          <w:szCs w:val="18"/>
          <w:lang w:val="en-US"/>
        </w:rPr>
        <w:t xml:space="preserve">an issuer claims </w:t>
      </w:r>
      <w:proofErr w:type="spellStart"/>
      <w:r>
        <w:rPr>
          <w:sz w:val="20"/>
          <w:szCs w:val="18"/>
          <w:lang w:val="en-US"/>
        </w:rPr>
        <w:t>saisonality</w:t>
      </w:r>
      <w:proofErr w:type="spellEnd"/>
      <w:r>
        <w:rPr>
          <w:sz w:val="20"/>
          <w:szCs w:val="18"/>
          <w:lang w:val="en-US"/>
        </w:rPr>
        <w:t xml:space="preserve"> of business to be a</w:t>
      </w:r>
      <w:r w:rsidR="004037CE">
        <w:rPr>
          <w:sz w:val="20"/>
          <w:szCs w:val="18"/>
          <w:lang w:val="en-US"/>
        </w:rPr>
        <w:t xml:space="preserve"> major risk element</w:t>
      </w:r>
      <w:r>
        <w:rPr>
          <w:sz w:val="20"/>
          <w:szCs w:val="18"/>
          <w:lang w:val="en-US"/>
        </w:rPr>
        <w:t xml:space="preserve">, but fails to </w:t>
      </w:r>
      <w:r w:rsidR="004037CE">
        <w:rPr>
          <w:sz w:val="20"/>
          <w:szCs w:val="18"/>
          <w:lang w:val="en-US"/>
        </w:rPr>
        <w:t>address whether costs, in particular financing cost</w:t>
      </w:r>
      <w:r w:rsidR="003D3098">
        <w:rPr>
          <w:sz w:val="20"/>
          <w:szCs w:val="18"/>
          <w:lang w:val="en-US"/>
        </w:rPr>
        <w:t>s and risks, are similarly seasonal (T</w:t>
      </w:r>
      <w:r w:rsidR="001D5D5C">
        <w:rPr>
          <w:sz w:val="20"/>
          <w:szCs w:val="18"/>
          <w:lang w:val="en-US"/>
        </w:rPr>
        <w:t>UI example),</w:t>
      </w:r>
    </w:p>
    <w:p w14:paraId="169296E8" w14:textId="77777777" w:rsidR="00331CF2" w:rsidRDefault="00E14015" w:rsidP="00E176E2">
      <w:pPr>
        <w:pStyle w:val="ListParagraph"/>
        <w:numPr>
          <w:ilvl w:val="3"/>
          <w:numId w:val="37"/>
        </w:numPr>
        <w:spacing w:after="0"/>
        <w:rPr>
          <w:sz w:val="20"/>
          <w:szCs w:val="18"/>
          <w:lang w:val="en-US"/>
        </w:rPr>
      </w:pPr>
      <w:r>
        <w:rPr>
          <w:sz w:val="20"/>
          <w:szCs w:val="18"/>
          <w:lang w:val="en-US"/>
        </w:rPr>
        <w:lastRenderedPageBreak/>
        <w:t>an</w:t>
      </w:r>
      <w:r w:rsidR="001D5D5C">
        <w:rPr>
          <w:sz w:val="20"/>
          <w:szCs w:val="18"/>
          <w:lang w:val="en-US"/>
        </w:rPr>
        <w:t xml:space="preserve"> issuer</w:t>
      </w:r>
      <w:r>
        <w:rPr>
          <w:sz w:val="20"/>
          <w:szCs w:val="18"/>
          <w:lang w:val="en-US"/>
        </w:rPr>
        <w:t xml:space="preserve"> that</w:t>
      </w:r>
      <w:r w:rsidR="001D5D5C">
        <w:rPr>
          <w:sz w:val="20"/>
          <w:szCs w:val="18"/>
          <w:lang w:val="en-US"/>
        </w:rPr>
        <w:t xml:space="preserve"> shows substantial weaknesses in corporate governance </w:t>
      </w:r>
      <w:r w:rsidR="009E7FAA">
        <w:rPr>
          <w:sz w:val="20"/>
          <w:szCs w:val="18"/>
          <w:lang w:val="en-US"/>
        </w:rPr>
        <w:t xml:space="preserve">like </w:t>
      </w:r>
      <w:proofErr w:type="spellStart"/>
      <w:r w:rsidR="009E7FAA">
        <w:rPr>
          <w:sz w:val="20"/>
          <w:szCs w:val="18"/>
          <w:lang w:val="en-US"/>
        </w:rPr>
        <w:t>BayWa</w:t>
      </w:r>
      <w:proofErr w:type="spellEnd"/>
      <w:r w:rsidR="009E7FAA">
        <w:rPr>
          <w:sz w:val="20"/>
          <w:szCs w:val="18"/>
          <w:lang w:val="en-US"/>
        </w:rPr>
        <w:t xml:space="preserve"> at the time of the annual meeting 2024 which indeed </w:t>
      </w:r>
      <w:r w:rsidR="004B49D5">
        <w:rPr>
          <w:sz w:val="20"/>
          <w:szCs w:val="18"/>
          <w:lang w:val="en-US"/>
        </w:rPr>
        <w:t>appear to be closely linked</w:t>
      </w:r>
      <w:r w:rsidR="009E7FAA">
        <w:rPr>
          <w:sz w:val="20"/>
          <w:szCs w:val="18"/>
          <w:lang w:val="en-US"/>
        </w:rPr>
        <w:t xml:space="preserve"> to a major crisis soon thereafter.</w:t>
      </w:r>
    </w:p>
    <w:p w14:paraId="276DE4A3" w14:textId="1B3D37CE" w:rsidR="00E316F8" w:rsidRPr="00331CF2" w:rsidRDefault="008A4AB3" w:rsidP="00331CF2">
      <w:pPr>
        <w:spacing w:after="0"/>
        <w:ind w:left="2520"/>
        <w:rPr>
          <w:sz w:val="20"/>
          <w:szCs w:val="18"/>
          <w:lang w:val="en-US"/>
        </w:rPr>
      </w:pPr>
      <w:r w:rsidRPr="00331CF2">
        <w:rPr>
          <w:sz w:val="20"/>
          <w:szCs w:val="18"/>
          <w:lang w:val="en-US"/>
        </w:rPr>
        <w:t>Whilst criteria such as the management attention or plausibility o</w:t>
      </w:r>
      <w:r w:rsidR="004B49D5" w:rsidRPr="00331CF2">
        <w:rPr>
          <w:sz w:val="20"/>
          <w:szCs w:val="18"/>
          <w:lang w:val="en-US"/>
        </w:rPr>
        <w:t>f</w:t>
      </w:r>
      <w:r w:rsidRPr="00331CF2">
        <w:rPr>
          <w:sz w:val="20"/>
          <w:szCs w:val="18"/>
          <w:lang w:val="en-US"/>
        </w:rPr>
        <w:t xml:space="preserve"> disclosures have relevance for investors, their assessment has </w:t>
      </w:r>
      <w:r w:rsidR="007176A1" w:rsidRPr="00331CF2">
        <w:rPr>
          <w:sz w:val="20"/>
          <w:szCs w:val="18"/>
          <w:lang w:val="en-US"/>
        </w:rPr>
        <w:t xml:space="preserve">been purely subjective </w:t>
      </w:r>
      <w:r w:rsidR="004B49D5" w:rsidRPr="00331CF2">
        <w:rPr>
          <w:sz w:val="20"/>
          <w:szCs w:val="18"/>
          <w:lang w:val="en-US"/>
        </w:rPr>
        <w:t xml:space="preserve">and based on individual work </w:t>
      </w:r>
      <w:r w:rsidR="007176A1" w:rsidRPr="00331CF2">
        <w:rPr>
          <w:sz w:val="20"/>
          <w:szCs w:val="18"/>
          <w:lang w:val="en-US"/>
        </w:rPr>
        <w:t xml:space="preserve">up to now, and </w:t>
      </w:r>
      <w:r w:rsidR="004B49D5" w:rsidRPr="00331CF2">
        <w:rPr>
          <w:sz w:val="20"/>
          <w:szCs w:val="18"/>
          <w:lang w:val="en-US"/>
        </w:rPr>
        <w:t xml:space="preserve">accordingly </w:t>
      </w:r>
      <w:r w:rsidR="00530C55" w:rsidRPr="00331CF2">
        <w:rPr>
          <w:sz w:val="20"/>
          <w:szCs w:val="18"/>
          <w:lang w:val="en-US"/>
        </w:rPr>
        <w:t xml:space="preserve">attention to more recent </w:t>
      </w:r>
      <w:proofErr w:type="spellStart"/>
      <w:r w:rsidR="00530C55" w:rsidRPr="00331CF2">
        <w:rPr>
          <w:sz w:val="20"/>
          <w:szCs w:val="18"/>
          <w:lang w:val="en-US"/>
        </w:rPr>
        <w:t>tipes</w:t>
      </w:r>
      <w:proofErr w:type="spellEnd"/>
      <w:r w:rsidR="00530C55" w:rsidRPr="00331CF2">
        <w:rPr>
          <w:sz w:val="20"/>
          <w:szCs w:val="18"/>
          <w:lang w:val="en-US"/>
        </w:rPr>
        <w:t xml:space="preserve"> of disclosure has been comparatively low or, </w:t>
      </w:r>
      <w:r w:rsidR="00C67CEE" w:rsidRPr="00331CF2">
        <w:rPr>
          <w:sz w:val="20"/>
          <w:szCs w:val="18"/>
          <w:lang w:val="en-US"/>
        </w:rPr>
        <w:t xml:space="preserve">particularly </w:t>
      </w:r>
      <w:r w:rsidR="00530C55" w:rsidRPr="00331CF2">
        <w:rPr>
          <w:sz w:val="20"/>
          <w:szCs w:val="18"/>
          <w:lang w:val="en-US"/>
        </w:rPr>
        <w:t xml:space="preserve">in case </w:t>
      </w:r>
      <w:r w:rsidR="00C67CEE" w:rsidRPr="00331CF2">
        <w:rPr>
          <w:sz w:val="20"/>
          <w:szCs w:val="18"/>
          <w:lang w:val="en-US"/>
        </w:rPr>
        <w:t xml:space="preserve">of remuneration reports, relatively dominated by fewer players </w:t>
      </w:r>
      <w:r w:rsidR="00373714" w:rsidRPr="00331CF2">
        <w:rPr>
          <w:sz w:val="20"/>
          <w:szCs w:val="18"/>
          <w:lang w:val="en-US"/>
        </w:rPr>
        <w:t xml:space="preserve">(like the proxy advisors) </w:t>
      </w:r>
      <w:r w:rsidR="0093075E" w:rsidRPr="00331CF2">
        <w:rPr>
          <w:sz w:val="20"/>
          <w:szCs w:val="18"/>
          <w:lang w:val="en-US"/>
        </w:rPr>
        <w:t xml:space="preserve">with less specific knowledge </w:t>
      </w:r>
      <w:r w:rsidR="00C67CEE" w:rsidRPr="00331CF2">
        <w:rPr>
          <w:sz w:val="20"/>
          <w:szCs w:val="18"/>
          <w:lang w:val="en-US"/>
        </w:rPr>
        <w:t>than useful</w:t>
      </w:r>
      <w:r w:rsidR="007176A1" w:rsidRPr="00331CF2">
        <w:rPr>
          <w:sz w:val="20"/>
          <w:szCs w:val="18"/>
          <w:lang w:val="en-US"/>
        </w:rPr>
        <w:t xml:space="preserve">. </w:t>
      </w:r>
    </w:p>
    <w:p w14:paraId="1A4A7978" w14:textId="253D6C49" w:rsidR="008C14EE" w:rsidRPr="00D2000E" w:rsidRDefault="008C14EE" w:rsidP="00373714">
      <w:pPr>
        <w:pStyle w:val="ListParagraph"/>
        <w:spacing w:after="0"/>
        <w:ind w:left="2160"/>
        <w:rPr>
          <w:sz w:val="20"/>
          <w:szCs w:val="18"/>
          <w:lang w:val="en-US"/>
        </w:rPr>
      </w:pP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3487238F" w14:textId="6951843F" w:rsidR="006B5DF1" w:rsidRPr="00AF763D" w:rsidRDefault="00BD7883" w:rsidP="006B5DF1">
      <w:pPr>
        <w:spacing w:after="0"/>
        <w:rPr>
          <w:sz w:val="20"/>
          <w:szCs w:val="18"/>
        </w:rPr>
      </w:pPr>
      <w:permStart w:id="731332295"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5DBE23DF" w14:textId="77777777" w:rsidR="008B5B20" w:rsidRPr="00AF763D" w:rsidRDefault="008B5B20" w:rsidP="008B5B20">
      <w:pPr>
        <w:spacing w:after="0"/>
        <w:rPr>
          <w:sz w:val="20"/>
          <w:szCs w:val="18"/>
        </w:rPr>
      </w:pPr>
      <w:permStart w:id="1143867747"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
    <w:permEnd w:id="114386774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56579FD9" w14:textId="77777777" w:rsidR="008B5B20" w:rsidRPr="00AF763D" w:rsidRDefault="008B5B20" w:rsidP="008B5B20">
      <w:pPr>
        <w:spacing w:after="0"/>
        <w:rPr>
          <w:sz w:val="20"/>
          <w:szCs w:val="18"/>
        </w:rPr>
      </w:pPr>
      <w:permStart w:id="91707497" w:edGrp="everyone"/>
      <w:permStart w:id="1956864626"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
    <w:permEnd w:id="91707497"/>
    <w:permEnd w:id="1956864626"/>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2C4F3CB7" w:rsidR="007D4F05" w:rsidRDefault="005D40E0" w:rsidP="007D4F05">
      <w:pPr>
        <w:spacing w:after="0"/>
        <w:rPr>
          <w:sz w:val="20"/>
          <w:szCs w:val="18"/>
        </w:rPr>
      </w:pPr>
      <w:permStart w:id="1008013103" w:edGrp="everyone"/>
      <w:r>
        <w:rPr>
          <w:sz w:val="20"/>
          <w:szCs w:val="18"/>
        </w:rPr>
        <w:t xml:space="preserve">Yes. </w:t>
      </w:r>
      <w:r w:rsidR="001644C9">
        <w:rPr>
          <w:sz w:val="20"/>
          <w:szCs w:val="18"/>
        </w:rPr>
        <w:t xml:space="preserve">I believe </w:t>
      </w:r>
      <w:r w:rsidR="006B7B29">
        <w:rPr>
          <w:sz w:val="20"/>
          <w:szCs w:val="18"/>
        </w:rPr>
        <w:t xml:space="preserve">clarity for </w:t>
      </w:r>
      <w:r w:rsidR="001644C9">
        <w:rPr>
          <w:sz w:val="20"/>
          <w:szCs w:val="18"/>
        </w:rPr>
        <w:t xml:space="preserve">issuers and investors </w:t>
      </w:r>
      <w:r w:rsidR="00B51BF8">
        <w:rPr>
          <w:sz w:val="20"/>
          <w:szCs w:val="18"/>
        </w:rPr>
        <w:t xml:space="preserve">as to the timeline </w:t>
      </w:r>
      <w:r w:rsidR="001644C9">
        <w:rPr>
          <w:sz w:val="20"/>
          <w:szCs w:val="18"/>
        </w:rPr>
        <w:t>to orient themselves towards that is only cha</w:t>
      </w:r>
      <w:r w:rsidR="003E165F">
        <w:rPr>
          <w:sz w:val="20"/>
          <w:szCs w:val="18"/>
        </w:rPr>
        <w:t>nged if very major reasons occur so that they do not take changes in regulation as a reason or pretext for le</w:t>
      </w:r>
      <w:r w:rsidR="008D3774">
        <w:rPr>
          <w:sz w:val="20"/>
          <w:szCs w:val="18"/>
        </w:rPr>
        <w:t>ss substantiated disclosure</w:t>
      </w:r>
      <w:r>
        <w:rPr>
          <w:sz w:val="20"/>
          <w:szCs w:val="18"/>
        </w:rPr>
        <w:t>.</w:t>
      </w:r>
    </w:p>
    <w:p w14:paraId="7CF4AFBF" w14:textId="77777777" w:rsidR="00B51BF8" w:rsidRDefault="00B51BF8" w:rsidP="007D4F05">
      <w:pPr>
        <w:spacing w:after="0"/>
        <w:rPr>
          <w:sz w:val="20"/>
          <w:szCs w:val="18"/>
        </w:rPr>
      </w:pPr>
    </w:p>
    <w:p w14:paraId="039F484E" w14:textId="4A7853B8" w:rsidR="005D40E0" w:rsidRPr="00AF763D" w:rsidRDefault="005D40E0" w:rsidP="007D4F05">
      <w:pPr>
        <w:spacing w:after="0"/>
        <w:rPr>
          <w:sz w:val="20"/>
          <w:szCs w:val="18"/>
        </w:rPr>
      </w:pPr>
      <w:r>
        <w:rPr>
          <w:sz w:val="20"/>
          <w:szCs w:val="18"/>
        </w:rPr>
        <w:t>Related developments are likely to take time</w:t>
      </w:r>
      <w:r w:rsidR="00483286">
        <w:rPr>
          <w:sz w:val="20"/>
          <w:szCs w:val="18"/>
        </w:rPr>
        <w:t xml:space="preserve">, </w:t>
      </w:r>
      <w:proofErr w:type="gramStart"/>
      <w:r w:rsidR="00483286">
        <w:rPr>
          <w:sz w:val="20"/>
          <w:szCs w:val="18"/>
        </w:rPr>
        <w:t>in particular taking</w:t>
      </w:r>
      <w:proofErr w:type="gramEnd"/>
      <w:r w:rsidR="00483286">
        <w:rPr>
          <w:sz w:val="20"/>
          <w:szCs w:val="18"/>
        </w:rPr>
        <w:t xml:space="preserve"> the considerations contained in No. </w:t>
      </w:r>
      <w:r w:rsidR="00B51BF8">
        <w:rPr>
          <w:sz w:val="20"/>
          <w:szCs w:val="18"/>
        </w:rPr>
        <w:t>4</w:t>
      </w:r>
      <w:r w:rsidR="00483286">
        <w:rPr>
          <w:sz w:val="20"/>
          <w:szCs w:val="18"/>
        </w:rPr>
        <w:t xml:space="preserve">.2.2. </w:t>
      </w:r>
      <w:r w:rsidR="00A86EA2">
        <w:rPr>
          <w:sz w:val="20"/>
          <w:szCs w:val="18"/>
        </w:rPr>
        <w:t xml:space="preserve">into account, and this should be </w:t>
      </w:r>
      <w:r w:rsidR="00A1361E">
        <w:rPr>
          <w:sz w:val="20"/>
          <w:szCs w:val="18"/>
        </w:rPr>
        <w:t>considered</w:t>
      </w:r>
      <w:r w:rsidR="00A86EA2">
        <w:rPr>
          <w:sz w:val="20"/>
          <w:szCs w:val="18"/>
        </w:rPr>
        <w:t xml:space="preserve"> when setting the timeline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64AD2242" w:rsidR="007D4F05" w:rsidRPr="00AF763D" w:rsidRDefault="007D4F05" w:rsidP="007D4F05">
      <w:pPr>
        <w:spacing w:after="0"/>
        <w:rPr>
          <w:sz w:val="20"/>
          <w:szCs w:val="18"/>
        </w:rPr>
      </w:pPr>
      <w:r w:rsidRPr="00AF763D">
        <w:rPr>
          <w:sz w:val="20"/>
          <w:szCs w:val="18"/>
        </w:rPr>
        <w:t>&lt;SMA_QUESTION_ESEFEEAP_06&gt;</w:t>
      </w:r>
    </w:p>
    <w:p w14:paraId="71A8936D" w14:textId="05C9B290" w:rsidR="007D4F05" w:rsidRPr="00AF763D" w:rsidRDefault="008D3774" w:rsidP="007D4F05">
      <w:pPr>
        <w:spacing w:after="0"/>
        <w:rPr>
          <w:sz w:val="20"/>
          <w:szCs w:val="18"/>
        </w:rPr>
      </w:pPr>
      <w:permStart w:id="772892299" w:edGrp="everyone"/>
      <w:r>
        <w:rPr>
          <w:sz w:val="20"/>
          <w:szCs w:val="18"/>
        </w:rPr>
        <w:lastRenderedPageBreak/>
        <w:t xml:space="preserve">To my mind, extensions as </w:t>
      </w:r>
      <w:r w:rsidR="00853190">
        <w:rPr>
          <w:sz w:val="20"/>
          <w:szCs w:val="18"/>
        </w:rPr>
        <w:t xml:space="preserve">adopted by </w:t>
      </w:r>
      <w:proofErr w:type="spellStart"/>
      <w:r w:rsidR="00853190">
        <w:rPr>
          <w:sz w:val="20"/>
          <w:szCs w:val="18"/>
        </w:rPr>
        <w:t>indivudal</w:t>
      </w:r>
      <w:proofErr w:type="spellEnd"/>
      <w:r w:rsidR="00853190">
        <w:rPr>
          <w:sz w:val="20"/>
          <w:szCs w:val="18"/>
        </w:rPr>
        <w:t xml:space="preserve"> issuers should</w:t>
      </w:r>
      <w:r w:rsidR="003620A0">
        <w:rPr>
          <w:sz w:val="20"/>
          <w:szCs w:val="18"/>
        </w:rPr>
        <w:t xml:space="preserve">, </w:t>
      </w:r>
      <w:proofErr w:type="gramStart"/>
      <w:r w:rsidR="003620A0">
        <w:rPr>
          <w:sz w:val="20"/>
          <w:szCs w:val="18"/>
        </w:rPr>
        <w:t>if at all possible</w:t>
      </w:r>
      <w:proofErr w:type="gramEnd"/>
      <w:r w:rsidR="003620A0">
        <w:rPr>
          <w:sz w:val="20"/>
          <w:szCs w:val="18"/>
        </w:rPr>
        <w:t xml:space="preserve">, be </w:t>
      </w:r>
      <w:r w:rsidR="00B559B3">
        <w:rPr>
          <w:sz w:val="20"/>
          <w:szCs w:val="18"/>
        </w:rPr>
        <w:t>explained, also</w:t>
      </w:r>
      <w:r w:rsidR="005B7F37">
        <w:rPr>
          <w:sz w:val="20"/>
          <w:szCs w:val="18"/>
        </w:rPr>
        <w:t xml:space="preserve"> with a view to</w:t>
      </w:r>
      <w:r w:rsidR="00B559B3">
        <w:rPr>
          <w:sz w:val="20"/>
          <w:szCs w:val="18"/>
        </w:rPr>
        <w:t xml:space="preserve"> understand whether and when they can </w:t>
      </w:r>
      <w:r w:rsidR="005B7F37">
        <w:rPr>
          <w:sz w:val="20"/>
          <w:szCs w:val="18"/>
        </w:rPr>
        <w:t>be integrated into the taxonomy. By way of example, issuer</w:t>
      </w:r>
      <w:r w:rsidR="005C59DC">
        <w:rPr>
          <w:sz w:val="20"/>
          <w:szCs w:val="18"/>
        </w:rPr>
        <w:t>s</w:t>
      </w:r>
      <w:r w:rsidR="005B7F37">
        <w:rPr>
          <w:sz w:val="20"/>
          <w:szCs w:val="18"/>
        </w:rPr>
        <w:t xml:space="preserve"> should </w:t>
      </w:r>
      <w:r w:rsidR="005C59DC">
        <w:rPr>
          <w:sz w:val="20"/>
          <w:szCs w:val="18"/>
        </w:rPr>
        <w:t xml:space="preserve">be made aware that a disclosure that simply suggests the taxonomy is not appropriate for the issuer is likely to be considered as lacking plausibility (see </w:t>
      </w:r>
      <w:r w:rsidR="00CF5CE0">
        <w:rPr>
          <w:sz w:val="20"/>
          <w:szCs w:val="18"/>
        </w:rPr>
        <w:t>ans</w:t>
      </w:r>
      <w:r w:rsidR="00621DAB">
        <w:rPr>
          <w:sz w:val="20"/>
          <w:szCs w:val="18"/>
        </w:rPr>
        <w:t>w</w:t>
      </w:r>
      <w:r w:rsidR="00CF5CE0">
        <w:rPr>
          <w:sz w:val="20"/>
          <w:szCs w:val="18"/>
        </w:rPr>
        <w:t>er to Question 1</w:t>
      </w:r>
      <w:r w:rsidR="00621DAB">
        <w:rPr>
          <w:sz w:val="20"/>
          <w:szCs w:val="18"/>
        </w:rPr>
        <w:t xml:space="preserve">, </w:t>
      </w:r>
      <w:r w:rsidR="00D9154C">
        <w:rPr>
          <w:sz w:val="20"/>
          <w:szCs w:val="18"/>
        </w:rPr>
        <w:t>in particular no. 1</w:t>
      </w:r>
      <w:r w:rsidR="00CF5CE0">
        <w:rPr>
          <w:sz w:val="20"/>
          <w:szCs w:val="18"/>
        </w:rPr>
        <w:t xml:space="preserve">) if it is supported by the taxonomy not being </w:t>
      </w:r>
      <w:r w:rsidR="002D2D5F">
        <w:rPr>
          <w:sz w:val="20"/>
          <w:szCs w:val="18"/>
        </w:rPr>
        <w:t xml:space="preserve">reflective of the </w:t>
      </w:r>
      <w:r w:rsidR="009F0B47">
        <w:rPr>
          <w:sz w:val="20"/>
          <w:szCs w:val="18"/>
        </w:rPr>
        <w:t>ambitions of the issuers</w:t>
      </w:r>
      <w:r w:rsidR="00CF5CE0">
        <w:rPr>
          <w:sz w:val="20"/>
          <w:szCs w:val="18"/>
        </w:rPr>
        <w:t xml:space="preserve"> as opposed to </w:t>
      </w:r>
      <w:r w:rsidR="00165476">
        <w:rPr>
          <w:sz w:val="20"/>
          <w:szCs w:val="18"/>
        </w:rPr>
        <w:t>suggesting what an appropriate disclosure would be, and to what extent the views of the issuer comp</w:t>
      </w:r>
      <w:r w:rsidR="00D9154C">
        <w:rPr>
          <w:sz w:val="20"/>
          <w:szCs w:val="18"/>
        </w:rPr>
        <w:t>l</w:t>
      </w:r>
      <w:r w:rsidR="00165476">
        <w:rPr>
          <w:sz w:val="20"/>
          <w:szCs w:val="18"/>
        </w:rPr>
        <w:t xml:space="preserve">y with the views of the </w:t>
      </w:r>
      <w:r w:rsidR="00036434">
        <w:rPr>
          <w:sz w:val="20"/>
          <w:szCs w:val="18"/>
        </w:rPr>
        <w:t>industry.</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6FFE87E0" w:rsidR="007D4F05" w:rsidRPr="00AF763D" w:rsidRDefault="00036434" w:rsidP="007D4F05">
      <w:pPr>
        <w:spacing w:after="0"/>
        <w:rPr>
          <w:sz w:val="20"/>
          <w:szCs w:val="18"/>
        </w:rPr>
      </w:pPr>
      <w:permStart w:id="638739279" w:edGrp="everyone"/>
      <w:r>
        <w:rPr>
          <w:sz w:val="20"/>
          <w:szCs w:val="18"/>
        </w:rPr>
        <w:t xml:space="preserve">As also </w:t>
      </w:r>
      <w:proofErr w:type="spellStart"/>
      <w:r>
        <w:rPr>
          <w:sz w:val="20"/>
          <w:szCs w:val="18"/>
        </w:rPr>
        <w:t>allued</w:t>
      </w:r>
      <w:proofErr w:type="spellEnd"/>
      <w:r>
        <w:rPr>
          <w:sz w:val="20"/>
          <w:szCs w:val="18"/>
        </w:rPr>
        <w:t xml:space="preserve"> to in </w:t>
      </w:r>
      <w:r w:rsidR="00E42E40">
        <w:rPr>
          <w:sz w:val="20"/>
          <w:szCs w:val="18"/>
        </w:rPr>
        <w:t>the answer to Question 1,</w:t>
      </w:r>
      <w:r w:rsidR="00950616">
        <w:rPr>
          <w:sz w:val="20"/>
          <w:szCs w:val="18"/>
        </w:rPr>
        <w:t xml:space="preserve"> </w:t>
      </w:r>
      <w:proofErr w:type="gramStart"/>
      <w:r w:rsidR="00950616">
        <w:rPr>
          <w:sz w:val="20"/>
          <w:szCs w:val="18"/>
        </w:rPr>
        <w:t>in particular in</w:t>
      </w:r>
      <w:proofErr w:type="gramEnd"/>
      <w:r w:rsidR="00950616">
        <w:rPr>
          <w:sz w:val="20"/>
          <w:szCs w:val="18"/>
        </w:rPr>
        <w:t xml:space="preserve"> No. </w:t>
      </w:r>
      <w:r w:rsidR="0084014F">
        <w:rPr>
          <w:sz w:val="20"/>
          <w:szCs w:val="18"/>
        </w:rPr>
        <w:t>3 and 4,</w:t>
      </w:r>
      <w:r w:rsidR="00E42E40">
        <w:rPr>
          <w:sz w:val="20"/>
          <w:szCs w:val="18"/>
        </w:rPr>
        <w:t xml:space="preserve"> stock-taking should include an assessment of the reaction of capital markets and investors to the </w:t>
      </w:r>
      <w:r w:rsidR="003248E8">
        <w:rPr>
          <w:sz w:val="20"/>
          <w:szCs w:val="18"/>
        </w:rPr>
        <w:t>rules and their implementation under national (corporate)</w:t>
      </w:r>
      <w:r w:rsidR="00396BF4">
        <w:rPr>
          <w:sz w:val="20"/>
          <w:szCs w:val="18"/>
        </w:rPr>
        <w:t>.</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880FD0" w:rsidP="006B5DF1">
      <w:pPr>
        <w:rPr>
          <w:sz w:val="20"/>
          <w:szCs w:val="18"/>
        </w:rPr>
      </w:pPr>
      <w:r w:rsidRPr="00880FD0">
        <w:rPr>
          <w:rFonts w:eastAsia="Times New Roman"/>
          <w:noProof/>
          <w:color w:val="auto"/>
          <w:szCs w:val="22"/>
          <w:lang w:eastAsia="en-GB"/>
        </w:rPr>
        <w:pict w14:anchorId="76B47E22">
          <v:rect id="_x0000_i1032" alt="" style="width:468pt;height:.05pt;mso-width-percent:0;mso-height-percent:0;mso-width-percent:0;mso-height-percent:0"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29EE6EA0" w:rsidR="006A64ED" w:rsidRDefault="006A64ED" w:rsidP="006A64ED">
      <w:pPr>
        <w:spacing w:after="0"/>
        <w:rPr>
          <w:sz w:val="20"/>
          <w:szCs w:val="18"/>
        </w:rPr>
      </w:pPr>
      <w:permStart w:id="43591955" w:edGrp="everyone"/>
      <w:r w:rsidRPr="00AF763D">
        <w:rPr>
          <w:sz w:val="20"/>
          <w:szCs w:val="18"/>
        </w:rPr>
        <w:t>T</w:t>
      </w:r>
      <w:r w:rsidR="0052462D">
        <w:rPr>
          <w:sz w:val="20"/>
          <w:szCs w:val="18"/>
        </w:rPr>
        <w:t xml:space="preserve">he taxonomy should be </w:t>
      </w:r>
      <w:proofErr w:type="gramStart"/>
      <w:r w:rsidR="0052462D">
        <w:rPr>
          <w:sz w:val="20"/>
          <w:szCs w:val="18"/>
        </w:rPr>
        <w:t xml:space="preserve">open, </w:t>
      </w:r>
      <w:r w:rsidR="00C742AD">
        <w:rPr>
          <w:sz w:val="20"/>
          <w:szCs w:val="18"/>
        </w:rPr>
        <w:t>and</w:t>
      </w:r>
      <w:proofErr w:type="gramEnd"/>
      <w:r w:rsidR="00C742AD">
        <w:rPr>
          <w:sz w:val="20"/>
          <w:szCs w:val="18"/>
        </w:rPr>
        <w:t xml:space="preserve"> </w:t>
      </w:r>
      <w:r w:rsidR="00AC7B8A">
        <w:rPr>
          <w:sz w:val="20"/>
          <w:szCs w:val="18"/>
        </w:rPr>
        <w:t xml:space="preserve">aimed only at encouraging the consistent use of terms. </w:t>
      </w:r>
      <w:r w:rsidR="00577BBC">
        <w:rPr>
          <w:sz w:val="20"/>
          <w:szCs w:val="18"/>
        </w:rPr>
        <w:t>Accord</w:t>
      </w:r>
      <w:r w:rsidR="008208E5">
        <w:rPr>
          <w:sz w:val="20"/>
          <w:szCs w:val="18"/>
        </w:rPr>
        <w:t>ingly, t</w:t>
      </w:r>
      <w:r w:rsidR="003C5706">
        <w:rPr>
          <w:sz w:val="20"/>
          <w:szCs w:val="18"/>
        </w:rPr>
        <w:t xml:space="preserve">o my mind, the concept of a closed taxonomy is </w:t>
      </w:r>
      <w:proofErr w:type="spellStart"/>
      <w:r w:rsidR="003C5706">
        <w:rPr>
          <w:sz w:val="20"/>
          <w:szCs w:val="18"/>
        </w:rPr>
        <w:t>fundamentaly</w:t>
      </w:r>
      <w:proofErr w:type="spellEnd"/>
      <w:r w:rsidR="003C5706">
        <w:rPr>
          <w:sz w:val="20"/>
          <w:szCs w:val="18"/>
        </w:rPr>
        <w:t xml:space="preserve"> flawed</w:t>
      </w:r>
      <w:r w:rsidR="004F706A">
        <w:rPr>
          <w:sz w:val="20"/>
          <w:szCs w:val="18"/>
        </w:rPr>
        <w:t xml:space="preserve">, </w:t>
      </w:r>
      <w:r w:rsidR="008208E5">
        <w:rPr>
          <w:sz w:val="20"/>
          <w:szCs w:val="18"/>
        </w:rPr>
        <w:t>with some of the reasoning</w:t>
      </w:r>
      <w:r w:rsidR="00B45ED6">
        <w:rPr>
          <w:sz w:val="20"/>
          <w:szCs w:val="18"/>
        </w:rPr>
        <w:t xml:space="preserve"> also being alluded to in the </w:t>
      </w:r>
      <w:r w:rsidR="004F706A">
        <w:rPr>
          <w:sz w:val="20"/>
          <w:szCs w:val="18"/>
        </w:rPr>
        <w:t xml:space="preserve">Answer to </w:t>
      </w:r>
      <w:r w:rsidR="00347361">
        <w:rPr>
          <w:sz w:val="20"/>
          <w:szCs w:val="18"/>
        </w:rPr>
        <w:t>Question 1</w:t>
      </w:r>
      <w:r w:rsidR="00B45ED6">
        <w:rPr>
          <w:sz w:val="20"/>
          <w:szCs w:val="18"/>
        </w:rPr>
        <w:t>, in particular its No. 2</w:t>
      </w:r>
      <w:r w:rsidR="003C5706">
        <w:rPr>
          <w:sz w:val="20"/>
          <w:szCs w:val="18"/>
        </w:rPr>
        <w:t>.</w:t>
      </w:r>
    </w:p>
    <w:p w14:paraId="594AABBA" w14:textId="77777777" w:rsidR="002764D9" w:rsidRDefault="002764D9" w:rsidP="006A64ED">
      <w:pPr>
        <w:spacing w:after="0"/>
        <w:rPr>
          <w:sz w:val="20"/>
          <w:szCs w:val="18"/>
        </w:rPr>
      </w:pPr>
    </w:p>
    <w:p w14:paraId="02366C46" w14:textId="5F41FCE3" w:rsidR="008617E7" w:rsidRPr="008617E7" w:rsidRDefault="00410CFC" w:rsidP="008617E7">
      <w:pPr>
        <w:spacing w:after="0"/>
        <w:rPr>
          <w:sz w:val="20"/>
          <w:szCs w:val="18"/>
        </w:rPr>
      </w:pPr>
      <w:r>
        <w:rPr>
          <w:sz w:val="20"/>
          <w:szCs w:val="18"/>
        </w:rPr>
        <w:t xml:space="preserve">The best possible use of the taxonomy is to help allocate capital where it is most useful, </w:t>
      </w:r>
      <w:proofErr w:type="gramStart"/>
      <w:r>
        <w:rPr>
          <w:sz w:val="20"/>
          <w:szCs w:val="18"/>
        </w:rPr>
        <w:t>in particular taking</w:t>
      </w:r>
      <w:proofErr w:type="gramEnd"/>
      <w:r>
        <w:rPr>
          <w:sz w:val="20"/>
          <w:szCs w:val="18"/>
        </w:rPr>
        <w:t xml:space="preserve"> </w:t>
      </w:r>
      <w:r w:rsidR="0094378D">
        <w:rPr>
          <w:sz w:val="20"/>
          <w:szCs w:val="18"/>
        </w:rPr>
        <w:t xml:space="preserve">climate change </w:t>
      </w:r>
      <w:r w:rsidR="002E0AED">
        <w:rPr>
          <w:sz w:val="20"/>
          <w:szCs w:val="18"/>
        </w:rPr>
        <w:t xml:space="preserve">and other sustainability </w:t>
      </w:r>
      <w:r w:rsidR="002764D9">
        <w:rPr>
          <w:sz w:val="20"/>
          <w:szCs w:val="18"/>
        </w:rPr>
        <w:t>goals</w:t>
      </w:r>
      <w:r w:rsidR="002E0AED">
        <w:rPr>
          <w:sz w:val="20"/>
          <w:szCs w:val="18"/>
        </w:rPr>
        <w:t xml:space="preserve"> </w:t>
      </w:r>
      <w:r w:rsidR="0094378D">
        <w:rPr>
          <w:sz w:val="20"/>
          <w:szCs w:val="18"/>
        </w:rPr>
        <w:t>into account</w:t>
      </w:r>
      <w:r w:rsidR="0017556D">
        <w:rPr>
          <w:sz w:val="20"/>
          <w:szCs w:val="18"/>
        </w:rPr>
        <w:t xml:space="preserve">, </w:t>
      </w:r>
      <w:r w:rsidR="008267DB">
        <w:rPr>
          <w:sz w:val="20"/>
          <w:szCs w:val="18"/>
        </w:rPr>
        <w:t xml:space="preserve">and the taxonomy should refrain from repeating goals investors will not necessarily deem relevant for themselves, such as </w:t>
      </w:r>
      <w:r w:rsidR="00971B3D">
        <w:rPr>
          <w:sz w:val="20"/>
          <w:szCs w:val="18"/>
        </w:rPr>
        <w:t>the use of nuclear energy or the emission reduction ambitions set out in the Paris Agreement</w:t>
      </w:r>
      <w:r w:rsidR="0094378D">
        <w:rPr>
          <w:sz w:val="20"/>
          <w:szCs w:val="18"/>
        </w:rPr>
        <w:t xml:space="preserve">. </w:t>
      </w:r>
      <w:r w:rsidR="008617E7">
        <w:rPr>
          <w:sz w:val="20"/>
          <w:szCs w:val="18"/>
          <w:lang w:val="en-US"/>
        </w:rPr>
        <w:t xml:space="preserve">Importantly, </w:t>
      </w:r>
      <w:r w:rsidR="008617E7" w:rsidRPr="00EF6257">
        <w:rPr>
          <w:sz w:val="20"/>
          <w:szCs w:val="18"/>
          <w:lang w:val="en-US"/>
        </w:rPr>
        <w:t>contr</w:t>
      </w:r>
      <w:r w:rsidR="008617E7">
        <w:rPr>
          <w:sz w:val="20"/>
          <w:szCs w:val="18"/>
          <w:lang w:val="en-US"/>
        </w:rPr>
        <w:t xml:space="preserve">oversial goals such as the ones on nuclear energy are likely to not be relevant or acceptable to </w:t>
      </w:r>
      <w:proofErr w:type="spellStart"/>
      <w:r w:rsidR="008617E7">
        <w:rPr>
          <w:sz w:val="20"/>
          <w:szCs w:val="18"/>
          <w:lang w:val="en-US"/>
        </w:rPr>
        <w:t>counries</w:t>
      </w:r>
      <w:proofErr w:type="spellEnd"/>
      <w:r w:rsidR="008617E7">
        <w:rPr>
          <w:sz w:val="20"/>
          <w:szCs w:val="18"/>
          <w:lang w:val="en-US"/>
        </w:rPr>
        <w:t xml:space="preserve"> or issuers at large, and therefore limit the importance of the taxonomy if the taxonomy follows them, and in particular limit the ability of the current related EU initiatives to gain relevance outside the EU. </w:t>
      </w:r>
    </w:p>
    <w:p w14:paraId="5406DF94" w14:textId="77777777" w:rsidR="00971B3D" w:rsidRPr="008617E7" w:rsidRDefault="00971B3D" w:rsidP="006A64ED">
      <w:pPr>
        <w:spacing w:after="0"/>
        <w:rPr>
          <w:sz w:val="20"/>
          <w:szCs w:val="18"/>
          <w:lang w:val="en-US"/>
        </w:rPr>
      </w:pPr>
    </w:p>
    <w:p w14:paraId="04C59718" w14:textId="72CDA53F" w:rsidR="00410CFC" w:rsidRDefault="0094378D" w:rsidP="006A64ED">
      <w:pPr>
        <w:spacing w:after="0"/>
        <w:rPr>
          <w:sz w:val="20"/>
          <w:szCs w:val="18"/>
        </w:rPr>
      </w:pPr>
      <w:r>
        <w:rPr>
          <w:sz w:val="20"/>
          <w:szCs w:val="18"/>
        </w:rPr>
        <w:t>A part of th</w:t>
      </w:r>
      <w:r w:rsidR="00971B3D">
        <w:rPr>
          <w:sz w:val="20"/>
          <w:szCs w:val="18"/>
        </w:rPr>
        <w:t>e mentioned</w:t>
      </w:r>
      <w:r>
        <w:rPr>
          <w:sz w:val="20"/>
          <w:szCs w:val="18"/>
        </w:rPr>
        <w:t xml:space="preserve"> allocation process necessarily is that each </w:t>
      </w:r>
      <w:r w:rsidR="00C141E5">
        <w:rPr>
          <w:sz w:val="20"/>
          <w:szCs w:val="18"/>
        </w:rPr>
        <w:t xml:space="preserve">participant in this process develop the criteria for such allocation that the very participant deems to be suited for </w:t>
      </w:r>
      <w:r w:rsidR="00347361">
        <w:rPr>
          <w:sz w:val="20"/>
          <w:szCs w:val="18"/>
        </w:rPr>
        <w:t>the participants o</w:t>
      </w:r>
      <w:r w:rsidR="001D6FDA">
        <w:rPr>
          <w:sz w:val="20"/>
          <w:szCs w:val="18"/>
        </w:rPr>
        <w:t>w</w:t>
      </w:r>
      <w:r w:rsidR="00347361">
        <w:rPr>
          <w:sz w:val="20"/>
          <w:szCs w:val="18"/>
        </w:rPr>
        <w:t>n</w:t>
      </w:r>
      <w:r w:rsidR="00C141E5">
        <w:rPr>
          <w:sz w:val="20"/>
          <w:szCs w:val="18"/>
        </w:rPr>
        <w:t xml:space="preserve"> purposes, and </w:t>
      </w:r>
      <w:r w:rsidR="001D6FDA">
        <w:rPr>
          <w:sz w:val="20"/>
          <w:szCs w:val="18"/>
        </w:rPr>
        <w:t xml:space="preserve">that </w:t>
      </w:r>
      <w:r w:rsidR="00C141E5">
        <w:rPr>
          <w:sz w:val="20"/>
          <w:szCs w:val="18"/>
        </w:rPr>
        <w:t xml:space="preserve">the criteria compete against each other. </w:t>
      </w:r>
      <w:r w:rsidR="0017556D">
        <w:rPr>
          <w:sz w:val="20"/>
          <w:szCs w:val="18"/>
        </w:rPr>
        <w:t xml:space="preserve">For instance, whilst an investor may give little relevance to the emissions an issuer causes, this investor may find it highly relevant that the equipment the issuer produces contributes to reducing emissions. </w:t>
      </w:r>
      <w:proofErr w:type="spellStart"/>
      <w:r w:rsidR="007903A6">
        <w:rPr>
          <w:sz w:val="20"/>
          <w:szCs w:val="18"/>
        </w:rPr>
        <w:t>A</w:t>
      </w:r>
      <w:proofErr w:type="spellEnd"/>
      <w:r w:rsidR="007903A6">
        <w:rPr>
          <w:sz w:val="20"/>
          <w:szCs w:val="18"/>
        </w:rPr>
        <w:t xml:space="preserve"> useful</w:t>
      </w:r>
      <w:r w:rsidR="00E20402">
        <w:rPr>
          <w:sz w:val="20"/>
          <w:szCs w:val="18"/>
        </w:rPr>
        <w:t xml:space="preserve"> function of regulation in </w:t>
      </w:r>
      <w:r w:rsidR="008617E7">
        <w:rPr>
          <w:sz w:val="20"/>
          <w:szCs w:val="18"/>
        </w:rPr>
        <w:t>such individual</w:t>
      </w:r>
      <w:r w:rsidR="0017556D">
        <w:rPr>
          <w:sz w:val="20"/>
          <w:szCs w:val="18"/>
        </w:rPr>
        <w:t xml:space="preserve"> process</w:t>
      </w:r>
      <w:r w:rsidR="008617E7">
        <w:rPr>
          <w:sz w:val="20"/>
          <w:szCs w:val="18"/>
        </w:rPr>
        <w:t>es</w:t>
      </w:r>
      <w:r w:rsidR="00E20402">
        <w:rPr>
          <w:sz w:val="20"/>
          <w:szCs w:val="18"/>
        </w:rPr>
        <w:t xml:space="preserve"> can be to facilitate comparisons</w:t>
      </w:r>
      <w:r w:rsidR="007903A6">
        <w:rPr>
          <w:sz w:val="20"/>
          <w:szCs w:val="18"/>
        </w:rPr>
        <w:t xml:space="preserve">. </w:t>
      </w:r>
      <w:r w:rsidR="0055152C">
        <w:rPr>
          <w:sz w:val="20"/>
          <w:szCs w:val="18"/>
        </w:rPr>
        <w:t>If, rather, the implementation of the taxonomy is designed to</w:t>
      </w:r>
      <w:r w:rsidR="007903A6">
        <w:rPr>
          <w:sz w:val="20"/>
          <w:szCs w:val="18"/>
        </w:rPr>
        <w:t xml:space="preserve"> replace the </w:t>
      </w:r>
      <w:r w:rsidR="00D25B66">
        <w:rPr>
          <w:sz w:val="20"/>
          <w:szCs w:val="18"/>
        </w:rPr>
        <w:t xml:space="preserve">mentioned </w:t>
      </w:r>
      <w:r w:rsidR="007903A6">
        <w:rPr>
          <w:sz w:val="20"/>
          <w:szCs w:val="18"/>
        </w:rPr>
        <w:t>competition</w:t>
      </w:r>
      <w:r w:rsidR="00CC48D4">
        <w:rPr>
          <w:sz w:val="20"/>
          <w:szCs w:val="18"/>
        </w:rPr>
        <w:t xml:space="preserve"> of approaches, it</w:t>
      </w:r>
      <w:r w:rsidR="007903A6">
        <w:rPr>
          <w:sz w:val="20"/>
          <w:szCs w:val="18"/>
        </w:rPr>
        <w:t xml:space="preserve"> is </w:t>
      </w:r>
      <w:r w:rsidR="00EF6257">
        <w:rPr>
          <w:sz w:val="20"/>
          <w:szCs w:val="18"/>
        </w:rPr>
        <w:t xml:space="preserve">very likely to </w:t>
      </w:r>
      <w:r w:rsidR="00CC48D4">
        <w:rPr>
          <w:sz w:val="20"/>
          <w:szCs w:val="18"/>
        </w:rPr>
        <w:t xml:space="preserve">not </w:t>
      </w:r>
      <w:proofErr w:type="spellStart"/>
      <w:r w:rsidR="00CC48D4">
        <w:rPr>
          <w:sz w:val="20"/>
          <w:szCs w:val="18"/>
        </w:rPr>
        <w:t>ony</w:t>
      </w:r>
      <w:proofErr w:type="spellEnd"/>
      <w:r w:rsidR="00CC48D4">
        <w:rPr>
          <w:sz w:val="20"/>
          <w:szCs w:val="18"/>
        </w:rPr>
        <w:t xml:space="preserve"> not help, but </w:t>
      </w:r>
      <w:r w:rsidR="00996897">
        <w:rPr>
          <w:sz w:val="20"/>
          <w:szCs w:val="18"/>
        </w:rPr>
        <w:t xml:space="preserve">negatively impact this competition as it </w:t>
      </w:r>
      <w:r w:rsidR="008C02C1">
        <w:rPr>
          <w:sz w:val="20"/>
          <w:szCs w:val="18"/>
        </w:rPr>
        <w:t xml:space="preserve">will make it </w:t>
      </w:r>
      <w:proofErr w:type="spellStart"/>
      <w:r w:rsidR="008C02C1">
        <w:rPr>
          <w:sz w:val="20"/>
          <w:szCs w:val="18"/>
        </w:rPr>
        <w:t>unduely</w:t>
      </w:r>
      <w:proofErr w:type="spellEnd"/>
      <w:r w:rsidR="008C02C1">
        <w:rPr>
          <w:sz w:val="20"/>
          <w:szCs w:val="18"/>
        </w:rPr>
        <w:t xml:space="preserve"> difficult for investors to digest information that investors do not believe is relevant to them</w:t>
      </w:r>
      <w:r w:rsidR="00EF6257">
        <w:rPr>
          <w:sz w:val="20"/>
          <w:szCs w:val="18"/>
        </w:rPr>
        <w:t>.</w:t>
      </w:r>
      <w:r w:rsidR="00373D17">
        <w:rPr>
          <w:sz w:val="20"/>
          <w:szCs w:val="18"/>
        </w:rPr>
        <w:t xml:space="preserve"> </w:t>
      </w:r>
      <w:r w:rsidR="004B5114">
        <w:rPr>
          <w:sz w:val="20"/>
          <w:szCs w:val="18"/>
        </w:rPr>
        <w:t xml:space="preserve">This </w:t>
      </w:r>
      <w:r w:rsidR="008C02C1">
        <w:rPr>
          <w:sz w:val="20"/>
          <w:szCs w:val="18"/>
        </w:rPr>
        <w:t>l</w:t>
      </w:r>
      <w:r w:rsidR="00CD51A5">
        <w:rPr>
          <w:sz w:val="20"/>
          <w:szCs w:val="18"/>
        </w:rPr>
        <w:t xml:space="preserve">ikely outcome can be </w:t>
      </w:r>
      <w:r w:rsidR="004B5114">
        <w:rPr>
          <w:sz w:val="20"/>
          <w:szCs w:val="18"/>
        </w:rPr>
        <w:t>i</w:t>
      </w:r>
      <w:r w:rsidR="00373D17">
        <w:rPr>
          <w:sz w:val="20"/>
          <w:szCs w:val="18"/>
        </w:rPr>
        <w:t xml:space="preserve">llustrated </w:t>
      </w:r>
      <w:r w:rsidR="00CD51A5">
        <w:rPr>
          <w:sz w:val="20"/>
          <w:szCs w:val="18"/>
        </w:rPr>
        <w:t xml:space="preserve">using the example of </w:t>
      </w:r>
      <w:r w:rsidR="004B5114">
        <w:rPr>
          <w:sz w:val="20"/>
          <w:szCs w:val="18"/>
        </w:rPr>
        <w:t xml:space="preserve">an </w:t>
      </w:r>
      <w:r w:rsidR="00373D17">
        <w:rPr>
          <w:sz w:val="20"/>
          <w:szCs w:val="18"/>
        </w:rPr>
        <w:t xml:space="preserve">asset manager for retail investors who might well be </w:t>
      </w:r>
      <w:r w:rsidR="00C2144A">
        <w:rPr>
          <w:sz w:val="20"/>
          <w:szCs w:val="18"/>
        </w:rPr>
        <w:t xml:space="preserve">very open </w:t>
      </w:r>
      <w:r w:rsidR="006B188B">
        <w:rPr>
          <w:sz w:val="20"/>
          <w:szCs w:val="18"/>
        </w:rPr>
        <w:t xml:space="preserve">to sustainability </w:t>
      </w:r>
      <w:proofErr w:type="gramStart"/>
      <w:r w:rsidR="006B188B">
        <w:rPr>
          <w:sz w:val="20"/>
          <w:szCs w:val="18"/>
        </w:rPr>
        <w:t>issues</w:t>
      </w:r>
      <w:r w:rsidR="00C2144A">
        <w:rPr>
          <w:sz w:val="20"/>
          <w:szCs w:val="18"/>
        </w:rPr>
        <w:t>,</w:t>
      </w:r>
      <w:r w:rsidR="006B188B">
        <w:rPr>
          <w:sz w:val="20"/>
          <w:szCs w:val="18"/>
        </w:rPr>
        <w:t xml:space="preserve"> but</w:t>
      </w:r>
      <w:proofErr w:type="gramEnd"/>
      <w:r w:rsidR="00C2144A">
        <w:rPr>
          <w:sz w:val="20"/>
          <w:szCs w:val="18"/>
        </w:rPr>
        <w:t xml:space="preserve"> will most</w:t>
      </w:r>
      <w:r w:rsidR="006B188B">
        <w:rPr>
          <w:sz w:val="20"/>
          <w:szCs w:val="18"/>
        </w:rPr>
        <w:t xml:space="preserve"> likely </w:t>
      </w:r>
      <w:r w:rsidR="003759FD">
        <w:rPr>
          <w:sz w:val="20"/>
          <w:szCs w:val="18"/>
        </w:rPr>
        <w:t xml:space="preserve">want to simplify </w:t>
      </w:r>
      <w:r w:rsidR="00014F0E">
        <w:rPr>
          <w:sz w:val="20"/>
          <w:szCs w:val="18"/>
        </w:rPr>
        <w:t xml:space="preserve">the </w:t>
      </w:r>
      <w:r w:rsidR="003759FD">
        <w:rPr>
          <w:sz w:val="20"/>
          <w:szCs w:val="18"/>
        </w:rPr>
        <w:t xml:space="preserve">information this asset manager receives so as to </w:t>
      </w:r>
      <w:r w:rsidR="00901A6A">
        <w:rPr>
          <w:sz w:val="20"/>
          <w:szCs w:val="18"/>
        </w:rPr>
        <w:t xml:space="preserve">convince the clients of the asset manager, and </w:t>
      </w:r>
      <w:r w:rsidR="003A2113">
        <w:rPr>
          <w:sz w:val="20"/>
          <w:szCs w:val="18"/>
        </w:rPr>
        <w:t xml:space="preserve">add his more subjective views to such simplified information. </w:t>
      </w:r>
    </w:p>
    <w:permEnd w:id="43591955"/>
    <w:p w14:paraId="0F047D54" w14:textId="77777777" w:rsidR="006A64ED" w:rsidRPr="00EF6257" w:rsidRDefault="006A64ED" w:rsidP="006A64ED">
      <w:pPr>
        <w:spacing w:after="0"/>
        <w:rPr>
          <w:sz w:val="20"/>
          <w:szCs w:val="18"/>
          <w:lang w:val="en-US"/>
        </w:rPr>
      </w:pPr>
      <w:r w:rsidRPr="00EF6257">
        <w:rPr>
          <w:sz w:val="20"/>
          <w:szCs w:val="18"/>
          <w:lang w:val="en-US"/>
        </w:rPr>
        <w:t>&lt;ESMA_QUESTION_ESEFEEAP_08&gt;</w:t>
      </w:r>
    </w:p>
    <w:p w14:paraId="3C0AF02A" w14:textId="77777777" w:rsidR="00AF763D" w:rsidRPr="00EF6257" w:rsidRDefault="00AF763D" w:rsidP="007D4F05">
      <w:pPr>
        <w:spacing w:after="0" w:line="240" w:lineRule="auto"/>
        <w:jc w:val="left"/>
        <w:rPr>
          <w:rFonts w:eastAsia="Times New Roman"/>
          <w:b/>
          <w:bCs/>
          <w:color w:val="auto"/>
          <w:szCs w:val="22"/>
          <w:lang w:val="en-US"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lastRenderedPageBreak/>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55EF94DE" w14:textId="77777777" w:rsidR="001A32D2" w:rsidRPr="00AF763D" w:rsidRDefault="001A32D2" w:rsidP="001A32D2">
      <w:pPr>
        <w:spacing w:after="0"/>
        <w:rPr>
          <w:sz w:val="20"/>
          <w:szCs w:val="18"/>
        </w:rPr>
      </w:pPr>
      <w:permStart w:id="1699051560"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
    <w:permEnd w:id="1699051560"/>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6D2BF470" w14:textId="77777777" w:rsidR="00EB1CA3" w:rsidRPr="00AF763D" w:rsidRDefault="00EB1CA3" w:rsidP="00EB1CA3">
      <w:pPr>
        <w:spacing w:after="0"/>
        <w:rPr>
          <w:sz w:val="20"/>
          <w:szCs w:val="18"/>
        </w:rPr>
      </w:pPr>
      <w:permStart w:id="670334041"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
    <w:permEnd w:id="67033404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6D44A22C" w:rsidR="006A64ED" w:rsidRPr="00AF763D" w:rsidRDefault="009340B5" w:rsidP="006A64ED">
      <w:pPr>
        <w:spacing w:after="0"/>
        <w:rPr>
          <w:sz w:val="20"/>
          <w:szCs w:val="18"/>
        </w:rPr>
      </w:pPr>
      <w:permStart w:id="74010525" w:edGrp="everyone"/>
      <w:r>
        <w:rPr>
          <w:sz w:val="20"/>
          <w:szCs w:val="18"/>
        </w:rPr>
        <w:t>See my answer to Question 7</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880FD0" w:rsidP="006B5DF1">
      <w:pPr>
        <w:rPr>
          <w:sz w:val="20"/>
          <w:szCs w:val="18"/>
          <w:lang w:val="en-US"/>
        </w:rPr>
      </w:pPr>
      <w:r w:rsidRPr="00880FD0">
        <w:rPr>
          <w:rFonts w:eastAsia="Times New Roman"/>
          <w:noProof/>
          <w:color w:val="auto"/>
          <w:szCs w:val="22"/>
          <w:lang w:eastAsia="en-GB"/>
        </w:rPr>
        <w:pict w14:anchorId="74CE50E6">
          <v:rect id="_x0000_i1031" alt="" style="width:468pt;height:.05pt;mso-width-percent:0;mso-height-percent:0;mso-width-percent:0;mso-height-percent:0"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5761F4A5" w14:textId="77777777" w:rsidR="006C51DB" w:rsidRPr="00AF763D" w:rsidRDefault="006C51DB" w:rsidP="006C51DB">
      <w:pPr>
        <w:spacing w:after="0"/>
        <w:rPr>
          <w:sz w:val="20"/>
          <w:szCs w:val="18"/>
        </w:rPr>
      </w:pPr>
      <w:permStart w:id="1023742674" w:edGrp="everyone"/>
      <w:permStart w:id="1328420196"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
    <w:permEnd w:id="1023742674"/>
    <w:permEnd w:id="1328420196"/>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36C4BA2" w14:textId="77777777" w:rsidR="00032816" w:rsidRPr="00AF763D" w:rsidRDefault="00032816" w:rsidP="00032816">
      <w:pPr>
        <w:spacing w:after="0"/>
        <w:rPr>
          <w:sz w:val="20"/>
          <w:szCs w:val="18"/>
        </w:rPr>
      </w:pPr>
      <w:permStart w:id="1335782585"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
    <w:permEnd w:id="1335782585"/>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70543EB7" w14:textId="77777777" w:rsidR="00582963" w:rsidRPr="00AF763D" w:rsidRDefault="00582963" w:rsidP="00582963">
      <w:pPr>
        <w:spacing w:after="0"/>
        <w:rPr>
          <w:sz w:val="20"/>
          <w:szCs w:val="18"/>
        </w:rPr>
      </w:pPr>
      <w:permStart w:id="87377640"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
    <w:permEnd w:id="87377640"/>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880FD0" w:rsidP="006B5DF1">
      <w:pPr>
        <w:rPr>
          <w:rFonts w:eastAsia="Times New Roman"/>
          <w:color w:val="auto"/>
          <w:sz w:val="24"/>
          <w:szCs w:val="24"/>
          <w:lang w:eastAsia="en-GB"/>
        </w:rPr>
      </w:pPr>
      <w:r w:rsidRPr="00880FD0">
        <w:rPr>
          <w:rFonts w:eastAsia="Times New Roman"/>
          <w:noProof/>
          <w:color w:val="auto"/>
          <w:sz w:val="24"/>
          <w:szCs w:val="24"/>
          <w:lang w:eastAsia="en-GB"/>
        </w:rPr>
        <w:lastRenderedPageBreak/>
        <w:pict w14:anchorId="2C3C194B">
          <v:rect id="_x0000_i1030" alt="" style="width:468pt;height:.05pt;mso-width-percent:0;mso-height-percent:0;mso-width-percent:0;mso-height-percent:0"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23244567" w14:textId="77777777" w:rsidR="005B0C1D" w:rsidRDefault="003B7A4E" w:rsidP="003B7A4E">
      <w:pPr>
        <w:spacing w:after="0"/>
        <w:rPr>
          <w:sz w:val="20"/>
          <w:szCs w:val="18"/>
          <w:lang w:val="en-US"/>
        </w:rPr>
      </w:pPr>
      <w:permStart w:id="1970232525" w:edGrp="everyone"/>
      <w:r>
        <w:rPr>
          <w:sz w:val="20"/>
          <w:szCs w:val="18"/>
        </w:rPr>
        <w:t>The assertion, in No. 148, namely</w:t>
      </w:r>
      <w:r w:rsidRPr="003B7A4E">
        <w:rPr>
          <w:sz w:val="20"/>
          <w:szCs w:val="18"/>
          <w:lang w:val="en-US"/>
        </w:rPr>
        <w:t xml:space="preserve">. </w:t>
      </w:r>
    </w:p>
    <w:p w14:paraId="7DDB4776" w14:textId="77777777" w:rsidR="005B0C1D" w:rsidRDefault="005B0C1D" w:rsidP="003B7A4E">
      <w:pPr>
        <w:spacing w:after="0"/>
        <w:rPr>
          <w:sz w:val="20"/>
          <w:szCs w:val="18"/>
          <w:lang w:val="en-US"/>
        </w:rPr>
      </w:pPr>
    </w:p>
    <w:p w14:paraId="1482B8B8" w14:textId="418747D3" w:rsidR="00334E26" w:rsidRDefault="00334E26" w:rsidP="00D04C4B">
      <w:pPr>
        <w:spacing w:after="0"/>
        <w:ind w:left="630"/>
        <w:rPr>
          <w:sz w:val="20"/>
          <w:szCs w:val="18"/>
          <w:lang w:val="en-US"/>
        </w:rPr>
      </w:pPr>
      <w:r>
        <w:rPr>
          <w:sz w:val="20"/>
          <w:szCs w:val="18"/>
          <w:lang w:val="en-US"/>
        </w:rPr>
        <w:t>“</w:t>
      </w:r>
      <w:r w:rsidR="003B7A4E" w:rsidRPr="003B7A4E">
        <w:rPr>
          <w:sz w:val="20"/>
          <w:szCs w:val="18"/>
          <w:lang w:val="en-US"/>
        </w:rPr>
        <w:t xml:space="preserve">Furthermore, text block markups are inherently less suited to automated analysis compared to individually tagged numerical values (e.g., monetary amounts, percentages), </w:t>
      </w:r>
      <w:proofErr w:type="spellStart"/>
      <w:r w:rsidR="003B7A4E" w:rsidRPr="003B7A4E">
        <w:rPr>
          <w:sz w:val="20"/>
          <w:szCs w:val="18"/>
          <w:lang w:val="en-US"/>
        </w:rPr>
        <w:t>booleans</w:t>
      </w:r>
      <w:proofErr w:type="spellEnd"/>
      <w:r w:rsidR="003B7A4E" w:rsidRPr="003B7A4E">
        <w:rPr>
          <w:sz w:val="20"/>
          <w:szCs w:val="18"/>
          <w:lang w:val="en-US"/>
        </w:rPr>
        <w:t xml:space="preserve">, or enumerations. Text block markups are unrestricted in structure and formatting, allowing them to contain paragraphs, tables, diagrams, images, or any other HTML content, without limits on content size. A text block markup might include a single sentence, a paragraph, an entire page, or even hundreds of pages of disclosures. The usability and comparability of marked-up content often depend on the content’s size and formatting, with large, </w:t>
      </w:r>
      <w:proofErr w:type="gramStart"/>
      <w:r w:rsidR="003B7A4E" w:rsidRPr="003B7A4E">
        <w:rPr>
          <w:sz w:val="20"/>
          <w:szCs w:val="18"/>
          <w:lang w:val="en-US"/>
        </w:rPr>
        <w:t>highly-styled</w:t>
      </w:r>
      <w:proofErr w:type="gramEnd"/>
      <w:r w:rsidR="003B7A4E" w:rsidRPr="003B7A4E">
        <w:rPr>
          <w:sz w:val="20"/>
          <w:szCs w:val="18"/>
          <w:lang w:val="en-US"/>
        </w:rPr>
        <w:t>, or unstructured text block markups spanning multiple pages being less practical and comparable when extracted in isolation</w:t>
      </w:r>
      <w:r>
        <w:rPr>
          <w:sz w:val="20"/>
          <w:szCs w:val="18"/>
          <w:lang w:val="en-US"/>
        </w:rPr>
        <w:t>”</w:t>
      </w:r>
    </w:p>
    <w:p w14:paraId="3599B893" w14:textId="77777777" w:rsidR="00B43BF4" w:rsidRDefault="00B43BF4" w:rsidP="005B0C1D">
      <w:pPr>
        <w:spacing w:after="0"/>
        <w:ind w:left="1418"/>
        <w:rPr>
          <w:sz w:val="20"/>
          <w:szCs w:val="18"/>
          <w:lang w:val="en-US"/>
        </w:rPr>
      </w:pPr>
    </w:p>
    <w:p w14:paraId="5A3A7731" w14:textId="5B1B66B2" w:rsidR="00830019" w:rsidRDefault="00CF6A75" w:rsidP="003B7A4E">
      <w:pPr>
        <w:spacing w:after="0"/>
        <w:rPr>
          <w:sz w:val="20"/>
          <w:szCs w:val="18"/>
          <w:lang w:val="en-US"/>
        </w:rPr>
      </w:pPr>
      <w:r>
        <w:rPr>
          <w:sz w:val="20"/>
          <w:szCs w:val="18"/>
          <w:lang w:val="en-US"/>
        </w:rPr>
        <w:t>r</w:t>
      </w:r>
      <w:r w:rsidR="00334E26">
        <w:rPr>
          <w:sz w:val="20"/>
          <w:szCs w:val="18"/>
          <w:lang w:val="en-US"/>
        </w:rPr>
        <w:t xml:space="preserve">eflects a fundamental flaw in </w:t>
      </w:r>
      <w:r>
        <w:rPr>
          <w:sz w:val="20"/>
          <w:szCs w:val="18"/>
          <w:lang w:val="en-US"/>
        </w:rPr>
        <w:t xml:space="preserve">the assessment of the </w:t>
      </w:r>
      <w:r w:rsidR="00D04C4B">
        <w:rPr>
          <w:sz w:val="20"/>
          <w:szCs w:val="18"/>
          <w:lang w:val="en-US"/>
        </w:rPr>
        <w:t>potential</w:t>
      </w:r>
      <w:r>
        <w:rPr>
          <w:sz w:val="20"/>
          <w:szCs w:val="18"/>
          <w:lang w:val="en-US"/>
        </w:rPr>
        <w:t xml:space="preserve"> of IT</w:t>
      </w:r>
      <w:r w:rsidR="005B0C1D">
        <w:rPr>
          <w:sz w:val="20"/>
          <w:szCs w:val="18"/>
          <w:lang w:val="en-US"/>
        </w:rPr>
        <w:t xml:space="preserve"> in that too</w:t>
      </w:r>
      <w:r w:rsidR="00077CA4">
        <w:rPr>
          <w:sz w:val="20"/>
          <w:szCs w:val="18"/>
          <w:lang w:val="en-US"/>
        </w:rPr>
        <w:t xml:space="preserve"> </w:t>
      </w:r>
      <w:r w:rsidR="00875635">
        <w:rPr>
          <w:sz w:val="20"/>
          <w:szCs w:val="18"/>
          <w:lang w:val="en-US"/>
        </w:rPr>
        <w:t>high a</w:t>
      </w:r>
      <w:r w:rsidR="00077CA4">
        <w:rPr>
          <w:sz w:val="20"/>
          <w:szCs w:val="18"/>
          <w:lang w:val="en-US"/>
        </w:rPr>
        <w:t xml:space="preserve"> value </w:t>
      </w:r>
      <w:r w:rsidR="00F86F9C">
        <w:rPr>
          <w:sz w:val="20"/>
          <w:szCs w:val="18"/>
          <w:lang w:val="en-US"/>
        </w:rPr>
        <w:t xml:space="preserve">is </w:t>
      </w:r>
      <w:r w:rsidR="00077CA4">
        <w:rPr>
          <w:sz w:val="20"/>
          <w:szCs w:val="18"/>
          <w:lang w:val="en-US"/>
        </w:rPr>
        <w:t xml:space="preserve">given to </w:t>
      </w:r>
      <w:r w:rsidR="0021797A">
        <w:rPr>
          <w:sz w:val="20"/>
          <w:szCs w:val="18"/>
          <w:lang w:val="en-US"/>
        </w:rPr>
        <w:t xml:space="preserve">more </w:t>
      </w:r>
      <w:r w:rsidR="00077CA4">
        <w:rPr>
          <w:sz w:val="20"/>
          <w:szCs w:val="18"/>
          <w:lang w:val="en-US"/>
        </w:rPr>
        <w:t xml:space="preserve">technical as compared to </w:t>
      </w:r>
      <w:r w:rsidR="006346E3">
        <w:rPr>
          <w:sz w:val="20"/>
          <w:szCs w:val="18"/>
          <w:lang w:val="en-US"/>
        </w:rPr>
        <w:t xml:space="preserve">more </w:t>
      </w:r>
      <w:r w:rsidR="00077CA4">
        <w:rPr>
          <w:sz w:val="20"/>
          <w:szCs w:val="18"/>
          <w:lang w:val="en-US"/>
        </w:rPr>
        <w:t xml:space="preserve">managerial </w:t>
      </w:r>
      <w:r w:rsidR="00875635">
        <w:rPr>
          <w:sz w:val="20"/>
          <w:szCs w:val="18"/>
          <w:lang w:val="en-US"/>
        </w:rPr>
        <w:t>evaluation</w:t>
      </w:r>
      <w:r w:rsidR="003E25C7">
        <w:rPr>
          <w:sz w:val="20"/>
          <w:szCs w:val="18"/>
          <w:lang w:val="en-US"/>
        </w:rPr>
        <w:t xml:space="preserve"> of information</w:t>
      </w:r>
      <w:r w:rsidR="009B6C07">
        <w:rPr>
          <w:sz w:val="20"/>
          <w:szCs w:val="18"/>
          <w:lang w:val="en-US"/>
        </w:rPr>
        <w:t xml:space="preserve">. </w:t>
      </w:r>
      <w:proofErr w:type="spellStart"/>
      <w:r w:rsidR="009B6C07">
        <w:rPr>
          <w:sz w:val="20"/>
          <w:szCs w:val="18"/>
          <w:lang w:val="en-US"/>
        </w:rPr>
        <w:t>Furthermre</w:t>
      </w:r>
      <w:proofErr w:type="spellEnd"/>
      <w:r w:rsidR="007F70CC">
        <w:rPr>
          <w:sz w:val="20"/>
          <w:szCs w:val="18"/>
          <w:lang w:val="en-US"/>
        </w:rPr>
        <w:t xml:space="preserve">, </w:t>
      </w:r>
      <w:r w:rsidR="00287569">
        <w:rPr>
          <w:sz w:val="20"/>
          <w:szCs w:val="18"/>
          <w:lang w:val="en-US"/>
        </w:rPr>
        <w:t xml:space="preserve">preference is given to </w:t>
      </w:r>
      <w:r w:rsidR="00E257A8">
        <w:rPr>
          <w:sz w:val="20"/>
          <w:szCs w:val="18"/>
          <w:lang w:val="en-US"/>
        </w:rPr>
        <w:t>short term considerations by issuers and investors representatives</w:t>
      </w:r>
      <w:r w:rsidR="007F70CC">
        <w:rPr>
          <w:sz w:val="20"/>
          <w:szCs w:val="18"/>
          <w:lang w:val="en-US"/>
        </w:rPr>
        <w:t xml:space="preserve"> </w:t>
      </w:r>
      <w:r w:rsidR="009569F8">
        <w:rPr>
          <w:sz w:val="20"/>
          <w:szCs w:val="18"/>
          <w:lang w:val="en-US"/>
        </w:rPr>
        <w:t>that seem to focus on limiting the risk of</w:t>
      </w:r>
      <w:r w:rsidR="007F70CC">
        <w:rPr>
          <w:sz w:val="20"/>
          <w:szCs w:val="18"/>
          <w:lang w:val="en-US"/>
        </w:rPr>
        <w:t xml:space="preserve"> </w:t>
      </w:r>
      <w:r w:rsidR="003568FB">
        <w:rPr>
          <w:sz w:val="20"/>
          <w:szCs w:val="18"/>
          <w:lang w:val="en-US"/>
        </w:rPr>
        <w:t>liabilit</w:t>
      </w:r>
      <w:r w:rsidR="007F70CC">
        <w:rPr>
          <w:sz w:val="20"/>
          <w:szCs w:val="18"/>
          <w:lang w:val="en-US"/>
        </w:rPr>
        <w:t>y</w:t>
      </w:r>
      <w:r w:rsidR="003568FB">
        <w:rPr>
          <w:sz w:val="20"/>
          <w:szCs w:val="18"/>
          <w:lang w:val="en-US"/>
        </w:rPr>
        <w:t xml:space="preserve"> as opposed to </w:t>
      </w:r>
      <w:r w:rsidR="007F70CC">
        <w:rPr>
          <w:sz w:val="20"/>
          <w:szCs w:val="18"/>
          <w:lang w:val="en-US"/>
        </w:rPr>
        <w:t>welco</w:t>
      </w:r>
      <w:r w:rsidR="009569F8">
        <w:rPr>
          <w:sz w:val="20"/>
          <w:szCs w:val="18"/>
          <w:lang w:val="en-US"/>
        </w:rPr>
        <w:t>ming</w:t>
      </w:r>
      <w:r w:rsidR="007F70CC">
        <w:rPr>
          <w:sz w:val="20"/>
          <w:szCs w:val="18"/>
          <w:lang w:val="en-US"/>
        </w:rPr>
        <w:t xml:space="preserve"> </w:t>
      </w:r>
      <w:r w:rsidR="00287569">
        <w:rPr>
          <w:sz w:val="20"/>
          <w:szCs w:val="18"/>
          <w:lang w:val="en-US"/>
        </w:rPr>
        <w:t xml:space="preserve">the improvement of </w:t>
      </w:r>
      <w:r w:rsidR="003568FB">
        <w:rPr>
          <w:sz w:val="20"/>
          <w:szCs w:val="18"/>
          <w:lang w:val="en-US"/>
        </w:rPr>
        <w:t>fundaments for managerial decisions</w:t>
      </w:r>
      <w:r w:rsidR="003B7A4E" w:rsidRPr="003B7A4E">
        <w:rPr>
          <w:sz w:val="20"/>
          <w:szCs w:val="18"/>
          <w:lang w:val="en-US"/>
        </w:rPr>
        <w:t>.</w:t>
      </w:r>
    </w:p>
    <w:p w14:paraId="7DBA1C50" w14:textId="77777777" w:rsidR="00B43BF4" w:rsidRDefault="00B43BF4" w:rsidP="003B7A4E">
      <w:pPr>
        <w:spacing w:after="0"/>
        <w:rPr>
          <w:sz w:val="20"/>
          <w:szCs w:val="18"/>
          <w:lang w:val="en-US"/>
        </w:rPr>
      </w:pPr>
    </w:p>
    <w:p w14:paraId="4AB1A1EE" w14:textId="3E92F901" w:rsidR="00A862EF" w:rsidRDefault="00D670D2" w:rsidP="003B7A4E">
      <w:pPr>
        <w:spacing w:after="0"/>
        <w:rPr>
          <w:sz w:val="20"/>
          <w:szCs w:val="18"/>
          <w:lang w:val="en-US"/>
        </w:rPr>
      </w:pPr>
      <w:r>
        <w:rPr>
          <w:sz w:val="20"/>
          <w:szCs w:val="18"/>
          <w:lang w:val="en-US"/>
        </w:rPr>
        <w:t>The</w:t>
      </w:r>
      <w:r w:rsidR="00830019">
        <w:rPr>
          <w:sz w:val="20"/>
          <w:szCs w:val="18"/>
          <w:lang w:val="en-US"/>
        </w:rPr>
        <w:t xml:space="preserve"> flaw</w:t>
      </w:r>
      <w:r w:rsidR="001B6132">
        <w:rPr>
          <w:sz w:val="20"/>
          <w:szCs w:val="18"/>
          <w:lang w:val="en-US"/>
        </w:rPr>
        <w:t xml:space="preserve"> in</w:t>
      </w:r>
      <w:r w:rsidR="00830019">
        <w:rPr>
          <w:sz w:val="20"/>
          <w:szCs w:val="18"/>
          <w:lang w:val="en-US"/>
        </w:rPr>
        <w:t xml:space="preserve"> </w:t>
      </w:r>
      <w:r w:rsidR="00AE69E8">
        <w:rPr>
          <w:sz w:val="20"/>
          <w:szCs w:val="18"/>
          <w:lang w:val="en-US"/>
        </w:rPr>
        <w:t xml:space="preserve">the text </w:t>
      </w:r>
      <w:r w:rsidR="001B6132">
        <w:rPr>
          <w:sz w:val="20"/>
          <w:szCs w:val="18"/>
          <w:lang w:val="en-US"/>
        </w:rPr>
        <w:t>mentioned</w:t>
      </w:r>
      <w:r>
        <w:rPr>
          <w:sz w:val="20"/>
          <w:szCs w:val="18"/>
          <w:lang w:val="en-US"/>
        </w:rPr>
        <w:t xml:space="preserve"> </w:t>
      </w:r>
      <w:r w:rsidR="00B43BF4">
        <w:rPr>
          <w:sz w:val="20"/>
          <w:szCs w:val="18"/>
          <w:lang w:val="en-US"/>
        </w:rPr>
        <w:t xml:space="preserve">probably is caused by </w:t>
      </w:r>
      <w:r w:rsidR="00407C1C">
        <w:rPr>
          <w:sz w:val="20"/>
          <w:szCs w:val="18"/>
          <w:lang w:val="en-US"/>
        </w:rPr>
        <w:t xml:space="preserve">it becoming easily plausible </w:t>
      </w:r>
      <w:r w:rsidR="00B43BF4">
        <w:rPr>
          <w:sz w:val="20"/>
          <w:szCs w:val="18"/>
          <w:lang w:val="en-US"/>
        </w:rPr>
        <w:t xml:space="preserve">how </w:t>
      </w:r>
      <w:r w:rsidR="00AE69E8">
        <w:rPr>
          <w:sz w:val="20"/>
          <w:szCs w:val="18"/>
          <w:lang w:val="en-US"/>
        </w:rPr>
        <w:t xml:space="preserve">IT </w:t>
      </w:r>
      <w:r w:rsidR="00407C1C">
        <w:rPr>
          <w:sz w:val="20"/>
          <w:szCs w:val="18"/>
          <w:lang w:val="en-US"/>
        </w:rPr>
        <w:t>can be</w:t>
      </w:r>
      <w:r w:rsidR="00B43BF4">
        <w:rPr>
          <w:sz w:val="20"/>
          <w:szCs w:val="18"/>
          <w:lang w:val="en-US"/>
        </w:rPr>
        <w:t xml:space="preserve"> useful to </w:t>
      </w:r>
      <w:r w:rsidR="00AE69E8">
        <w:rPr>
          <w:sz w:val="20"/>
          <w:szCs w:val="18"/>
          <w:lang w:val="en-US"/>
        </w:rPr>
        <w:t>highlight the difference between two figures.</w:t>
      </w:r>
      <w:r w:rsidR="00A13619">
        <w:rPr>
          <w:sz w:val="20"/>
          <w:szCs w:val="18"/>
          <w:lang w:val="en-US"/>
        </w:rPr>
        <w:t xml:space="preserve"> </w:t>
      </w:r>
      <w:r w:rsidR="00AE69E8">
        <w:rPr>
          <w:sz w:val="20"/>
          <w:szCs w:val="18"/>
          <w:lang w:val="en-US"/>
        </w:rPr>
        <w:t xml:space="preserve">At the same time, </w:t>
      </w:r>
      <w:r w:rsidR="00A13619">
        <w:rPr>
          <w:sz w:val="20"/>
          <w:szCs w:val="18"/>
          <w:lang w:val="en-US"/>
        </w:rPr>
        <w:t xml:space="preserve">even this immediate plausibility </w:t>
      </w:r>
      <w:r w:rsidR="00B27369">
        <w:rPr>
          <w:sz w:val="20"/>
          <w:szCs w:val="18"/>
          <w:lang w:val="en-US"/>
        </w:rPr>
        <w:t xml:space="preserve">should not be overemphasized, as </w:t>
      </w:r>
      <w:r w:rsidR="00AE69E8">
        <w:rPr>
          <w:sz w:val="20"/>
          <w:szCs w:val="18"/>
          <w:lang w:val="en-US"/>
        </w:rPr>
        <w:t xml:space="preserve">an attentive reader </w:t>
      </w:r>
      <w:r w:rsidR="00B27369">
        <w:rPr>
          <w:sz w:val="20"/>
          <w:szCs w:val="18"/>
          <w:lang w:val="en-US"/>
        </w:rPr>
        <w:t>can</w:t>
      </w:r>
      <w:r w:rsidR="00AE69E8">
        <w:rPr>
          <w:sz w:val="20"/>
          <w:szCs w:val="18"/>
          <w:lang w:val="en-US"/>
        </w:rPr>
        <w:t xml:space="preserve"> </w:t>
      </w:r>
      <w:r w:rsidR="007E4000">
        <w:rPr>
          <w:sz w:val="20"/>
          <w:szCs w:val="18"/>
          <w:lang w:val="en-US"/>
        </w:rPr>
        <w:t xml:space="preserve">benefit from himself </w:t>
      </w:r>
      <w:r w:rsidR="00863943">
        <w:rPr>
          <w:sz w:val="20"/>
          <w:szCs w:val="18"/>
          <w:lang w:val="en-US"/>
        </w:rPr>
        <w:t xml:space="preserve">making the effort to </w:t>
      </w:r>
      <w:r w:rsidR="007E4000">
        <w:rPr>
          <w:sz w:val="20"/>
          <w:szCs w:val="18"/>
          <w:lang w:val="en-US"/>
        </w:rPr>
        <w:t>assessing such a difference</w:t>
      </w:r>
      <w:r w:rsidR="00863943">
        <w:rPr>
          <w:sz w:val="20"/>
          <w:szCs w:val="18"/>
          <w:lang w:val="en-US"/>
        </w:rPr>
        <w:t xml:space="preserve"> without </w:t>
      </w:r>
      <w:proofErr w:type="spellStart"/>
      <w:r w:rsidR="00863943">
        <w:rPr>
          <w:sz w:val="20"/>
          <w:szCs w:val="18"/>
          <w:lang w:val="en-US"/>
        </w:rPr>
        <w:t>tecknical</w:t>
      </w:r>
      <w:proofErr w:type="spellEnd"/>
      <w:r w:rsidR="00863943">
        <w:rPr>
          <w:sz w:val="20"/>
          <w:szCs w:val="18"/>
          <w:lang w:val="en-US"/>
        </w:rPr>
        <w:t xml:space="preserve"> </w:t>
      </w:r>
      <w:proofErr w:type="gramStart"/>
      <w:r w:rsidR="00863943">
        <w:rPr>
          <w:sz w:val="20"/>
          <w:szCs w:val="18"/>
          <w:lang w:val="en-US"/>
        </w:rPr>
        <w:t>help</w:t>
      </w:r>
      <w:r w:rsidR="00B43BF4">
        <w:rPr>
          <w:sz w:val="20"/>
          <w:szCs w:val="18"/>
          <w:lang w:val="en-US"/>
        </w:rPr>
        <w:t>, and</w:t>
      </w:r>
      <w:proofErr w:type="gramEnd"/>
      <w:r w:rsidR="00B43BF4">
        <w:rPr>
          <w:sz w:val="20"/>
          <w:szCs w:val="18"/>
          <w:lang w:val="en-US"/>
        </w:rPr>
        <w:t xml:space="preserve"> retaining an understanding of the dimension of the figures in question</w:t>
      </w:r>
      <w:r w:rsidR="00863943">
        <w:rPr>
          <w:sz w:val="20"/>
          <w:szCs w:val="18"/>
          <w:lang w:val="en-US"/>
        </w:rPr>
        <w:t xml:space="preserve">. </w:t>
      </w:r>
    </w:p>
    <w:p w14:paraId="15ECEC6F" w14:textId="77777777" w:rsidR="00A862EF" w:rsidRDefault="00A862EF" w:rsidP="003B7A4E">
      <w:pPr>
        <w:spacing w:after="0"/>
        <w:rPr>
          <w:sz w:val="20"/>
          <w:szCs w:val="18"/>
          <w:lang w:val="en-US"/>
        </w:rPr>
      </w:pPr>
    </w:p>
    <w:p w14:paraId="67F3CE5D" w14:textId="7131B8D3" w:rsidR="00A862EF" w:rsidRDefault="00B43BF4" w:rsidP="003B7A4E">
      <w:pPr>
        <w:spacing w:after="0"/>
        <w:rPr>
          <w:sz w:val="20"/>
          <w:szCs w:val="18"/>
          <w:lang w:val="en-US"/>
        </w:rPr>
      </w:pPr>
      <w:r>
        <w:rPr>
          <w:sz w:val="20"/>
          <w:szCs w:val="18"/>
          <w:lang w:val="en-US"/>
        </w:rPr>
        <w:t>Much more importantly, i</w:t>
      </w:r>
      <w:r w:rsidR="00863943">
        <w:rPr>
          <w:sz w:val="20"/>
          <w:szCs w:val="18"/>
          <w:lang w:val="en-US"/>
        </w:rPr>
        <w:t>n comparison</w:t>
      </w:r>
      <w:r w:rsidR="00505CD9">
        <w:rPr>
          <w:sz w:val="20"/>
          <w:szCs w:val="18"/>
          <w:lang w:val="en-US"/>
        </w:rPr>
        <w:t xml:space="preserve"> to </w:t>
      </w:r>
      <w:r w:rsidR="00014102">
        <w:rPr>
          <w:sz w:val="20"/>
          <w:szCs w:val="18"/>
          <w:lang w:val="en-US"/>
        </w:rPr>
        <w:t>the evaluation of figures</w:t>
      </w:r>
      <w:r w:rsidR="00863943">
        <w:rPr>
          <w:sz w:val="20"/>
          <w:szCs w:val="18"/>
          <w:lang w:val="en-US"/>
        </w:rPr>
        <w:t xml:space="preserve">, </w:t>
      </w:r>
      <w:r w:rsidR="007E4000">
        <w:rPr>
          <w:sz w:val="20"/>
          <w:szCs w:val="18"/>
          <w:lang w:val="en-US"/>
        </w:rPr>
        <w:t xml:space="preserve">the time and effort required for a reader to </w:t>
      </w:r>
      <w:r w:rsidR="00542F79">
        <w:rPr>
          <w:sz w:val="20"/>
          <w:szCs w:val="18"/>
          <w:lang w:val="en-US"/>
        </w:rPr>
        <w:t>come to a reasoned conclusion about</w:t>
      </w:r>
      <w:r>
        <w:rPr>
          <w:sz w:val="20"/>
          <w:szCs w:val="18"/>
          <w:lang w:val="en-US"/>
        </w:rPr>
        <w:t>, for instance,</w:t>
      </w:r>
      <w:r w:rsidR="00542F79">
        <w:rPr>
          <w:sz w:val="20"/>
          <w:szCs w:val="18"/>
          <w:lang w:val="en-US"/>
        </w:rPr>
        <w:t xml:space="preserve"> </w:t>
      </w:r>
      <w:r>
        <w:rPr>
          <w:sz w:val="20"/>
          <w:szCs w:val="18"/>
          <w:lang w:val="en-US"/>
        </w:rPr>
        <w:t xml:space="preserve">the </w:t>
      </w:r>
      <w:r w:rsidR="006E3DE6">
        <w:rPr>
          <w:sz w:val="20"/>
          <w:szCs w:val="18"/>
          <w:lang w:val="en-US"/>
        </w:rPr>
        <w:t>discussion</w:t>
      </w:r>
      <w:r>
        <w:rPr>
          <w:sz w:val="20"/>
          <w:szCs w:val="18"/>
          <w:lang w:val="en-US"/>
        </w:rPr>
        <w:t>, in financial statements,</w:t>
      </w:r>
      <w:r w:rsidR="006E3DE6">
        <w:rPr>
          <w:sz w:val="20"/>
          <w:szCs w:val="18"/>
          <w:lang w:val="en-US"/>
        </w:rPr>
        <w:t xml:space="preserve"> of risk assessments </w:t>
      </w:r>
      <w:r w:rsidR="003A5A41">
        <w:rPr>
          <w:sz w:val="20"/>
          <w:szCs w:val="18"/>
          <w:lang w:val="en-US"/>
        </w:rPr>
        <w:t xml:space="preserve">of manyfold </w:t>
      </w:r>
      <w:proofErr w:type="spellStart"/>
      <w:r w:rsidR="003A5A41">
        <w:rPr>
          <w:sz w:val="20"/>
          <w:szCs w:val="18"/>
          <w:lang w:val="en-US"/>
        </w:rPr>
        <w:t>issuears</w:t>
      </w:r>
      <w:proofErr w:type="spellEnd"/>
      <w:r w:rsidR="006E3DE6">
        <w:rPr>
          <w:sz w:val="20"/>
          <w:szCs w:val="18"/>
          <w:lang w:val="en-US"/>
        </w:rPr>
        <w:t xml:space="preserve">, will </w:t>
      </w:r>
      <w:r w:rsidR="00014102">
        <w:rPr>
          <w:sz w:val="20"/>
          <w:szCs w:val="18"/>
          <w:lang w:val="en-US"/>
        </w:rPr>
        <w:t xml:space="preserve">per se likely </w:t>
      </w:r>
      <w:r w:rsidR="006E3DE6">
        <w:rPr>
          <w:sz w:val="20"/>
          <w:szCs w:val="18"/>
          <w:lang w:val="en-US"/>
        </w:rPr>
        <w:t xml:space="preserve">be very substantial, and </w:t>
      </w:r>
      <w:r w:rsidR="001F75CC">
        <w:rPr>
          <w:sz w:val="20"/>
          <w:szCs w:val="18"/>
          <w:lang w:val="en-US"/>
        </w:rPr>
        <w:t xml:space="preserve">if a </w:t>
      </w:r>
      <w:r w:rsidR="006E3DE6">
        <w:rPr>
          <w:sz w:val="20"/>
          <w:szCs w:val="18"/>
          <w:lang w:val="en-US"/>
        </w:rPr>
        <w:t>reader is</w:t>
      </w:r>
      <w:r w:rsidR="001F75CC">
        <w:rPr>
          <w:sz w:val="20"/>
          <w:szCs w:val="18"/>
          <w:lang w:val="en-US"/>
        </w:rPr>
        <w:t xml:space="preserve"> willing to come to a conclusion, such a reader is</w:t>
      </w:r>
      <w:r w:rsidR="006E3DE6">
        <w:rPr>
          <w:sz w:val="20"/>
          <w:szCs w:val="18"/>
          <w:lang w:val="en-US"/>
        </w:rPr>
        <w:t xml:space="preserve"> likely to resort to word processing techniques such as </w:t>
      </w:r>
      <w:r w:rsidR="005101E9">
        <w:rPr>
          <w:sz w:val="20"/>
          <w:szCs w:val="18"/>
          <w:lang w:val="en-US"/>
        </w:rPr>
        <w:t xml:space="preserve">comparing texts and setting them out in a table format which IT can without major effort </w:t>
      </w:r>
      <w:r w:rsidR="00121439">
        <w:rPr>
          <w:sz w:val="20"/>
          <w:szCs w:val="18"/>
          <w:lang w:val="en-US"/>
        </w:rPr>
        <w:t>produce.</w:t>
      </w:r>
      <w:r>
        <w:rPr>
          <w:sz w:val="20"/>
          <w:szCs w:val="18"/>
          <w:lang w:val="en-US"/>
        </w:rPr>
        <w:t xml:space="preserve"> Be it with or without the use of such word processing technology, senior attention is likely to be turned away from </w:t>
      </w:r>
      <w:r w:rsidR="00A862EF">
        <w:rPr>
          <w:sz w:val="20"/>
          <w:szCs w:val="18"/>
          <w:lang w:val="en-US"/>
        </w:rPr>
        <w:t xml:space="preserve">getting into detail of such risk assessments. In case such a senior person has more junior resources available for the task, most likely direction and perception would be lost by the senior person instructing the more junior people. </w:t>
      </w:r>
    </w:p>
    <w:p w14:paraId="421AF68A" w14:textId="77777777" w:rsidR="00A862EF" w:rsidRDefault="00A862EF" w:rsidP="003B7A4E">
      <w:pPr>
        <w:spacing w:after="0"/>
        <w:rPr>
          <w:sz w:val="20"/>
          <w:szCs w:val="18"/>
          <w:lang w:val="en-US"/>
        </w:rPr>
      </w:pPr>
    </w:p>
    <w:p w14:paraId="5500C819" w14:textId="3EF68F66" w:rsidR="003B7A4E" w:rsidRDefault="00121439" w:rsidP="003B7A4E">
      <w:pPr>
        <w:spacing w:after="0"/>
        <w:rPr>
          <w:sz w:val="20"/>
          <w:szCs w:val="18"/>
          <w:lang w:val="en-US"/>
        </w:rPr>
      </w:pPr>
      <w:r>
        <w:rPr>
          <w:sz w:val="20"/>
          <w:szCs w:val="18"/>
          <w:lang w:val="en-US"/>
        </w:rPr>
        <w:t xml:space="preserve">Whilst it is true that the result IT will produce will </w:t>
      </w:r>
      <w:r w:rsidR="00A862EF">
        <w:rPr>
          <w:sz w:val="20"/>
          <w:szCs w:val="18"/>
          <w:lang w:val="en-US"/>
        </w:rPr>
        <w:t>frequently</w:t>
      </w:r>
      <w:r>
        <w:rPr>
          <w:sz w:val="20"/>
          <w:szCs w:val="18"/>
          <w:lang w:val="en-US"/>
        </w:rPr>
        <w:t xml:space="preserve"> be </w:t>
      </w:r>
      <w:r w:rsidR="00577E47">
        <w:rPr>
          <w:sz w:val="20"/>
          <w:szCs w:val="18"/>
          <w:lang w:val="en-US"/>
        </w:rPr>
        <w:t>useful</w:t>
      </w:r>
      <w:r w:rsidR="00A862EF">
        <w:rPr>
          <w:sz w:val="20"/>
          <w:szCs w:val="18"/>
          <w:lang w:val="en-US"/>
        </w:rPr>
        <w:t xml:space="preserve"> only</w:t>
      </w:r>
      <w:r w:rsidR="00577E47">
        <w:rPr>
          <w:sz w:val="20"/>
          <w:szCs w:val="18"/>
          <w:lang w:val="en-US"/>
        </w:rPr>
        <w:t xml:space="preserve"> with subjective input, the time required for </w:t>
      </w:r>
      <w:r w:rsidR="00A862EF">
        <w:rPr>
          <w:sz w:val="20"/>
          <w:szCs w:val="18"/>
          <w:lang w:val="en-US"/>
        </w:rPr>
        <w:t xml:space="preserve">obtaining </w:t>
      </w:r>
      <w:r w:rsidR="00577E47">
        <w:rPr>
          <w:sz w:val="20"/>
          <w:szCs w:val="18"/>
          <w:lang w:val="en-US"/>
        </w:rPr>
        <w:t xml:space="preserve">such subjective input </w:t>
      </w:r>
      <w:r w:rsidR="00A862EF">
        <w:rPr>
          <w:sz w:val="20"/>
          <w:szCs w:val="18"/>
          <w:lang w:val="en-US"/>
        </w:rPr>
        <w:t xml:space="preserve">and making it available </w:t>
      </w:r>
      <w:r w:rsidR="00577E47">
        <w:rPr>
          <w:sz w:val="20"/>
          <w:szCs w:val="18"/>
          <w:lang w:val="en-US"/>
        </w:rPr>
        <w:t xml:space="preserve">can be very </w:t>
      </w:r>
      <w:proofErr w:type="spellStart"/>
      <w:r w:rsidR="00577E47">
        <w:rPr>
          <w:sz w:val="20"/>
          <w:szCs w:val="18"/>
          <w:lang w:val="en-US"/>
        </w:rPr>
        <w:t>subsanially</w:t>
      </w:r>
      <w:proofErr w:type="spellEnd"/>
      <w:r w:rsidR="00577E47">
        <w:rPr>
          <w:sz w:val="20"/>
          <w:szCs w:val="18"/>
          <w:lang w:val="en-US"/>
        </w:rPr>
        <w:t xml:space="preserve"> reduced and attention turned to </w:t>
      </w:r>
      <w:r w:rsidR="00B22AE6">
        <w:rPr>
          <w:sz w:val="20"/>
          <w:szCs w:val="18"/>
          <w:lang w:val="en-US"/>
        </w:rPr>
        <w:t xml:space="preserve">the more </w:t>
      </w:r>
      <w:proofErr w:type="spellStart"/>
      <w:r w:rsidR="00B22AE6">
        <w:rPr>
          <w:sz w:val="20"/>
          <w:szCs w:val="18"/>
          <w:lang w:val="en-US"/>
        </w:rPr>
        <w:t>in</w:t>
      </w:r>
      <w:r w:rsidR="00A862EF">
        <w:rPr>
          <w:sz w:val="20"/>
          <w:szCs w:val="18"/>
          <w:lang w:val="en-US"/>
        </w:rPr>
        <w:t>t</w:t>
      </w:r>
      <w:r w:rsidR="00B22AE6">
        <w:rPr>
          <w:sz w:val="20"/>
          <w:szCs w:val="18"/>
          <w:lang w:val="en-US"/>
        </w:rPr>
        <w:t>ellecetually</w:t>
      </w:r>
      <w:proofErr w:type="spellEnd"/>
      <w:r w:rsidR="00B22AE6">
        <w:rPr>
          <w:sz w:val="20"/>
          <w:szCs w:val="18"/>
          <w:lang w:val="en-US"/>
        </w:rPr>
        <w:t xml:space="preserve"> challenging parts of reporting and of capital markets </w:t>
      </w:r>
      <w:r w:rsidR="00A862EF">
        <w:rPr>
          <w:sz w:val="20"/>
          <w:szCs w:val="18"/>
          <w:lang w:val="en-US"/>
        </w:rPr>
        <w:t>parameters</w:t>
      </w:r>
      <w:r w:rsidR="00B22AE6">
        <w:rPr>
          <w:sz w:val="20"/>
          <w:szCs w:val="18"/>
          <w:lang w:val="en-US"/>
        </w:rPr>
        <w:t xml:space="preserve"> at large as already explained in </w:t>
      </w:r>
      <w:r w:rsidR="005F28C9">
        <w:rPr>
          <w:sz w:val="20"/>
          <w:szCs w:val="18"/>
          <w:lang w:val="en-US"/>
        </w:rPr>
        <w:t xml:space="preserve">answer to Question 1. The role of regulation and consolidation of criteria, in this context, is to </w:t>
      </w:r>
      <w:r w:rsidR="00150DD6">
        <w:rPr>
          <w:sz w:val="20"/>
          <w:szCs w:val="18"/>
          <w:lang w:val="en-US"/>
        </w:rPr>
        <w:t xml:space="preserve">facilitate the comparison and </w:t>
      </w:r>
      <w:r w:rsidR="002670B8">
        <w:rPr>
          <w:sz w:val="20"/>
          <w:szCs w:val="18"/>
          <w:lang w:val="en-US"/>
        </w:rPr>
        <w:t xml:space="preserve">the development of new standards. </w:t>
      </w:r>
      <w:r w:rsidR="00A862EF">
        <w:rPr>
          <w:sz w:val="20"/>
          <w:szCs w:val="18"/>
          <w:lang w:val="en-US"/>
        </w:rPr>
        <w:t xml:space="preserve">By way of example, an analysis of the CVs of management </w:t>
      </w:r>
      <w:proofErr w:type="spellStart"/>
      <w:r w:rsidR="00A862EF">
        <w:rPr>
          <w:sz w:val="20"/>
          <w:szCs w:val="18"/>
          <w:lang w:val="en-US"/>
        </w:rPr>
        <w:t>personell</w:t>
      </w:r>
      <w:proofErr w:type="spellEnd"/>
      <w:r w:rsidR="00A862EF">
        <w:rPr>
          <w:sz w:val="20"/>
          <w:szCs w:val="18"/>
          <w:lang w:val="en-US"/>
        </w:rPr>
        <w:t xml:space="preserve"> could easily establish patterns and select standard and </w:t>
      </w:r>
      <w:proofErr w:type="spellStart"/>
      <w:proofErr w:type="gramStart"/>
      <w:r w:rsidR="00A862EF">
        <w:rPr>
          <w:sz w:val="20"/>
          <w:szCs w:val="18"/>
          <w:lang w:val="en-US"/>
        </w:rPr>
        <w:t>non standard</w:t>
      </w:r>
      <w:proofErr w:type="spellEnd"/>
      <w:proofErr w:type="gramEnd"/>
      <w:r w:rsidR="00A862EF">
        <w:rPr>
          <w:sz w:val="20"/>
          <w:szCs w:val="18"/>
          <w:lang w:val="en-US"/>
        </w:rPr>
        <w:t xml:space="preserve"> CVs. The </w:t>
      </w:r>
      <w:proofErr w:type="spellStart"/>
      <w:proofErr w:type="gramStart"/>
      <w:r w:rsidR="00A862EF">
        <w:rPr>
          <w:sz w:val="20"/>
          <w:szCs w:val="18"/>
          <w:lang w:val="en-US"/>
        </w:rPr>
        <w:t>non standard</w:t>
      </w:r>
      <w:proofErr w:type="spellEnd"/>
      <w:proofErr w:type="gramEnd"/>
      <w:r w:rsidR="00A862EF">
        <w:rPr>
          <w:sz w:val="20"/>
          <w:szCs w:val="18"/>
          <w:lang w:val="en-US"/>
        </w:rPr>
        <w:t xml:space="preserve"> CVs, in turn, could be reviewed by senior experts to determine whether the non-standard approach suggests a strategy or lack of expertise and attention.</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79B6CC9A" w14:textId="35EE9752" w:rsidR="00582963" w:rsidRPr="00AF763D" w:rsidRDefault="00582963" w:rsidP="00582963">
      <w:pPr>
        <w:spacing w:after="0"/>
        <w:rPr>
          <w:sz w:val="20"/>
          <w:szCs w:val="18"/>
        </w:rPr>
      </w:pPr>
      <w:permStart w:id="481916913" w:edGrp="everyone"/>
      <w:permStart w:id="448817910"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
    <w:permEnd w:id="448817910"/>
    <w:p w14:paraId="170277F5" w14:textId="74D41818" w:rsidR="006A64ED" w:rsidRPr="00AF763D" w:rsidRDefault="006A64ED" w:rsidP="006A64ED">
      <w:pPr>
        <w:spacing w:after="0"/>
        <w:rPr>
          <w:sz w:val="20"/>
          <w:szCs w:val="18"/>
        </w:rPr>
      </w:pPr>
      <w:r w:rsidRPr="00AF763D">
        <w:rPr>
          <w:sz w:val="20"/>
          <w:szCs w:val="18"/>
        </w:rPr>
        <w:t>RE</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471B4256" w14:textId="2A985C08" w:rsidR="006A64ED" w:rsidRPr="00AF763D" w:rsidRDefault="00582963" w:rsidP="006A64ED">
      <w:pPr>
        <w:spacing w:after="0"/>
        <w:rPr>
          <w:sz w:val="20"/>
          <w:szCs w:val="18"/>
        </w:rPr>
      </w:pPr>
      <w:permStart w:id="662070572" w:edGrp="everyone"/>
      <w:permStart w:id="957830267"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ermEnd w:id="957830267"/>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5A9FE8CF" w14:textId="77777777" w:rsidR="00D71A74" w:rsidRDefault="005915EB" w:rsidP="006A64ED">
      <w:pPr>
        <w:spacing w:after="0"/>
        <w:rPr>
          <w:sz w:val="20"/>
          <w:szCs w:val="18"/>
        </w:rPr>
      </w:pPr>
      <w:permStart w:id="419173650" w:edGrp="everyone"/>
      <w:r>
        <w:rPr>
          <w:sz w:val="20"/>
          <w:szCs w:val="18"/>
        </w:rPr>
        <w:t>I believe th</w:t>
      </w:r>
      <w:r w:rsidR="00582963">
        <w:rPr>
          <w:sz w:val="20"/>
          <w:szCs w:val="18"/>
        </w:rPr>
        <w:t>at th</w:t>
      </w:r>
      <w:r>
        <w:rPr>
          <w:sz w:val="20"/>
          <w:szCs w:val="18"/>
        </w:rPr>
        <w:t xml:space="preserve">e more standardisation such as </w:t>
      </w:r>
      <w:r w:rsidR="00370858">
        <w:rPr>
          <w:sz w:val="20"/>
          <w:szCs w:val="18"/>
        </w:rPr>
        <w:t>on the marking of the notes and the text referring to IFRS or oth</w:t>
      </w:r>
      <w:r w:rsidR="00D71A74">
        <w:rPr>
          <w:sz w:val="20"/>
          <w:szCs w:val="18"/>
        </w:rPr>
        <w:t>e</w:t>
      </w:r>
      <w:r w:rsidR="00370858">
        <w:rPr>
          <w:sz w:val="20"/>
          <w:szCs w:val="18"/>
        </w:rPr>
        <w:t>r accounting practices</w:t>
      </w:r>
      <w:r w:rsidR="00D71A74">
        <w:rPr>
          <w:sz w:val="20"/>
          <w:szCs w:val="18"/>
        </w:rPr>
        <w:t xml:space="preserve"> is possible</w:t>
      </w:r>
      <w:r w:rsidR="00370858">
        <w:rPr>
          <w:sz w:val="20"/>
          <w:szCs w:val="18"/>
        </w:rPr>
        <w:t>, the better.</w:t>
      </w:r>
      <w:r w:rsidR="00047B82">
        <w:rPr>
          <w:sz w:val="20"/>
          <w:szCs w:val="18"/>
        </w:rPr>
        <w:t xml:space="preserve"> Such </w:t>
      </w:r>
      <w:proofErr w:type="spellStart"/>
      <w:r w:rsidR="00047B82">
        <w:rPr>
          <w:sz w:val="20"/>
          <w:szCs w:val="18"/>
        </w:rPr>
        <w:t>stan</w:t>
      </w:r>
      <w:r w:rsidR="00D71A74">
        <w:rPr>
          <w:sz w:val="20"/>
          <w:szCs w:val="18"/>
        </w:rPr>
        <w:t>d</w:t>
      </w:r>
      <w:r w:rsidR="00047B82">
        <w:rPr>
          <w:sz w:val="20"/>
          <w:szCs w:val="18"/>
        </w:rPr>
        <w:t>ard</w:t>
      </w:r>
      <w:r w:rsidR="00D71A74">
        <w:rPr>
          <w:sz w:val="20"/>
          <w:szCs w:val="18"/>
        </w:rPr>
        <w:t>t</w:t>
      </w:r>
      <w:r w:rsidR="00047B82">
        <w:rPr>
          <w:sz w:val="20"/>
          <w:szCs w:val="18"/>
        </w:rPr>
        <w:t>sation</w:t>
      </w:r>
      <w:proofErr w:type="spellEnd"/>
      <w:r w:rsidR="00047B82">
        <w:rPr>
          <w:sz w:val="20"/>
          <w:szCs w:val="18"/>
        </w:rPr>
        <w:t xml:space="preserve"> </w:t>
      </w:r>
      <w:r w:rsidR="00D71A74">
        <w:rPr>
          <w:sz w:val="20"/>
          <w:szCs w:val="18"/>
        </w:rPr>
        <w:t xml:space="preserve">also </w:t>
      </w:r>
      <w:r w:rsidR="00047B82">
        <w:rPr>
          <w:sz w:val="20"/>
          <w:szCs w:val="18"/>
        </w:rPr>
        <w:t xml:space="preserve">would improve the ability to </w:t>
      </w:r>
      <w:r w:rsidR="0080204A">
        <w:rPr>
          <w:sz w:val="20"/>
          <w:szCs w:val="18"/>
        </w:rPr>
        <w:t>disce</w:t>
      </w:r>
      <w:r w:rsidR="00D71A74">
        <w:rPr>
          <w:sz w:val="20"/>
          <w:szCs w:val="18"/>
        </w:rPr>
        <w:t>r</w:t>
      </w:r>
      <w:r w:rsidR="0080204A">
        <w:rPr>
          <w:sz w:val="20"/>
          <w:szCs w:val="18"/>
        </w:rPr>
        <w:t>n and give importance to deviations</w:t>
      </w:r>
      <w:r w:rsidR="00D71A74">
        <w:rPr>
          <w:sz w:val="20"/>
          <w:szCs w:val="18"/>
        </w:rPr>
        <w:t xml:space="preserve"> from mandatory and even typical industry standards</w:t>
      </w:r>
      <w:r w:rsidR="0080204A">
        <w:rPr>
          <w:sz w:val="20"/>
          <w:szCs w:val="18"/>
        </w:rPr>
        <w:t xml:space="preserve">. </w:t>
      </w:r>
    </w:p>
    <w:p w14:paraId="4B1E5A1B" w14:textId="77777777" w:rsidR="00D71A74" w:rsidRDefault="00D71A74" w:rsidP="006A64ED">
      <w:pPr>
        <w:spacing w:after="0"/>
        <w:rPr>
          <w:sz w:val="20"/>
          <w:szCs w:val="18"/>
        </w:rPr>
      </w:pPr>
    </w:p>
    <w:p w14:paraId="55AE38C2" w14:textId="77777777" w:rsidR="00834FDE" w:rsidRDefault="00D71A74" w:rsidP="00834FDE">
      <w:pPr>
        <w:spacing w:after="0"/>
        <w:rPr>
          <w:sz w:val="20"/>
          <w:szCs w:val="18"/>
        </w:rPr>
      </w:pPr>
      <w:r>
        <w:rPr>
          <w:sz w:val="20"/>
          <w:szCs w:val="18"/>
        </w:rPr>
        <w:t xml:space="preserve">The importance if such deviations </w:t>
      </w:r>
      <w:proofErr w:type="gramStart"/>
      <w:r>
        <w:rPr>
          <w:sz w:val="20"/>
          <w:szCs w:val="18"/>
        </w:rPr>
        <w:t>becomes</w:t>
      </w:r>
      <w:proofErr w:type="gramEnd"/>
      <w:r>
        <w:rPr>
          <w:sz w:val="20"/>
          <w:szCs w:val="18"/>
        </w:rPr>
        <w:t xml:space="preserve"> </w:t>
      </w:r>
      <w:r w:rsidR="00834FDE">
        <w:rPr>
          <w:sz w:val="20"/>
          <w:szCs w:val="18"/>
        </w:rPr>
        <w:t>plausible</w:t>
      </w:r>
      <w:r>
        <w:rPr>
          <w:sz w:val="20"/>
          <w:szCs w:val="18"/>
        </w:rPr>
        <w:t xml:space="preserve"> </w:t>
      </w:r>
      <w:r w:rsidR="00834FDE">
        <w:rPr>
          <w:sz w:val="20"/>
          <w:szCs w:val="18"/>
        </w:rPr>
        <w:t>through</w:t>
      </w:r>
      <w:r>
        <w:rPr>
          <w:sz w:val="20"/>
          <w:szCs w:val="18"/>
        </w:rPr>
        <w:t xml:space="preserve"> the following examples</w:t>
      </w:r>
    </w:p>
    <w:p w14:paraId="6140F4CB" w14:textId="77777777" w:rsidR="00834FDE" w:rsidRDefault="00834FDE" w:rsidP="00834FDE">
      <w:pPr>
        <w:spacing w:after="0"/>
        <w:rPr>
          <w:sz w:val="20"/>
          <w:szCs w:val="18"/>
        </w:rPr>
      </w:pPr>
    </w:p>
    <w:p w14:paraId="5D91B758" w14:textId="75758C8C" w:rsidR="00834FDE" w:rsidRDefault="00834FDE" w:rsidP="00E176E2">
      <w:pPr>
        <w:pStyle w:val="ListParagraph"/>
        <w:numPr>
          <w:ilvl w:val="1"/>
          <w:numId w:val="37"/>
        </w:numPr>
        <w:spacing w:after="0"/>
        <w:rPr>
          <w:sz w:val="20"/>
          <w:szCs w:val="18"/>
        </w:rPr>
      </w:pPr>
      <w:r w:rsidRPr="00834FDE">
        <w:rPr>
          <w:sz w:val="20"/>
          <w:szCs w:val="18"/>
        </w:rPr>
        <w:t xml:space="preserve">It appears characteristic that </w:t>
      </w:r>
      <w:proofErr w:type="spellStart"/>
      <w:r w:rsidRPr="00834FDE">
        <w:rPr>
          <w:sz w:val="20"/>
          <w:szCs w:val="18"/>
        </w:rPr>
        <w:t>innovatice</w:t>
      </w:r>
      <w:proofErr w:type="spellEnd"/>
      <w:r w:rsidRPr="00834FDE">
        <w:rPr>
          <w:sz w:val="20"/>
          <w:szCs w:val="18"/>
        </w:rPr>
        <w:t xml:space="preserve"> companies work with parameters deviating from the mandatory financials (as an example see the list of </w:t>
      </w:r>
      <w:proofErr w:type="spellStart"/>
      <w:r w:rsidRPr="00834FDE">
        <w:rPr>
          <w:sz w:val="20"/>
          <w:szCs w:val="18"/>
        </w:rPr>
        <w:t>reconcilatons</w:t>
      </w:r>
      <w:proofErr w:type="spellEnd"/>
      <w:r w:rsidRPr="00834FDE">
        <w:rPr>
          <w:sz w:val="20"/>
          <w:szCs w:val="18"/>
        </w:rPr>
        <w:t xml:space="preserve"> in </w:t>
      </w:r>
      <w:r w:rsidR="008F0DD3" w:rsidRPr="00834FDE">
        <w:rPr>
          <w:sz w:val="20"/>
          <w:szCs w:val="18"/>
        </w:rPr>
        <w:t xml:space="preserve">page 4 of </w:t>
      </w:r>
      <w:hyperlink r:id="rId28" w:history="1">
        <w:r w:rsidRPr="00834FDE">
          <w:rPr>
            <w:rStyle w:val="Hyperlink"/>
            <w:sz w:val="20"/>
            <w:szCs w:val="18"/>
          </w:rPr>
          <w:t>https://investors.paloaltonetworks.com/static-files/146d8fa0-4b8d-4375-9a7b-c5780dcc47ee</w:t>
        </w:r>
      </w:hyperlink>
      <w:r w:rsidR="0063286E" w:rsidRPr="00834FDE">
        <w:rPr>
          <w:sz w:val="20"/>
          <w:szCs w:val="18"/>
        </w:rPr>
        <w:t>)</w:t>
      </w:r>
      <w:r w:rsidRPr="00834FDE">
        <w:rPr>
          <w:sz w:val="20"/>
          <w:szCs w:val="18"/>
        </w:rPr>
        <w:t xml:space="preserve"> which makes the inadequacy of mandatory accounting for specific purposes plausible. </w:t>
      </w:r>
      <w:proofErr w:type="spellStart"/>
      <w:r w:rsidRPr="00834FDE">
        <w:rPr>
          <w:sz w:val="20"/>
          <w:szCs w:val="18"/>
        </w:rPr>
        <w:t>Whilt</w:t>
      </w:r>
      <w:proofErr w:type="spellEnd"/>
      <w:r w:rsidRPr="00834FDE">
        <w:rPr>
          <w:sz w:val="20"/>
          <w:szCs w:val="18"/>
        </w:rPr>
        <w:t xml:space="preserve"> this inadequacy clearly is not to lead to the existing accounting rules to be changed, it would be more useful if consolidated throughout industries, which a flexible benchmark would allow.</w:t>
      </w:r>
    </w:p>
    <w:p w14:paraId="39B5DE71" w14:textId="2CB99E11" w:rsidR="00D71A74" w:rsidRPr="00ED08E9" w:rsidRDefault="00ED08E9" w:rsidP="00E176E2">
      <w:pPr>
        <w:pStyle w:val="ListParagraph"/>
        <w:numPr>
          <w:ilvl w:val="1"/>
          <w:numId w:val="37"/>
        </w:numPr>
        <w:spacing w:after="0"/>
        <w:rPr>
          <w:sz w:val="20"/>
          <w:szCs w:val="18"/>
        </w:rPr>
      </w:pPr>
      <w:r>
        <w:rPr>
          <w:sz w:val="20"/>
          <w:szCs w:val="18"/>
        </w:rPr>
        <w:t>Fair value valuation</w:t>
      </w:r>
      <w:r w:rsidR="00E176E2">
        <w:rPr>
          <w:sz w:val="20"/>
          <w:szCs w:val="18"/>
        </w:rPr>
        <w:t>s</w:t>
      </w:r>
      <w:r>
        <w:rPr>
          <w:sz w:val="20"/>
          <w:szCs w:val="18"/>
        </w:rPr>
        <w:t xml:space="preserve"> and write off</w:t>
      </w:r>
      <w:r w:rsidR="00E176E2">
        <w:rPr>
          <w:sz w:val="20"/>
          <w:szCs w:val="18"/>
        </w:rPr>
        <w:t>s</w:t>
      </w:r>
      <w:r>
        <w:rPr>
          <w:sz w:val="20"/>
          <w:szCs w:val="18"/>
        </w:rPr>
        <w:t>, whilst potentially very helpful to investors, are likely to, in addition to pro-</w:t>
      </w:r>
      <w:proofErr w:type="spellStart"/>
      <w:r>
        <w:rPr>
          <w:sz w:val="20"/>
          <w:szCs w:val="18"/>
        </w:rPr>
        <w:t>ciclically</w:t>
      </w:r>
      <w:proofErr w:type="spellEnd"/>
      <w:r>
        <w:rPr>
          <w:sz w:val="20"/>
          <w:szCs w:val="18"/>
        </w:rPr>
        <w:t xml:space="preserve"> </w:t>
      </w:r>
      <w:proofErr w:type="spellStart"/>
      <w:r>
        <w:rPr>
          <w:sz w:val="20"/>
          <w:szCs w:val="18"/>
        </w:rPr>
        <w:t>influency</w:t>
      </w:r>
      <w:proofErr w:type="spellEnd"/>
      <w:r>
        <w:rPr>
          <w:sz w:val="20"/>
          <w:szCs w:val="18"/>
        </w:rPr>
        <w:t xml:space="preserve"> markets, pose substantial and hard to justify hurdles to issuers that have no pressure to sell the asset in question and can expect a substantially unchanged revenue stream from such asset. Such seems to be the case for </w:t>
      </w:r>
      <w:proofErr w:type="spellStart"/>
      <w:r>
        <w:rPr>
          <w:sz w:val="20"/>
          <w:szCs w:val="18"/>
        </w:rPr>
        <w:t>companes</w:t>
      </w:r>
      <w:proofErr w:type="spellEnd"/>
      <w:r>
        <w:rPr>
          <w:sz w:val="20"/>
          <w:szCs w:val="18"/>
        </w:rPr>
        <w:t xml:space="preserve"> in the housing market in Germany having to declare major losses because of real estate prices sinking although because of regulation in the residential lease market the likelihood of </w:t>
      </w:r>
      <w:proofErr w:type="spellStart"/>
      <w:r>
        <w:rPr>
          <w:sz w:val="20"/>
          <w:szCs w:val="18"/>
        </w:rPr>
        <w:t>looss</w:t>
      </w:r>
      <w:proofErr w:type="spellEnd"/>
      <w:r>
        <w:rPr>
          <w:sz w:val="20"/>
          <w:szCs w:val="18"/>
        </w:rPr>
        <w:t xml:space="preserve"> of lease revenue was very little. Also, dependence of such companies on interest rates suggests that parameters for </w:t>
      </w:r>
      <w:proofErr w:type="gramStart"/>
      <w:r>
        <w:rPr>
          <w:sz w:val="20"/>
          <w:szCs w:val="18"/>
        </w:rPr>
        <w:t>entering into</w:t>
      </w:r>
      <w:proofErr w:type="gramEnd"/>
      <w:r>
        <w:rPr>
          <w:sz w:val="20"/>
          <w:szCs w:val="18"/>
        </w:rPr>
        <w:t xml:space="preserve"> long term financing arrangements with fixed r</w:t>
      </w:r>
      <w:r w:rsidR="00E176E2">
        <w:rPr>
          <w:sz w:val="20"/>
          <w:szCs w:val="18"/>
        </w:rPr>
        <w:t>ates when available is limited (see, as evidence, for instance</w:t>
      </w:r>
      <w:r w:rsidR="00834FDE" w:rsidRPr="00ED08E9">
        <w:rPr>
          <w:sz w:val="20"/>
          <w:szCs w:val="18"/>
        </w:rPr>
        <w:t xml:space="preserve"> </w:t>
      </w:r>
      <w:r w:rsidR="00D71A74" w:rsidRPr="00ED08E9">
        <w:rPr>
          <w:sz w:val="20"/>
          <w:szCs w:val="18"/>
        </w:rPr>
        <w:t>https://www.investing.com/newsstock-market-news/vonovia-plans-growth-push-after-strong-2024-eyes-30-ebitda-increase-by-2028-3935950</w:t>
      </w:r>
      <w:r w:rsidR="00E176E2">
        <w:rPr>
          <w:sz w:val="20"/>
          <w:szCs w:val="18"/>
        </w:rPr>
        <w:t>).</w:t>
      </w:r>
    </w:p>
    <w:permEnd w:id="419173650"/>
    <w:p w14:paraId="6CB9C0DF" w14:textId="6DBAAC09"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15C02C8C" w14:textId="77777777" w:rsidR="00D71A74" w:rsidRPr="00AF763D" w:rsidRDefault="00D71A74" w:rsidP="00D71A74">
      <w:pPr>
        <w:spacing w:after="0"/>
        <w:rPr>
          <w:sz w:val="20"/>
          <w:szCs w:val="18"/>
        </w:rPr>
      </w:pPr>
      <w:permStart w:id="1904683967" w:edGrp="everyone"/>
      <w:permStart w:id="1658917570" w:edGrp="everyone"/>
      <w:r>
        <w:rPr>
          <w:sz w:val="20"/>
          <w:szCs w:val="18"/>
        </w:rPr>
        <w:lastRenderedPageBreak/>
        <w:t xml:space="preserve">I am not </w:t>
      </w:r>
      <w:proofErr w:type="gramStart"/>
      <w:r>
        <w:rPr>
          <w:sz w:val="20"/>
          <w:szCs w:val="18"/>
        </w:rPr>
        <w:t>in a position</w:t>
      </w:r>
      <w:proofErr w:type="gramEnd"/>
      <w:r>
        <w:rPr>
          <w:sz w:val="20"/>
          <w:szCs w:val="18"/>
        </w:rPr>
        <w:t xml:space="preserve"> to make a reasoned assessment. </w:t>
      </w:r>
      <w:permEnd w:id="1658917570"/>
    </w:p>
    <w:permEnd w:id="1904683967"/>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56BB02EC" w14:textId="77777777" w:rsidR="00D71A74" w:rsidRPr="00AF763D" w:rsidRDefault="00D71A74" w:rsidP="00D71A74">
      <w:pPr>
        <w:spacing w:after="0"/>
        <w:rPr>
          <w:sz w:val="20"/>
          <w:szCs w:val="18"/>
        </w:rPr>
      </w:pPr>
      <w:permStart w:id="1436158598" w:edGrp="everyone"/>
      <w:permStart w:id="126892422"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ermEnd w:id="126892422"/>
    </w:p>
    <w:permEnd w:id="1436158598"/>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57DFF679" w:rsidR="006A64ED" w:rsidRPr="00AF763D" w:rsidRDefault="00D71A74" w:rsidP="006A64ED">
      <w:pPr>
        <w:spacing w:after="0"/>
        <w:rPr>
          <w:sz w:val="20"/>
          <w:szCs w:val="18"/>
        </w:rPr>
      </w:pPr>
      <w:permStart w:id="268056993" w:edGrp="everyone"/>
      <w:r>
        <w:rPr>
          <w:sz w:val="20"/>
          <w:szCs w:val="18"/>
        </w:rPr>
        <w:t>See my answers above in particular to Questions 1 and Question 18</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51D14CDF" w:rsidR="006A64ED" w:rsidRPr="00AF763D" w:rsidRDefault="00D71A74" w:rsidP="006A64ED">
      <w:pPr>
        <w:spacing w:after="0"/>
        <w:rPr>
          <w:sz w:val="20"/>
          <w:szCs w:val="18"/>
        </w:rPr>
      </w:pPr>
      <w:permStart w:id="1477533567" w:edGrp="everyone"/>
      <w:r>
        <w:rPr>
          <w:sz w:val="20"/>
          <w:szCs w:val="18"/>
        </w:rPr>
        <w:t>As already explained in the abo</w:t>
      </w:r>
      <w:r w:rsidR="00DA37A0">
        <w:rPr>
          <w:sz w:val="20"/>
          <w:szCs w:val="18"/>
        </w:rPr>
        <w:t xml:space="preserve">ve, I find a permanent review process at both national and </w:t>
      </w:r>
      <w:proofErr w:type="spellStart"/>
      <w:r w:rsidR="00DA37A0">
        <w:rPr>
          <w:sz w:val="20"/>
          <w:szCs w:val="18"/>
        </w:rPr>
        <w:t>Europen</w:t>
      </w:r>
      <w:proofErr w:type="spellEnd"/>
      <w:r w:rsidR="00DA37A0">
        <w:rPr>
          <w:sz w:val="20"/>
          <w:szCs w:val="18"/>
        </w:rPr>
        <w:t xml:space="preserve"> levels very important. At the same time, care should be taken to make sure such review be predictable and consider the time frames in which typically disclosures have effect. </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880FD0" w:rsidP="006A64ED">
      <w:pPr>
        <w:spacing w:after="0"/>
        <w:rPr>
          <w:sz w:val="20"/>
          <w:szCs w:val="18"/>
        </w:rPr>
      </w:pPr>
      <w:r w:rsidRPr="00880FD0">
        <w:rPr>
          <w:rFonts w:eastAsia="Times New Roman"/>
          <w:noProof/>
          <w:color w:val="auto"/>
          <w:szCs w:val="22"/>
          <w:lang w:eastAsia="en-GB"/>
        </w:rPr>
        <w:pict w14:anchorId="798EB0D2">
          <v:rect id="_x0000_i1029" alt="" style="width:468pt;height:.05pt;mso-width-percent:0;mso-height-percent:0;mso-width-percent:0;mso-height-percent:0"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3B307269" w14:textId="77777777" w:rsidR="00DA37A0" w:rsidRPr="00AF763D" w:rsidRDefault="00DA37A0" w:rsidP="00DA37A0">
      <w:pPr>
        <w:spacing w:after="0"/>
        <w:rPr>
          <w:sz w:val="20"/>
          <w:szCs w:val="18"/>
        </w:rPr>
      </w:pPr>
      <w:permStart w:id="1783830271" w:edGrp="everyone"/>
      <w:permStart w:id="736705964"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ermEnd w:id="736705964"/>
    </w:p>
    <w:permEnd w:id="1783830271"/>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34880459" w:rsidR="00AF763D" w:rsidRPr="00AF763D" w:rsidRDefault="00DA37A0" w:rsidP="00AF763D">
      <w:pPr>
        <w:spacing w:after="0"/>
        <w:rPr>
          <w:sz w:val="20"/>
          <w:szCs w:val="18"/>
        </w:rPr>
      </w:pPr>
      <w:permStart w:id="2137860268" w:edGrp="everyone"/>
      <w:r>
        <w:rPr>
          <w:sz w:val="20"/>
          <w:szCs w:val="18"/>
        </w:rPr>
        <w:t>See above answers</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880FD0" w:rsidRPr="00880FD0">
        <w:rPr>
          <w:rFonts w:eastAsia="Times New Roman"/>
          <w:noProof/>
          <w:color w:val="auto"/>
          <w:szCs w:val="22"/>
          <w:lang w:eastAsia="en-GB"/>
        </w:rPr>
        <w:pict w14:anchorId="159CBE74">
          <v:rect id="_x0000_i1028" alt="" style="width:468pt;height:.05pt;mso-width-percent:0;mso-height-percent:0;mso-width-percent:0;mso-height-percent:0"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lastRenderedPageBreak/>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4D151A2" w:rsidR="00AF763D" w:rsidRPr="00AF763D" w:rsidRDefault="00DA37A0" w:rsidP="00AF763D">
      <w:pPr>
        <w:spacing w:after="0"/>
        <w:rPr>
          <w:sz w:val="20"/>
          <w:szCs w:val="18"/>
        </w:rPr>
      </w:pPr>
      <w:permStart w:id="3962487" w:edGrp="everyone"/>
      <w:r>
        <w:rPr>
          <w:sz w:val="20"/>
          <w:szCs w:val="18"/>
        </w:rPr>
        <w:t>See above answers</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 w14:paraId="68543AA0" w14:textId="762DBE3F" w:rsidR="00AF763D" w:rsidRPr="00AF763D" w:rsidRDefault="00DA37A0" w:rsidP="00AF763D">
      <w:pPr>
        <w:spacing w:after="0"/>
        <w:rPr>
          <w:sz w:val="20"/>
          <w:szCs w:val="18"/>
        </w:rPr>
      </w:pPr>
      <w:r>
        <w:rPr>
          <w:sz w:val="20"/>
          <w:szCs w:val="18"/>
        </w:rPr>
        <w:t>See above answers</w:t>
      </w:r>
      <w:permEnd w:id="241126845"/>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880FD0" w:rsidP="005D3762">
      <w:pPr>
        <w:rPr>
          <w:color w:val="00379F" w:themeColor="text1"/>
          <w:sz w:val="20"/>
          <w:szCs w:val="18"/>
        </w:rPr>
      </w:pPr>
      <w:r>
        <w:rPr>
          <w:rFonts w:eastAsia="Times New Roman"/>
          <w:noProof/>
          <w:color w:val="00379F" w:themeColor="text1"/>
          <w:szCs w:val="22"/>
          <w:lang w:eastAsia="en-GB"/>
        </w:rPr>
        <w:pict w14:anchorId="2E25E53D">
          <v:rect id="_x0000_i1027" alt="" style="width:468pt;height:.05pt;mso-width-percent:0;mso-height-percent:0;mso-width-percent:0;mso-height-percent:0"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7F21F8E6" w14:textId="77777777" w:rsidR="00DA37A0" w:rsidRPr="00AF763D" w:rsidRDefault="00DA37A0" w:rsidP="00DA37A0">
      <w:pPr>
        <w:spacing w:after="0"/>
        <w:rPr>
          <w:sz w:val="20"/>
          <w:szCs w:val="18"/>
        </w:rPr>
      </w:pPr>
      <w:permStart w:id="449855589" w:edGrp="everyone"/>
      <w:permStart w:id="1600080085"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ermEnd w:id="1600080085"/>
    </w:p>
    <w:permEnd w:id="449855589"/>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8F2F98D" w14:textId="77777777" w:rsidR="00F86A03" w:rsidRPr="00AF763D" w:rsidRDefault="00F86A03" w:rsidP="00F86A03">
      <w:pPr>
        <w:spacing w:after="0"/>
        <w:rPr>
          <w:sz w:val="20"/>
          <w:szCs w:val="18"/>
        </w:rPr>
      </w:pPr>
      <w:permStart w:id="1109459752" w:edGrp="everyone"/>
      <w:permStart w:id="139206080"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ermEnd w:id="139206080"/>
    </w:p>
    <w:permEnd w:id="1109459752"/>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6BE187A9" w:rsidR="00AF763D" w:rsidRPr="00AF763D" w:rsidRDefault="00F86A03" w:rsidP="00AF763D">
      <w:pPr>
        <w:spacing w:after="0"/>
        <w:rPr>
          <w:sz w:val="20"/>
          <w:szCs w:val="18"/>
        </w:rPr>
      </w:pPr>
      <w:permStart w:id="891377430" w:edGrp="everyone"/>
      <w:r>
        <w:rPr>
          <w:sz w:val="20"/>
          <w:szCs w:val="18"/>
        </w:rPr>
        <w:t>My impression is that the cost benefit</w:t>
      </w:r>
      <w:r>
        <w:rPr>
          <w:sz w:val="20"/>
          <w:szCs w:val="18"/>
          <w:lang w:val="en-US"/>
        </w:rPr>
        <w:t>/</w:t>
      </w:r>
      <w:r>
        <w:rPr>
          <w:sz w:val="20"/>
          <w:szCs w:val="18"/>
        </w:rPr>
        <w:t xml:space="preserve">analysis is much too narrow in that it not only does not take into account the scope of the information to be covered as alluded to in the answer to Question 1, but also not the issues pertinent to the alignment of internal data with external ones, for instance of disclosure of remuneration and the processing of HR-related data and the potential as well as issues related to automatization of </w:t>
      </w:r>
      <w:proofErr w:type="spellStart"/>
      <w:r>
        <w:rPr>
          <w:sz w:val="20"/>
          <w:szCs w:val="18"/>
        </w:rPr>
        <w:t>enterpricses</w:t>
      </w:r>
      <w:proofErr w:type="spellEnd"/>
      <w:r>
        <w:rPr>
          <w:sz w:val="20"/>
          <w:szCs w:val="18"/>
        </w:rPr>
        <w:t xml:space="preserve"> at large which will allow companies to online monitor a large amount of emissions data from, for instance, the filling of fuel into a truck until the repair of such truck including the deliveries made by the truck. </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lastRenderedPageBreak/>
        <w:t>&lt;ESMA_QUESTION_ESEFEEAP_30&gt;</w:t>
      </w:r>
    </w:p>
    <w:p w14:paraId="02B793DF" w14:textId="77777777" w:rsidR="00F86A03" w:rsidRPr="00AF763D" w:rsidRDefault="00F86A03" w:rsidP="00F86A03">
      <w:pPr>
        <w:spacing w:after="0"/>
        <w:rPr>
          <w:sz w:val="20"/>
          <w:szCs w:val="18"/>
        </w:rPr>
      </w:pPr>
      <w:permStart w:id="1207453578" w:edGrp="everyone"/>
      <w:permStart w:id="611728438"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ermEnd w:id="611728438"/>
    </w:p>
    <w:permEnd w:id="120745357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1FAF7715" w14:textId="77777777" w:rsidR="00F86A03" w:rsidRPr="00AF763D" w:rsidRDefault="00F86A03" w:rsidP="00F86A03">
      <w:pPr>
        <w:spacing w:after="0"/>
        <w:rPr>
          <w:sz w:val="20"/>
          <w:szCs w:val="18"/>
        </w:rPr>
      </w:pPr>
      <w:permStart w:id="2038199246" w:edGrp="everyone"/>
      <w:permStart w:id="1468685436"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ermEnd w:id="1468685436"/>
    </w:p>
    <w:permEnd w:id="2038199246"/>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713BCED" w14:textId="77777777" w:rsidR="00F86A03" w:rsidRPr="00AF763D" w:rsidRDefault="00F86A03" w:rsidP="00F86A03">
      <w:pPr>
        <w:spacing w:after="0"/>
        <w:rPr>
          <w:sz w:val="20"/>
          <w:szCs w:val="18"/>
        </w:rPr>
      </w:pPr>
      <w:permStart w:id="491719487" w:edGrp="everyone"/>
      <w:permStart w:id="1850869642"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ermEnd w:id="1850869642"/>
    </w:p>
    <w:permEnd w:id="491719487"/>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43CC610C" w14:textId="77777777" w:rsidR="00F86A03" w:rsidRPr="00AF763D" w:rsidRDefault="00F86A03" w:rsidP="00F86A03">
      <w:pPr>
        <w:spacing w:after="0"/>
        <w:rPr>
          <w:sz w:val="20"/>
          <w:szCs w:val="18"/>
        </w:rPr>
      </w:pPr>
      <w:permStart w:id="1027683112" w:edGrp="everyone"/>
      <w:permStart w:id="945301270" w:edGrp="everyone"/>
      <w:r>
        <w:rPr>
          <w:sz w:val="20"/>
          <w:szCs w:val="18"/>
        </w:rPr>
        <w:t xml:space="preserve">I am not </w:t>
      </w:r>
      <w:proofErr w:type="gramStart"/>
      <w:r>
        <w:rPr>
          <w:sz w:val="20"/>
          <w:szCs w:val="18"/>
        </w:rPr>
        <w:t>in a position</w:t>
      </w:r>
      <w:proofErr w:type="gramEnd"/>
      <w:r>
        <w:rPr>
          <w:sz w:val="20"/>
          <w:szCs w:val="18"/>
        </w:rPr>
        <w:t xml:space="preserve"> to make a reasoned assessment. </w:t>
      </w:r>
      <w:permEnd w:id="945301270"/>
    </w:p>
    <w:permEnd w:id="1027683112"/>
    <w:p w14:paraId="0B1361AC" w14:textId="2E52468A" w:rsidR="00AF763D" w:rsidRPr="00AF763D" w:rsidRDefault="00AF763D" w:rsidP="00AF763D">
      <w:pPr>
        <w:rPr>
          <w:sz w:val="20"/>
          <w:szCs w:val="18"/>
        </w:rPr>
      </w:pPr>
      <w:r w:rsidRPr="00AF763D">
        <w:rPr>
          <w:sz w:val="20"/>
          <w:szCs w:val="18"/>
        </w:rPr>
        <w:t>&lt;ESMA_QUESTION_ESEFEEAP_33&gt;</w:t>
      </w:r>
      <w:r w:rsidR="00880FD0" w:rsidRPr="00880FD0">
        <w:rPr>
          <w:rFonts w:eastAsia="Times New Roman"/>
          <w:noProof/>
          <w:color w:val="auto"/>
          <w:szCs w:val="22"/>
          <w:lang w:eastAsia="en-GB"/>
        </w:rPr>
        <w:pict w14:anchorId="22EDB25D">
          <v:rect id="_x0000_i1026" alt="" style="width:468pt;height:.05pt;mso-width-percent:0;mso-height-percent:0;mso-width-percent:0;mso-height-percent:0"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630C0E50" w:rsidR="00AF763D" w:rsidRPr="00AF763D" w:rsidRDefault="00F86A03" w:rsidP="00AF763D">
      <w:pPr>
        <w:spacing w:after="0"/>
        <w:rPr>
          <w:sz w:val="20"/>
          <w:szCs w:val="18"/>
        </w:rPr>
      </w:pPr>
      <w:permStart w:id="35338580" w:edGrp="everyone"/>
      <w:r>
        <w:rPr>
          <w:sz w:val="20"/>
          <w:szCs w:val="18"/>
        </w:rPr>
        <w:t>See above answer</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880FD0" w:rsidP="00AF763D">
      <w:pPr>
        <w:rPr>
          <w:sz w:val="20"/>
          <w:szCs w:val="18"/>
        </w:rPr>
      </w:pPr>
      <w:r w:rsidRPr="00880FD0">
        <w:rPr>
          <w:rFonts w:eastAsia="Times New Roman"/>
          <w:noProof/>
          <w:color w:val="auto"/>
          <w:szCs w:val="22"/>
          <w:lang w:eastAsia="en-GB"/>
        </w:rPr>
        <w:pict w14:anchorId="05AC780B">
          <v:rect id="_x0000_i1025" alt="" style="width:468pt;height:.05pt;mso-width-percent:0;mso-height-percent:0;mso-width-percent:0;mso-height-percent:0"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4FCBE481" w:rsidR="00AF763D" w:rsidRPr="00AF763D" w:rsidRDefault="00F86A03" w:rsidP="00AF763D">
      <w:pPr>
        <w:spacing w:after="0"/>
        <w:rPr>
          <w:sz w:val="20"/>
          <w:szCs w:val="18"/>
        </w:rPr>
      </w:pPr>
      <w:permStart w:id="1504529308" w:edGrp="everyone"/>
      <w:r>
        <w:rPr>
          <w:sz w:val="20"/>
          <w:szCs w:val="18"/>
        </w:rPr>
        <w:t>See above answers</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lastRenderedPageBreak/>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F25CF54" w:rsidR="00AF763D" w:rsidRPr="00036A12" w:rsidRDefault="00F86A03" w:rsidP="00AF763D">
      <w:pPr>
        <w:spacing w:after="0"/>
        <w:rPr>
          <w:sz w:val="20"/>
          <w:szCs w:val="18"/>
          <w:lang w:val="de-DE"/>
        </w:rPr>
      </w:pPr>
      <w:permStart w:id="655372848" w:edGrp="everyone"/>
      <w:r>
        <w:rPr>
          <w:sz w:val="20"/>
          <w:szCs w:val="18"/>
        </w:rPr>
        <w:t>See above answers</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31A60" w14:textId="77777777" w:rsidR="00880FD0" w:rsidRDefault="00880FD0" w:rsidP="00F716D4">
      <w:r>
        <w:separator/>
      </w:r>
    </w:p>
    <w:p w14:paraId="01F7C1D3" w14:textId="77777777" w:rsidR="00880FD0" w:rsidRDefault="00880FD0" w:rsidP="00F716D4"/>
  </w:endnote>
  <w:endnote w:type="continuationSeparator" w:id="0">
    <w:p w14:paraId="02F64FAF" w14:textId="77777777" w:rsidR="00880FD0" w:rsidRDefault="00880FD0" w:rsidP="00F716D4">
      <w:r>
        <w:continuationSeparator/>
      </w:r>
    </w:p>
    <w:p w14:paraId="3E5B97E2" w14:textId="77777777" w:rsidR="00880FD0" w:rsidRDefault="00880FD0" w:rsidP="00F716D4"/>
  </w:endnote>
  <w:endnote w:type="continuationNotice" w:id="1">
    <w:p w14:paraId="27A6D101" w14:textId="77777777" w:rsidR="00880FD0" w:rsidRDefault="00880FD0"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916B6" w14:textId="77777777" w:rsidR="001853CB" w:rsidRDefault="0018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95E3D" w14:textId="77777777" w:rsidR="001853CB" w:rsidRDefault="0018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7C15A" w14:textId="77777777" w:rsidR="001853CB" w:rsidRDefault="00185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CF73C" w14:textId="77777777" w:rsidR="00880FD0" w:rsidRDefault="00880FD0" w:rsidP="00F716D4">
      <w:r>
        <w:separator/>
      </w:r>
    </w:p>
    <w:p w14:paraId="49059363" w14:textId="77777777" w:rsidR="00880FD0" w:rsidRDefault="00880FD0" w:rsidP="00F716D4"/>
  </w:footnote>
  <w:footnote w:type="continuationSeparator" w:id="0">
    <w:p w14:paraId="2DD428C3" w14:textId="77777777" w:rsidR="00880FD0" w:rsidRDefault="00880FD0" w:rsidP="00F716D4">
      <w:r>
        <w:continuationSeparator/>
      </w:r>
    </w:p>
    <w:p w14:paraId="3F2C92E3" w14:textId="77777777" w:rsidR="00880FD0" w:rsidRDefault="00880FD0" w:rsidP="00F716D4"/>
  </w:footnote>
  <w:footnote w:type="continuationNotice" w:id="1">
    <w:p w14:paraId="5F4370DC" w14:textId="77777777" w:rsidR="00880FD0" w:rsidRDefault="00880FD0"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99075B"/>
    <w:multiLevelType w:val="multilevel"/>
    <w:tmpl w:val="EF146CE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DC92EC4"/>
    <w:multiLevelType w:val="multilevel"/>
    <w:tmpl w:val="925664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EastAsia"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8"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6"/>
  </w:num>
  <w:num w:numId="12" w16cid:durableId="1500659627">
    <w:abstractNumId w:val="30"/>
  </w:num>
  <w:num w:numId="13" w16cid:durableId="1879658227">
    <w:abstractNumId w:val="22"/>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5"/>
  </w:num>
  <w:num w:numId="21" w16cid:durableId="538709007">
    <w:abstractNumId w:val="24"/>
  </w:num>
  <w:num w:numId="22" w16cid:durableId="104540172">
    <w:abstractNumId w:val="8"/>
  </w:num>
  <w:num w:numId="23" w16cid:durableId="1824349076">
    <w:abstractNumId w:val="29"/>
  </w:num>
  <w:num w:numId="24" w16cid:durableId="672032853">
    <w:abstractNumId w:val="28"/>
  </w:num>
  <w:num w:numId="25" w16cid:durableId="48917541">
    <w:abstractNumId w:val="19"/>
  </w:num>
  <w:num w:numId="26" w16cid:durableId="978925443">
    <w:abstractNumId w:val="32"/>
  </w:num>
  <w:num w:numId="27" w16cid:durableId="1036613928">
    <w:abstractNumId w:val="37"/>
  </w:num>
  <w:num w:numId="28" w16cid:durableId="872039349">
    <w:abstractNumId w:val="6"/>
  </w:num>
  <w:num w:numId="29" w16cid:durableId="924530660">
    <w:abstractNumId w:val="2"/>
  </w:num>
  <w:num w:numId="30" w16cid:durableId="419180233">
    <w:abstractNumId w:val="21"/>
  </w:num>
  <w:num w:numId="31" w16cid:durableId="276761337">
    <w:abstractNumId w:val="20"/>
  </w:num>
  <w:num w:numId="32" w16cid:durableId="1166238383">
    <w:abstractNumId w:val="34"/>
  </w:num>
  <w:num w:numId="33" w16cid:durableId="2076850202">
    <w:abstractNumId w:val="33"/>
  </w:num>
  <w:num w:numId="34" w16cid:durableId="469176496">
    <w:abstractNumId w:val="11"/>
  </w:num>
  <w:num w:numId="35" w16cid:durableId="674843309">
    <w:abstractNumId w:val="17"/>
  </w:num>
  <w:num w:numId="36" w16cid:durableId="1954971501">
    <w:abstractNumId w:val="38"/>
  </w:num>
  <w:num w:numId="37" w16cid:durableId="889193179">
    <w:abstractNumId w:val="27"/>
  </w:num>
  <w:num w:numId="38" w16cid:durableId="1569729802">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2"/>
    <w:rsid w:val="0001410B"/>
    <w:rsid w:val="000141D6"/>
    <w:rsid w:val="00014A95"/>
    <w:rsid w:val="00014F0E"/>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2816"/>
    <w:rsid w:val="00033A94"/>
    <w:rsid w:val="000344D6"/>
    <w:rsid w:val="00034960"/>
    <w:rsid w:val="00035397"/>
    <w:rsid w:val="00036434"/>
    <w:rsid w:val="00036A12"/>
    <w:rsid w:val="00036FAE"/>
    <w:rsid w:val="00041858"/>
    <w:rsid w:val="0004389E"/>
    <w:rsid w:val="00045CA6"/>
    <w:rsid w:val="000463A6"/>
    <w:rsid w:val="00046CC9"/>
    <w:rsid w:val="00046E91"/>
    <w:rsid w:val="00047B82"/>
    <w:rsid w:val="000502FE"/>
    <w:rsid w:val="0005126D"/>
    <w:rsid w:val="00051992"/>
    <w:rsid w:val="00051E9A"/>
    <w:rsid w:val="000521A7"/>
    <w:rsid w:val="00052F47"/>
    <w:rsid w:val="000537BB"/>
    <w:rsid w:val="0005399B"/>
    <w:rsid w:val="00054DE6"/>
    <w:rsid w:val="00056099"/>
    <w:rsid w:val="000569D7"/>
    <w:rsid w:val="000576D7"/>
    <w:rsid w:val="00060F72"/>
    <w:rsid w:val="0006224D"/>
    <w:rsid w:val="00062524"/>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77CA4"/>
    <w:rsid w:val="00080976"/>
    <w:rsid w:val="00081CEB"/>
    <w:rsid w:val="00081E60"/>
    <w:rsid w:val="00082D8E"/>
    <w:rsid w:val="00082E31"/>
    <w:rsid w:val="00083AA3"/>
    <w:rsid w:val="00085947"/>
    <w:rsid w:val="000868FE"/>
    <w:rsid w:val="000878D1"/>
    <w:rsid w:val="000921AE"/>
    <w:rsid w:val="000921D7"/>
    <w:rsid w:val="000925FF"/>
    <w:rsid w:val="00093093"/>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16EE"/>
    <w:rsid w:val="000B275C"/>
    <w:rsid w:val="000B2C3D"/>
    <w:rsid w:val="000B55C0"/>
    <w:rsid w:val="000B5DF2"/>
    <w:rsid w:val="000B5FE9"/>
    <w:rsid w:val="000C06C9"/>
    <w:rsid w:val="000C1DCC"/>
    <w:rsid w:val="000C1FBC"/>
    <w:rsid w:val="000C2B6A"/>
    <w:rsid w:val="000C2F88"/>
    <w:rsid w:val="000C55C8"/>
    <w:rsid w:val="000C57C4"/>
    <w:rsid w:val="000C5FD3"/>
    <w:rsid w:val="000C701D"/>
    <w:rsid w:val="000C773C"/>
    <w:rsid w:val="000C7C4A"/>
    <w:rsid w:val="000D0F80"/>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304A"/>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36D"/>
    <w:rsid w:val="00121439"/>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0DD6"/>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4C9"/>
    <w:rsid w:val="00164664"/>
    <w:rsid w:val="00164F15"/>
    <w:rsid w:val="001651A4"/>
    <w:rsid w:val="00165476"/>
    <w:rsid w:val="0016552B"/>
    <w:rsid w:val="00166B04"/>
    <w:rsid w:val="001670A6"/>
    <w:rsid w:val="001701FA"/>
    <w:rsid w:val="00171183"/>
    <w:rsid w:val="001725A5"/>
    <w:rsid w:val="00172681"/>
    <w:rsid w:val="0017312F"/>
    <w:rsid w:val="00173AC7"/>
    <w:rsid w:val="001745D7"/>
    <w:rsid w:val="0017556D"/>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403"/>
    <w:rsid w:val="001A1642"/>
    <w:rsid w:val="001A1A58"/>
    <w:rsid w:val="001A32A3"/>
    <w:rsid w:val="001A32D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132"/>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5D5C"/>
    <w:rsid w:val="001D6401"/>
    <w:rsid w:val="001D66C9"/>
    <w:rsid w:val="001D6FDA"/>
    <w:rsid w:val="001D722A"/>
    <w:rsid w:val="001E04FC"/>
    <w:rsid w:val="001E407D"/>
    <w:rsid w:val="001E40FB"/>
    <w:rsid w:val="001E66EC"/>
    <w:rsid w:val="001E68C5"/>
    <w:rsid w:val="001E6A2E"/>
    <w:rsid w:val="001E6BFC"/>
    <w:rsid w:val="001F0F63"/>
    <w:rsid w:val="001F3996"/>
    <w:rsid w:val="001F44A4"/>
    <w:rsid w:val="001F579D"/>
    <w:rsid w:val="001F65EF"/>
    <w:rsid w:val="001F697B"/>
    <w:rsid w:val="001F75CC"/>
    <w:rsid w:val="002005A6"/>
    <w:rsid w:val="00201CE0"/>
    <w:rsid w:val="00204CBC"/>
    <w:rsid w:val="002051F1"/>
    <w:rsid w:val="002067BA"/>
    <w:rsid w:val="0021058D"/>
    <w:rsid w:val="002117E3"/>
    <w:rsid w:val="00211E2F"/>
    <w:rsid w:val="00211E9E"/>
    <w:rsid w:val="00212ABD"/>
    <w:rsid w:val="00214FB4"/>
    <w:rsid w:val="00215940"/>
    <w:rsid w:val="00215B20"/>
    <w:rsid w:val="00216C90"/>
    <w:rsid w:val="00217861"/>
    <w:rsid w:val="0021797A"/>
    <w:rsid w:val="00217C23"/>
    <w:rsid w:val="00220561"/>
    <w:rsid w:val="00220CE4"/>
    <w:rsid w:val="00222D9B"/>
    <w:rsid w:val="00223788"/>
    <w:rsid w:val="00223D11"/>
    <w:rsid w:val="002242D3"/>
    <w:rsid w:val="002279F1"/>
    <w:rsid w:val="00227C1A"/>
    <w:rsid w:val="002301E6"/>
    <w:rsid w:val="00232154"/>
    <w:rsid w:val="00232555"/>
    <w:rsid w:val="00232F90"/>
    <w:rsid w:val="00233061"/>
    <w:rsid w:val="00233B08"/>
    <w:rsid w:val="00233C3B"/>
    <w:rsid w:val="0023499C"/>
    <w:rsid w:val="00235CE3"/>
    <w:rsid w:val="00235D1B"/>
    <w:rsid w:val="0023636A"/>
    <w:rsid w:val="00236F34"/>
    <w:rsid w:val="002372F7"/>
    <w:rsid w:val="00237775"/>
    <w:rsid w:val="00237FA3"/>
    <w:rsid w:val="00240532"/>
    <w:rsid w:val="00240651"/>
    <w:rsid w:val="00240803"/>
    <w:rsid w:val="0024294C"/>
    <w:rsid w:val="0024426D"/>
    <w:rsid w:val="00244F1D"/>
    <w:rsid w:val="00245004"/>
    <w:rsid w:val="00245FB4"/>
    <w:rsid w:val="00250048"/>
    <w:rsid w:val="00250898"/>
    <w:rsid w:val="00251EA9"/>
    <w:rsid w:val="00252458"/>
    <w:rsid w:val="00252843"/>
    <w:rsid w:val="002543F8"/>
    <w:rsid w:val="00255162"/>
    <w:rsid w:val="002551A4"/>
    <w:rsid w:val="002559F3"/>
    <w:rsid w:val="00256C4A"/>
    <w:rsid w:val="00256DFE"/>
    <w:rsid w:val="00261D56"/>
    <w:rsid w:val="00261FD3"/>
    <w:rsid w:val="00263505"/>
    <w:rsid w:val="00264077"/>
    <w:rsid w:val="00266B9A"/>
    <w:rsid w:val="002670B8"/>
    <w:rsid w:val="00270E54"/>
    <w:rsid w:val="00273633"/>
    <w:rsid w:val="00273681"/>
    <w:rsid w:val="00275176"/>
    <w:rsid w:val="002754B5"/>
    <w:rsid w:val="002764C5"/>
    <w:rsid w:val="002764D9"/>
    <w:rsid w:val="00276A5A"/>
    <w:rsid w:val="002772AE"/>
    <w:rsid w:val="00280613"/>
    <w:rsid w:val="002819C4"/>
    <w:rsid w:val="0028273B"/>
    <w:rsid w:val="0028274D"/>
    <w:rsid w:val="00282B96"/>
    <w:rsid w:val="002833D6"/>
    <w:rsid w:val="00283F51"/>
    <w:rsid w:val="00285993"/>
    <w:rsid w:val="00286064"/>
    <w:rsid w:val="002867B1"/>
    <w:rsid w:val="002868FC"/>
    <w:rsid w:val="00287569"/>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A5F54"/>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D5F"/>
    <w:rsid w:val="002D2FEF"/>
    <w:rsid w:val="002D36A3"/>
    <w:rsid w:val="002D36C2"/>
    <w:rsid w:val="002D3FCB"/>
    <w:rsid w:val="002D4FEF"/>
    <w:rsid w:val="002D502D"/>
    <w:rsid w:val="002D63F5"/>
    <w:rsid w:val="002D6E1A"/>
    <w:rsid w:val="002E036D"/>
    <w:rsid w:val="002E0AED"/>
    <w:rsid w:val="002E10A5"/>
    <w:rsid w:val="002E1517"/>
    <w:rsid w:val="002E1760"/>
    <w:rsid w:val="002E1B22"/>
    <w:rsid w:val="002E2DC6"/>
    <w:rsid w:val="002E387F"/>
    <w:rsid w:val="002E3C48"/>
    <w:rsid w:val="002E4589"/>
    <w:rsid w:val="002E76FC"/>
    <w:rsid w:val="002E7F4B"/>
    <w:rsid w:val="002F0C91"/>
    <w:rsid w:val="002F0E3E"/>
    <w:rsid w:val="002F1683"/>
    <w:rsid w:val="002F1B19"/>
    <w:rsid w:val="002F1FBF"/>
    <w:rsid w:val="002F22C4"/>
    <w:rsid w:val="002F4139"/>
    <w:rsid w:val="002F4D76"/>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4C64"/>
    <w:rsid w:val="00315389"/>
    <w:rsid w:val="00315746"/>
    <w:rsid w:val="00315E96"/>
    <w:rsid w:val="00317FC8"/>
    <w:rsid w:val="003223D7"/>
    <w:rsid w:val="003226DE"/>
    <w:rsid w:val="00323D9F"/>
    <w:rsid w:val="003248E8"/>
    <w:rsid w:val="00324FDB"/>
    <w:rsid w:val="00325467"/>
    <w:rsid w:val="0032560C"/>
    <w:rsid w:val="00325F48"/>
    <w:rsid w:val="0033194F"/>
    <w:rsid w:val="00331CF2"/>
    <w:rsid w:val="00332304"/>
    <w:rsid w:val="00332406"/>
    <w:rsid w:val="00332D8D"/>
    <w:rsid w:val="00334B1D"/>
    <w:rsid w:val="00334E26"/>
    <w:rsid w:val="00336B56"/>
    <w:rsid w:val="00341B25"/>
    <w:rsid w:val="00341EC0"/>
    <w:rsid w:val="0034240C"/>
    <w:rsid w:val="0034374F"/>
    <w:rsid w:val="00344496"/>
    <w:rsid w:val="00345968"/>
    <w:rsid w:val="00347361"/>
    <w:rsid w:val="00347667"/>
    <w:rsid w:val="003507E2"/>
    <w:rsid w:val="003522B2"/>
    <w:rsid w:val="0035455E"/>
    <w:rsid w:val="00354A6F"/>
    <w:rsid w:val="00354B48"/>
    <w:rsid w:val="00355789"/>
    <w:rsid w:val="003568FB"/>
    <w:rsid w:val="003609B6"/>
    <w:rsid w:val="00361119"/>
    <w:rsid w:val="003620A0"/>
    <w:rsid w:val="0036538D"/>
    <w:rsid w:val="00365D12"/>
    <w:rsid w:val="00366E20"/>
    <w:rsid w:val="003674A9"/>
    <w:rsid w:val="003678BA"/>
    <w:rsid w:val="0037018D"/>
    <w:rsid w:val="00370858"/>
    <w:rsid w:val="00370D8E"/>
    <w:rsid w:val="00372299"/>
    <w:rsid w:val="00372F02"/>
    <w:rsid w:val="00373714"/>
    <w:rsid w:val="00373729"/>
    <w:rsid w:val="00373C91"/>
    <w:rsid w:val="00373D17"/>
    <w:rsid w:val="003748F0"/>
    <w:rsid w:val="003755C6"/>
    <w:rsid w:val="003759FD"/>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96BF4"/>
    <w:rsid w:val="003977E3"/>
    <w:rsid w:val="003A2113"/>
    <w:rsid w:val="003A51C5"/>
    <w:rsid w:val="003A5A41"/>
    <w:rsid w:val="003A5A73"/>
    <w:rsid w:val="003A5BD4"/>
    <w:rsid w:val="003A5DAC"/>
    <w:rsid w:val="003A6591"/>
    <w:rsid w:val="003A6E9A"/>
    <w:rsid w:val="003B08C8"/>
    <w:rsid w:val="003B2567"/>
    <w:rsid w:val="003B381A"/>
    <w:rsid w:val="003B46CC"/>
    <w:rsid w:val="003B4976"/>
    <w:rsid w:val="003B4B3F"/>
    <w:rsid w:val="003B60A9"/>
    <w:rsid w:val="003B6258"/>
    <w:rsid w:val="003B7A4E"/>
    <w:rsid w:val="003B7A99"/>
    <w:rsid w:val="003C0343"/>
    <w:rsid w:val="003C1C32"/>
    <w:rsid w:val="003C40DA"/>
    <w:rsid w:val="003C42BA"/>
    <w:rsid w:val="003C462F"/>
    <w:rsid w:val="003C46F7"/>
    <w:rsid w:val="003C4A02"/>
    <w:rsid w:val="003C4F05"/>
    <w:rsid w:val="003C5706"/>
    <w:rsid w:val="003C6191"/>
    <w:rsid w:val="003C6E49"/>
    <w:rsid w:val="003D0CBF"/>
    <w:rsid w:val="003D0DD6"/>
    <w:rsid w:val="003D3098"/>
    <w:rsid w:val="003D42F2"/>
    <w:rsid w:val="003D4B73"/>
    <w:rsid w:val="003D503B"/>
    <w:rsid w:val="003D605E"/>
    <w:rsid w:val="003D61D1"/>
    <w:rsid w:val="003D6780"/>
    <w:rsid w:val="003D6FCB"/>
    <w:rsid w:val="003E00A6"/>
    <w:rsid w:val="003E0F84"/>
    <w:rsid w:val="003E165F"/>
    <w:rsid w:val="003E1FF3"/>
    <w:rsid w:val="003E25C7"/>
    <w:rsid w:val="003E3ACA"/>
    <w:rsid w:val="003E50EA"/>
    <w:rsid w:val="003E68C7"/>
    <w:rsid w:val="003E7313"/>
    <w:rsid w:val="003E76E5"/>
    <w:rsid w:val="003E79B0"/>
    <w:rsid w:val="003F0403"/>
    <w:rsid w:val="003F1094"/>
    <w:rsid w:val="003F2E45"/>
    <w:rsid w:val="003F3CE0"/>
    <w:rsid w:val="003F3EFE"/>
    <w:rsid w:val="003F40B8"/>
    <w:rsid w:val="003F5C06"/>
    <w:rsid w:val="00400195"/>
    <w:rsid w:val="0040254B"/>
    <w:rsid w:val="00403086"/>
    <w:rsid w:val="00403460"/>
    <w:rsid w:val="004037CE"/>
    <w:rsid w:val="004040FF"/>
    <w:rsid w:val="00404284"/>
    <w:rsid w:val="004042C4"/>
    <w:rsid w:val="00406E90"/>
    <w:rsid w:val="00407C1C"/>
    <w:rsid w:val="00410240"/>
    <w:rsid w:val="00410396"/>
    <w:rsid w:val="00410CFC"/>
    <w:rsid w:val="00411DFF"/>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67E2E"/>
    <w:rsid w:val="00470773"/>
    <w:rsid w:val="00471FF9"/>
    <w:rsid w:val="00472DAE"/>
    <w:rsid w:val="00473E74"/>
    <w:rsid w:val="00473FEF"/>
    <w:rsid w:val="00475B8E"/>
    <w:rsid w:val="0048104E"/>
    <w:rsid w:val="004814BB"/>
    <w:rsid w:val="004815DA"/>
    <w:rsid w:val="00482458"/>
    <w:rsid w:val="0048287F"/>
    <w:rsid w:val="00483286"/>
    <w:rsid w:val="004837ED"/>
    <w:rsid w:val="00483942"/>
    <w:rsid w:val="004843CE"/>
    <w:rsid w:val="00485142"/>
    <w:rsid w:val="004852A7"/>
    <w:rsid w:val="00485F54"/>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4E31"/>
    <w:rsid w:val="00495A6A"/>
    <w:rsid w:val="004964F6"/>
    <w:rsid w:val="00496821"/>
    <w:rsid w:val="00497750"/>
    <w:rsid w:val="00497B44"/>
    <w:rsid w:val="004A00E5"/>
    <w:rsid w:val="004A01A7"/>
    <w:rsid w:val="004A0D09"/>
    <w:rsid w:val="004A0ED5"/>
    <w:rsid w:val="004A116E"/>
    <w:rsid w:val="004A357F"/>
    <w:rsid w:val="004A3DAD"/>
    <w:rsid w:val="004A60FA"/>
    <w:rsid w:val="004B0335"/>
    <w:rsid w:val="004B0F1C"/>
    <w:rsid w:val="004B1E61"/>
    <w:rsid w:val="004B21AB"/>
    <w:rsid w:val="004B49D5"/>
    <w:rsid w:val="004B5114"/>
    <w:rsid w:val="004B59E0"/>
    <w:rsid w:val="004B667B"/>
    <w:rsid w:val="004B71C7"/>
    <w:rsid w:val="004C03AA"/>
    <w:rsid w:val="004C0B9A"/>
    <w:rsid w:val="004C14E7"/>
    <w:rsid w:val="004C1D89"/>
    <w:rsid w:val="004C220B"/>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865"/>
    <w:rsid w:val="004D7910"/>
    <w:rsid w:val="004D7DEA"/>
    <w:rsid w:val="004E0A28"/>
    <w:rsid w:val="004E1A0F"/>
    <w:rsid w:val="004E2E89"/>
    <w:rsid w:val="004E33C2"/>
    <w:rsid w:val="004E3B9A"/>
    <w:rsid w:val="004E49B0"/>
    <w:rsid w:val="004E60D2"/>
    <w:rsid w:val="004E62DE"/>
    <w:rsid w:val="004E6B05"/>
    <w:rsid w:val="004E76A1"/>
    <w:rsid w:val="004F05DE"/>
    <w:rsid w:val="004F18D8"/>
    <w:rsid w:val="004F6376"/>
    <w:rsid w:val="004F6A93"/>
    <w:rsid w:val="004F6F14"/>
    <w:rsid w:val="004F706A"/>
    <w:rsid w:val="004F728D"/>
    <w:rsid w:val="004F76D9"/>
    <w:rsid w:val="004F79A6"/>
    <w:rsid w:val="00501BF5"/>
    <w:rsid w:val="00501D8B"/>
    <w:rsid w:val="00503A3E"/>
    <w:rsid w:val="00503F59"/>
    <w:rsid w:val="005049A7"/>
    <w:rsid w:val="005053B2"/>
    <w:rsid w:val="00505CD9"/>
    <w:rsid w:val="00506331"/>
    <w:rsid w:val="00507D11"/>
    <w:rsid w:val="005101E9"/>
    <w:rsid w:val="0051029A"/>
    <w:rsid w:val="00510662"/>
    <w:rsid w:val="005109B7"/>
    <w:rsid w:val="00510A19"/>
    <w:rsid w:val="00511AAB"/>
    <w:rsid w:val="00511CAD"/>
    <w:rsid w:val="00514D10"/>
    <w:rsid w:val="0051582D"/>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462D"/>
    <w:rsid w:val="0052523D"/>
    <w:rsid w:val="005252DD"/>
    <w:rsid w:val="00526F8F"/>
    <w:rsid w:val="00530A8D"/>
    <w:rsid w:val="00530C55"/>
    <w:rsid w:val="00531C6D"/>
    <w:rsid w:val="00532EF4"/>
    <w:rsid w:val="005347CE"/>
    <w:rsid w:val="00535477"/>
    <w:rsid w:val="00535DEA"/>
    <w:rsid w:val="0053723A"/>
    <w:rsid w:val="00537636"/>
    <w:rsid w:val="00537B1D"/>
    <w:rsid w:val="00540191"/>
    <w:rsid w:val="00540A2A"/>
    <w:rsid w:val="00541DCE"/>
    <w:rsid w:val="00541F27"/>
    <w:rsid w:val="00542297"/>
    <w:rsid w:val="005424BC"/>
    <w:rsid w:val="00542A28"/>
    <w:rsid w:val="00542F79"/>
    <w:rsid w:val="005441D4"/>
    <w:rsid w:val="0054672D"/>
    <w:rsid w:val="00550F4E"/>
    <w:rsid w:val="0055152C"/>
    <w:rsid w:val="00551BC1"/>
    <w:rsid w:val="00551E98"/>
    <w:rsid w:val="005532B5"/>
    <w:rsid w:val="00553830"/>
    <w:rsid w:val="00554A05"/>
    <w:rsid w:val="00555849"/>
    <w:rsid w:val="005559A8"/>
    <w:rsid w:val="00557048"/>
    <w:rsid w:val="00557FB5"/>
    <w:rsid w:val="00561AED"/>
    <w:rsid w:val="005648A8"/>
    <w:rsid w:val="00564DE3"/>
    <w:rsid w:val="00564E44"/>
    <w:rsid w:val="00565D6B"/>
    <w:rsid w:val="00566C6A"/>
    <w:rsid w:val="00566CE5"/>
    <w:rsid w:val="00566D36"/>
    <w:rsid w:val="00566DD1"/>
    <w:rsid w:val="0057163A"/>
    <w:rsid w:val="0057174D"/>
    <w:rsid w:val="00573569"/>
    <w:rsid w:val="00573871"/>
    <w:rsid w:val="0057389E"/>
    <w:rsid w:val="00574A6C"/>
    <w:rsid w:val="005765C0"/>
    <w:rsid w:val="005778DE"/>
    <w:rsid w:val="00577BBC"/>
    <w:rsid w:val="00577E47"/>
    <w:rsid w:val="00580B3F"/>
    <w:rsid w:val="00581BFC"/>
    <w:rsid w:val="005825F2"/>
    <w:rsid w:val="00582963"/>
    <w:rsid w:val="0058344D"/>
    <w:rsid w:val="00583885"/>
    <w:rsid w:val="005860AF"/>
    <w:rsid w:val="005873E3"/>
    <w:rsid w:val="00587F1D"/>
    <w:rsid w:val="00590348"/>
    <w:rsid w:val="00591161"/>
    <w:rsid w:val="005915EB"/>
    <w:rsid w:val="00592318"/>
    <w:rsid w:val="00593133"/>
    <w:rsid w:val="0059575D"/>
    <w:rsid w:val="00596825"/>
    <w:rsid w:val="005A06A0"/>
    <w:rsid w:val="005A150A"/>
    <w:rsid w:val="005A2B3E"/>
    <w:rsid w:val="005A3644"/>
    <w:rsid w:val="005A4087"/>
    <w:rsid w:val="005A4533"/>
    <w:rsid w:val="005A4B18"/>
    <w:rsid w:val="005A537E"/>
    <w:rsid w:val="005A6D4F"/>
    <w:rsid w:val="005A6F43"/>
    <w:rsid w:val="005A767D"/>
    <w:rsid w:val="005A775C"/>
    <w:rsid w:val="005B00F1"/>
    <w:rsid w:val="005B0C13"/>
    <w:rsid w:val="005B0C1D"/>
    <w:rsid w:val="005B0CE7"/>
    <w:rsid w:val="005B10E2"/>
    <w:rsid w:val="005B1803"/>
    <w:rsid w:val="005B4079"/>
    <w:rsid w:val="005B428E"/>
    <w:rsid w:val="005B5B3C"/>
    <w:rsid w:val="005B64CB"/>
    <w:rsid w:val="005B65C0"/>
    <w:rsid w:val="005B6AAA"/>
    <w:rsid w:val="005B7554"/>
    <w:rsid w:val="005B7C78"/>
    <w:rsid w:val="005B7F37"/>
    <w:rsid w:val="005C0FB2"/>
    <w:rsid w:val="005C1169"/>
    <w:rsid w:val="005C16E2"/>
    <w:rsid w:val="005C24EF"/>
    <w:rsid w:val="005C2796"/>
    <w:rsid w:val="005C3C6C"/>
    <w:rsid w:val="005C3F4C"/>
    <w:rsid w:val="005C43AA"/>
    <w:rsid w:val="005C48C8"/>
    <w:rsid w:val="005C56D3"/>
    <w:rsid w:val="005C59DC"/>
    <w:rsid w:val="005C663C"/>
    <w:rsid w:val="005D0750"/>
    <w:rsid w:val="005D1023"/>
    <w:rsid w:val="005D148F"/>
    <w:rsid w:val="005D14C5"/>
    <w:rsid w:val="005D2AD2"/>
    <w:rsid w:val="005D3762"/>
    <w:rsid w:val="005D40E0"/>
    <w:rsid w:val="005D4A86"/>
    <w:rsid w:val="005D4F78"/>
    <w:rsid w:val="005D52C7"/>
    <w:rsid w:val="005D5B30"/>
    <w:rsid w:val="005D5EB1"/>
    <w:rsid w:val="005D6A29"/>
    <w:rsid w:val="005E0481"/>
    <w:rsid w:val="005E10BF"/>
    <w:rsid w:val="005E1834"/>
    <w:rsid w:val="005E3C83"/>
    <w:rsid w:val="005E49E5"/>
    <w:rsid w:val="005E4E00"/>
    <w:rsid w:val="005E5481"/>
    <w:rsid w:val="005E55E4"/>
    <w:rsid w:val="005E6C5F"/>
    <w:rsid w:val="005E7636"/>
    <w:rsid w:val="005F028E"/>
    <w:rsid w:val="005F04B4"/>
    <w:rsid w:val="005F11A4"/>
    <w:rsid w:val="005F19F8"/>
    <w:rsid w:val="005F28C9"/>
    <w:rsid w:val="005F3FB1"/>
    <w:rsid w:val="005F4C33"/>
    <w:rsid w:val="005F4D29"/>
    <w:rsid w:val="005F5ACF"/>
    <w:rsid w:val="005F60DC"/>
    <w:rsid w:val="005F647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DAB"/>
    <w:rsid w:val="00621E1F"/>
    <w:rsid w:val="006228B2"/>
    <w:rsid w:val="006228E1"/>
    <w:rsid w:val="00622E32"/>
    <w:rsid w:val="00623688"/>
    <w:rsid w:val="006247E0"/>
    <w:rsid w:val="00625F82"/>
    <w:rsid w:val="00627999"/>
    <w:rsid w:val="00630FF7"/>
    <w:rsid w:val="0063286E"/>
    <w:rsid w:val="00633433"/>
    <w:rsid w:val="006341B5"/>
    <w:rsid w:val="006346C9"/>
    <w:rsid w:val="006346E3"/>
    <w:rsid w:val="00634727"/>
    <w:rsid w:val="00634B64"/>
    <w:rsid w:val="0063578C"/>
    <w:rsid w:val="0063642C"/>
    <w:rsid w:val="0063681E"/>
    <w:rsid w:val="00636FF9"/>
    <w:rsid w:val="00640DCD"/>
    <w:rsid w:val="00641CE5"/>
    <w:rsid w:val="00641DC3"/>
    <w:rsid w:val="00642972"/>
    <w:rsid w:val="00644F4D"/>
    <w:rsid w:val="00646757"/>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15"/>
    <w:rsid w:val="006630CF"/>
    <w:rsid w:val="00663EFF"/>
    <w:rsid w:val="00664FFB"/>
    <w:rsid w:val="00666F74"/>
    <w:rsid w:val="00667027"/>
    <w:rsid w:val="00667FEA"/>
    <w:rsid w:val="006710D2"/>
    <w:rsid w:val="00671A8B"/>
    <w:rsid w:val="00671F53"/>
    <w:rsid w:val="006725A0"/>
    <w:rsid w:val="00672F61"/>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A95"/>
    <w:rsid w:val="00686FA2"/>
    <w:rsid w:val="006870C5"/>
    <w:rsid w:val="00690F0E"/>
    <w:rsid w:val="0069114A"/>
    <w:rsid w:val="006911C0"/>
    <w:rsid w:val="00691B7C"/>
    <w:rsid w:val="00692ADF"/>
    <w:rsid w:val="00694B73"/>
    <w:rsid w:val="00694DF2"/>
    <w:rsid w:val="00695F80"/>
    <w:rsid w:val="006966CD"/>
    <w:rsid w:val="00696735"/>
    <w:rsid w:val="0069780E"/>
    <w:rsid w:val="006A2CA2"/>
    <w:rsid w:val="006A3AF9"/>
    <w:rsid w:val="006A64ED"/>
    <w:rsid w:val="006B188B"/>
    <w:rsid w:val="006B2D40"/>
    <w:rsid w:val="006B34DF"/>
    <w:rsid w:val="006B39B2"/>
    <w:rsid w:val="006B3AF9"/>
    <w:rsid w:val="006B43A5"/>
    <w:rsid w:val="006B45A0"/>
    <w:rsid w:val="006B5668"/>
    <w:rsid w:val="006B5DF1"/>
    <w:rsid w:val="006B5F71"/>
    <w:rsid w:val="006B6E44"/>
    <w:rsid w:val="006B7059"/>
    <w:rsid w:val="006B7287"/>
    <w:rsid w:val="006B7B29"/>
    <w:rsid w:val="006B7F2E"/>
    <w:rsid w:val="006C0BF8"/>
    <w:rsid w:val="006C2253"/>
    <w:rsid w:val="006C2CCB"/>
    <w:rsid w:val="006C4334"/>
    <w:rsid w:val="006C4B0F"/>
    <w:rsid w:val="006C51DB"/>
    <w:rsid w:val="006C5E96"/>
    <w:rsid w:val="006D399F"/>
    <w:rsid w:val="006D4F0C"/>
    <w:rsid w:val="006D5645"/>
    <w:rsid w:val="006E077D"/>
    <w:rsid w:val="006E0C8A"/>
    <w:rsid w:val="006E2A23"/>
    <w:rsid w:val="006E35E5"/>
    <w:rsid w:val="006E3C72"/>
    <w:rsid w:val="006E3DE6"/>
    <w:rsid w:val="006E4F20"/>
    <w:rsid w:val="006E649A"/>
    <w:rsid w:val="006E68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04F96"/>
    <w:rsid w:val="00710519"/>
    <w:rsid w:val="00710F6E"/>
    <w:rsid w:val="00711663"/>
    <w:rsid w:val="007116B4"/>
    <w:rsid w:val="007121FB"/>
    <w:rsid w:val="00712580"/>
    <w:rsid w:val="00712CEB"/>
    <w:rsid w:val="007133E4"/>
    <w:rsid w:val="00713788"/>
    <w:rsid w:val="00713940"/>
    <w:rsid w:val="007151A2"/>
    <w:rsid w:val="00716774"/>
    <w:rsid w:val="0071740A"/>
    <w:rsid w:val="007176A1"/>
    <w:rsid w:val="007209DD"/>
    <w:rsid w:val="00721B5D"/>
    <w:rsid w:val="00722E49"/>
    <w:rsid w:val="00722EBB"/>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0F08"/>
    <w:rsid w:val="00743C13"/>
    <w:rsid w:val="00743DE7"/>
    <w:rsid w:val="0074509E"/>
    <w:rsid w:val="007457A6"/>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931"/>
    <w:rsid w:val="00773B94"/>
    <w:rsid w:val="00773C65"/>
    <w:rsid w:val="00775937"/>
    <w:rsid w:val="00776AF4"/>
    <w:rsid w:val="00777046"/>
    <w:rsid w:val="007770DA"/>
    <w:rsid w:val="007805B9"/>
    <w:rsid w:val="00780C3A"/>
    <w:rsid w:val="007834A1"/>
    <w:rsid w:val="00790372"/>
    <w:rsid w:val="007903A6"/>
    <w:rsid w:val="00791EB4"/>
    <w:rsid w:val="007928F1"/>
    <w:rsid w:val="0079357D"/>
    <w:rsid w:val="007937CC"/>
    <w:rsid w:val="00793A31"/>
    <w:rsid w:val="0079485D"/>
    <w:rsid w:val="00794979"/>
    <w:rsid w:val="007956B7"/>
    <w:rsid w:val="00795F1A"/>
    <w:rsid w:val="007965A5"/>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C75B1"/>
    <w:rsid w:val="007D0FE5"/>
    <w:rsid w:val="007D10EE"/>
    <w:rsid w:val="007D1193"/>
    <w:rsid w:val="007D21D5"/>
    <w:rsid w:val="007D3E8D"/>
    <w:rsid w:val="007D4CD0"/>
    <w:rsid w:val="007D4F05"/>
    <w:rsid w:val="007D5915"/>
    <w:rsid w:val="007D5B4F"/>
    <w:rsid w:val="007D5C30"/>
    <w:rsid w:val="007D5E75"/>
    <w:rsid w:val="007E0660"/>
    <w:rsid w:val="007E0A54"/>
    <w:rsid w:val="007E1411"/>
    <w:rsid w:val="007E1882"/>
    <w:rsid w:val="007E1BB4"/>
    <w:rsid w:val="007E2077"/>
    <w:rsid w:val="007E2E6F"/>
    <w:rsid w:val="007E3514"/>
    <w:rsid w:val="007E4000"/>
    <w:rsid w:val="007E4207"/>
    <w:rsid w:val="007E4AAA"/>
    <w:rsid w:val="007E4AE5"/>
    <w:rsid w:val="007E4BD2"/>
    <w:rsid w:val="007E4C29"/>
    <w:rsid w:val="007E5E44"/>
    <w:rsid w:val="007F0DDA"/>
    <w:rsid w:val="007F1939"/>
    <w:rsid w:val="007F365C"/>
    <w:rsid w:val="007F5066"/>
    <w:rsid w:val="007F621C"/>
    <w:rsid w:val="007F70CC"/>
    <w:rsid w:val="007F7155"/>
    <w:rsid w:val="0080025A"/>
    <w:rsid w:val="00800C28"/>
    <w:rsid w:val="0080204A"/>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154DF"/>
    <w:rsid w:val="008203B2"/>
    <w:rsid w:val="00820623"/>
    <w:rsid w:val="008206D5"/>
    <w:rsid w:val="008208E5"/>
    <w:rsid w:val="00821747"/>
    <w:rsid w:val="008229A3"/>
    <w:rsid w:val="00822DFB"/>
    <w:rsid w:val="00822F64"/>
    <w:rsid w:val="008253A6"/>
    <w:rsid w:val="00825A6B"/>
    <w:rsid w:val="00825C50"/>
    <w:rsid w:val="00826577"/>
    <w:rsid w:val="008267DB"/>
    <w:rsid w:val="00827439"/>
    <w:rsid w:val="00827C79"/>
    <w:rsid w:val="00827C9D"/>
    <w:rsid w:val="00830019"/>
    <w:rsid w:val="0083003F"/>
    <w:rsid w:val="00831077"/>
    <w:rsid w:val="00831A4A"/>
    <w:rsid w:val="00832134"/>
    <w:rsid w:val="0083219E"/>
    <w:rsid w:val="008324B3"/>
    <w:rsid w:val="00833337"/>
    <w:rsid w:val="0083497C"/>
    <w:rsid w:val="00834FDE"/>
    <w:rsid w:val="008352A6"/>
    <w:rsid w:val="00835B5B"/>
    <w:rsid w:val="00835CC2"/>
    <w:rsid w:val="008367AE"/>
    <w:rsid w:val="00836E50"/>
    <w:rsid w:val="00837A15"/>
    <w:rsid w:val="0084014F"/>
    <w:rsid w:val="00840477"/>
    <w:rsid w:val="0084121D"/>
    <w:rsid w:val="008418E3"/>
    <w:rsid w:val="008419C1"/>
    <w:rsid w:val="00844515"/>
    <w:rsid w:val="0084465A"/>
    <w:rsid w:val="00844DFF"/>
    <w:rsid w:val="00845D87"/>
    <w:rsid w:val="00846C3A"/>
    <w:rsid w:val="008477BF"/>
    <w:rsid w:val="008503DA"/>
    <w:rsid w:val="0085051E"/>
    <w:rsid w:val="00850B68"/>
    <w:rsid w:val="00850E82"/>
    <w:rsid w:val="0085122D"/>
    <w:rsid w:val="008519E8"/>
    <w:rsid w:val="00851BC2"/>
    <w:rsid w:val="008525FF"/>
    <w:rsid w:val="00852C03"/>
    <w:rsid w:val="00853190"/>
    <w:rsid w:val="0085590C"/>
    <w:rsid w:val="008575EB"/>
    <w:rsid w:val="008617E7"/>
    <w:rsid w:val="00862DDD"/>
    <w:rsid w:val="0086312D"/>
    <w:rsid w:val="0086326D"/>
    <w:rsid w:val="00863943"/>
    <w:rsid w:val="00863CC1"/>
    <w:rsid w:val="0086459D"/>
    <w:rsid w:val="00865B01"/>
    <w:rsid w:val="00866D7A"/>
    <w:rsid w:val="00866EE3"/>
    <w:rsid w:val="00871F04"/>
    <w:rsid w:val="008746C1"/>
    <w:rsid w:val="00875635"/>
    <w:rsid w:val="00877591"/>
    <w:rsid w:val="00880224"/>
    <w:rsid w:val="00880FD0"/>
    <w:rsid w:val="0088244C"/>
    <w:rsid w:val="008828C1"/>
    <w:rsid w:val="00883367"/>
    <w:rsid w:val="00884580"/>
    <w:rsid w:val="00884BC3"/>
    <w:rsid w:val="00884C47"/>
    <w:rsid w:val="008850FF"/>
    <w:rsid w:val="00885E6F"/>
    <w:rsid w:val="008861AC"/>
    <w:rsid w:val="008868E4"/>
    <w:rsid w:val="00886A60"/>
    <w:rsid w:val="0088759B"/>
    <w:rsid w:val="008909B4"/>
    <w:rsid w:val="008922E8"/>
    <w:rsid w:val="00893916"/>
    <w:rsid w:val="00893BD2"/>
    <w:rsid w:val="0089442C"/>
    <w:rsid w:val="00895818"/>
    <w:rsid w:val="008A0416"/>
    <w:rsid w:val="008A2585"/>
    <w:rsid w:val="008A2718"/>
    <w:rsid w:val="008A4AB3"/>
    <w:rsid w:val="008A4CF6"/>
    <w:rsid w:val="008A4E42"/>
    <w:rsid w:val="008A50BE"/>
    <w:rsid w:val="008A51AA"/>
    <w:rsid w:val="008A6A12"/>
    <w:rsid w:val="008B0DC6"/>
    <w:rsid w:val="008B2B9E"/>
    <w:rsid w:val="008B31F5"/>
    <w:rsid w:val="008B4C79"/>
    <w:rsid w:val="008B5B20"/>
    <w:rsid w:val="008B5B52"/>
    <w:rsid w:val="008B5D2D"/>
    <w:rsid w:val="008B6361"/>
    <w:rsid w:val="008C02C1"/>
    <w:rsid w:val="008C02F2"/>
    <w:rsid w:val="008C0320"/>
    <w:rsid w:val="008C14EE"/>
    <w:rsid w:val="008C2A81"/>
    <w:rsid w:val="008C3863"/>
    <w:rsid w:val="008C3B6B"/>
    <w:rsid w:val="008C4BDC"/>
    <w:rsid w:val="008C50FF"/>
    <w:rsid w:val="008C53FA"/>
    <w:rsid w:val="008C5435"/>
    <w:rsid w:val="008C6BD1"/>
    <w:rsid w:val="008D2DB5"/>
    <w:rsid w:val="008D3774"/>
    <w:rsid w:val="008D3F10"/>
    <w:rsid w:val="008D611D"/>
    <w:rsid w:val="008E1B6A"/>
    <w:rsid w:val="008E3054"/>
    <w:rsid w:val="008E32FF"/>
    <w:rsid w:val="008E5625"/>
    <w:rsid w:val="008E5C5B"/>
    <w:rsid w:val="008E6A37"/>
    <w:rsid w:val="008F0354"/>
    <w:rsid w:val="008F085A"/>
    <w:rsid w:val="008F0DD3"/>
    <w:rsid w:val="008F1462"/>
    <w:rsid w:val="008F2413"/>
    <w:rsid w:val="008F248D"/>
    <w:rsid w:val="008F4B2C"/>
    <w:rsid w:val="008F4C08"/>
    <w:rsid w:val="008F6851"/>
    <w:rsid w:val="008F7BC4"/>
    <w:rsid w:val="009003B8"/>
    <w:rsid w:val="00900E7A"/>
    <w:rsid w:val="00901A6A"/>
    <w:rsid w:val="00903E11"/>
    <w:rsid w:val="00903EBE"/>
    <w:rsid w:val="009041DE"/>
    <w:rsid w:val="00905D59"/>
    <w:rsid w:val="009062CA"/>
    <w:rsid w:val="00907631"/>
    <w:rsid w:val="00907776"/>
    <w:rsid w:val="00907865"/>
    <w:rsid w:val="00913401"/>
    <w:rsid w:val="00913567"/>
    <w:rsid w:val="009137B6"/>
    <w:rsid w:val="0091396A"/>
    <w:rsid w:val="009141B7"/>
    <w:rsid w:val="009142CB"/>
    <w:rsid w:val="00915EBA"/>
    <w:rsid w:val="00917093"/>
    <w:rsid w:val="0092030E"/>
    <w:rsid w:val="00921108"/>
    <w:rsid w:val="009217B1"/>
    <w:rsid w:val="00921A42"/>
    <w:rsid w:val="009223BB"/>
    <w:rsid w:val="00922491"/>
    <w:rsid w:val="00923BCF"/>
    <w:rsid w:val="00925AEC"/>
    <w:rsid w:val="00925DE8"/>
    <w:rsid w:val="0092723C"/>
    <w:rsid w:val="0092751A"/>
    <w:rsid w:val="009305C4"/>
    <w:rsid w:val="0093075E"/>
    <w:rsid w:val="00931FAF"/>
    <w:rsid w:val="00932478"/>
    <w:rsid w:val="009340B5"/>
    <w:rsid w:val="009360F6"/>
    <w:rsid w:val="009371DC"/>
    <w:rsid w:val="0093759D"/>
    <w:rsid w:val="00940239"/>
    <w:rsid w:val="00942BD6"/>
    <w:rsid w:val="00942DED"/>
    <w:rsid w:val="0094378D"/>
    <w:rsid w:val="00944404"/>
    <w:rsid w:val="009452D7"/>
    <w:rsid w:val="00945FD1"/>
    <w:rsid w:val="00946CCC"/>
    <w:rsid w:val="0094785C"/>
    <w:rsid w:val="009503E5"/>
    <w:rsid w:val="00950616"/>
    <w:rsid w:val="00950794"/>
    <w:rsid w:val="00950F71"/>
    <w:rsid w:val="00952F2C"/>
    <w:rsid w:val="009532E3"/>
    <w:rsid w:val="00953615"/>
    <w:rsid w:val="00954BAF"/>
    <w:rsid w:val="0095587B"/>
    <w:rsid w:val="00955F48"/>
    <w:rsid w:val="009560B3"/>
    <w:rsid w:val="009569F8"/>
    <w:rsid w:val="0095745E"/>
    <w:rsid w:val="00957CE0"/>
    <w:rsid w:val="0096002E"/>
    <w:rsid w:val="0096039E"/>
    <w:rsid w:val="00960690"/>
    <w:rsid w:val="00962CEF"/>
    <w:rsid w:val="00963766"/>
    <w:rsid w:val="00963FDF"/>
    <w:rsid w:val="00964C32"/>
    <w:rsid w:val="0096528F"/>
    <w:rsid w:val="009653F2"/>
    <w:rsid w:val="009661DF"/>
    <w:rsid w:val="009667BD"/>
    <w:rsid w:val="00967C2B"/>
    <w:rsid w:val="00967CE2"/>
    <w:rsid w:val="00970475"/>
    <w:rsid w:val="00971B3D"/>
    <w:rsid w:val="00971DA3"/>
    <w:rsid w:val="00972161"/>
    <w:rsid w:val="0097261B"/>
    <w:rsid w:val="00974881"/>
    <w:rsid w:val="00974F6B"/>
    <w:rsid w:val="0097606C"/>
    <w:rsid w:val="009771D1"/>
    <w:rsid w:val="00977B96"/>
    <w:rsid w:val="0098012D"/>
    <w:rsid w:val="00980845"/>
    <w:rsid w:val="00981BD9"/>
    <w:rsid w:val="0098225F"/>
    <w:rsid w:val="009838B0"/>
    <w:rsid w:val="00983A3C"/>
    <w:rsid w:val="00983EFA"/>
    <w:rsid w:val="00984C15"/>
    <w:rsid w:val="00984F83"/>
    <w:rsid w:val="00987829"/>
    <w:rsid w:val="00987F7A"/>
    <w:rsid w:val="00991276"/>
    <w:rsid w:val="009923E7"/>
    <w:rsid w:val="00992697"/>
    <w:rsid w:val="00992D4E"/>
    <w:rsid w:val="009934BB"/>
    <w:rsid w:val="00994621"/>
    <w:rsid w:val="009947FF"/>
    <w:rsid w:val="0099544B"/>
    <w:rsid w:val="00996897"/>
    <w:rsid w:val="009A07A6"/>
    <w:rsid w:val="009A0D56"/>
    <w:rsid w:val="009A31B9"/>
    <w:rsid w:val="009A4D4F"/>
    <w:rsid w:val="009A53D8"/>
    <w:rsid w:val="009A597F"/>
    <w:rsid w:val="009A7B72"/>
    <w:rsid w:val="009A7F49"/>
    <w:rsid w:val="009B03C4"/>
    <w:rsid w:val="009B0AA2"/>
    <w:rsid w:val="009B1D02"/>
    <w:rsid w:val="009B5661"/>
    <w:rsid w:val="009B6C07"/>
    <w:rsid w:val="009B7133"/>
    <w:rsid w:val="009B7658"/>
    <w:rsid w:val="009B7CD1"/>
    <w:rsid w:val="009B7E22"/>
    <w:rsid w:val="009B7E78"/>
    <w:rsid w:val="009C048D"/>
    <w:rsid w:val="009C10FE"/>
    <w:rsid w:val="009C13BC"/>
    <w:rsid w:val="009C1CA4"/>
    <w:rsid w:val="009C2532"/>
    <w:rsid w:val="009C2BA4"/>
    <w:rsid w:val="009C3424"/>
    <w:rsid w:val="009C6091"/>
    <w:rsid w:val="009C634F"/>
    <w:rsid w:val="009C72DE"/>
    <w:rsid w:val="009C78F7"/>
    <w:rsid w:val="009D0219"/>
    <w:rsid w:val="009D0D55"/>
    <w:rsid w:val="009D2295"/>
    <w:rsid w:val="009D2511"/>
    <w:rsid w:val="009D3E7C"/>
    <w:rsid w:val="009D55CA"/>
    <w:rsid w:val="009D5661"/>
    <w:rsid w:val="009D5A98"/>
    <w:rsid w:val="009D5EF0"/>
    <w:rsid w:val="009D6401"/>
    <w:rsid w:val="009D6E99"/>
    <w:rsid w:val="009E0711"/>
    <w:rsid w:val="009E085F"/>
    <w:rsid w:val="009E1917"/>
    <w:rsid w:val="009E1C55"/>
    <w:rsid w:val="009E3594"/>
    <w:rsid w:val="009E4E02"/>
    <w:rsid w:val="009E6B77"/>
    <w:rsid w:val="009E7724"/>
    <w:rsid w:val="009E7D1F"/>
    <w:rsid w:val="009E7FAA"/>
    <w:rsid w:val="009F0B47"/>
    <w:rsid w:val="009F1D82"/>
    <w:rsid w:val="009F37AA"/>
    <w:rsid w:val="009F544C"/>
    <w:rsid w:val="009F5731"/>
    <w:rsid w:val="009F58FA"/>
    <w:rsid w:val="009F6321"/>
    <w:rsid w:val="009F6378"/>
    <w:rsid w:val="009F7669"/>
    <w:rsid w:val="009F7D21"/>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19"/>
    <w:rsid w:val="00A1361E"/>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4CD5"/>
    <w:rsid w:val="00A4572B"/>
    <w:rsid w:val="00A46246"/>
    <w:rsid w:val="00A46349"/>
    <w:rsid w:val="00A46D5E"/>
    <w:rsid w:val="00A472FD"/>
    <w:rsid w:val="00A47F2E"/>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57888"/>
    <w:rsid w:val="00A60D6F"/>
    <w:rsid w:val="00A60E27"/>
    <w:rsid w:val="00A61009"/>
    <w:rsid w:val="00A61762"/>
    <w:rsid w:val="00A61938"/>
    <w:rsid w:val="00A61CFD"/>
    <w:rsid w:val="00A62B86"/>
    <w:rsid w:val="00A63C96"/>
    <w:rsid w:val="00A65805"/>
    <w:rsid w:val="00A66BEE"/>
    <w:rsid w:val="00A671C9"/>
    <w:rsid w:val="00A67DFD"/>
    <w:rsid w:val="00A715D3"/>
    <w:rsid w:val="00A72164"/>
    <w:rsid w:val="00A74736"/>
    <w:rsid w:val="00A74F9F"/>
    <w:rsid w:val="00A750B3"/>
    <w:rsid w:val="00A75559"/>
    <w:rsid w:val="00A7623D"/>
    <w:rsid w:val="00A81A50"/>
    <w:rsid w:val="00A8217C"/>
    <w:rsid w:val="00A824A7"/>
    <w:rsid w:val="00A83644"/>
    <w:rsid w:val="00A83C07"/>
    <w:rsid w:val="00A83F40"/>
    <w:rsid w:val="00A84945"/>
    <w:rsid w:val="00A85543"/>
    <w:rsid w:val="00A85A11"/>
    <w:rsid w:val="00A862EF"/>
    <w:rsid w:val="00A86EA2"/>
    <w:rsid w:val="00A86EDD"/>
    <w:rsid w:val="00A8728B"/>
    <w:rsid w:val="00A90EE4"/>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1ECD"/>
    <w:rsid w:val="00AB2AEC"/>
    <w:rsid w:val="00AB2DC1"/>
    <w:rsid w:val="00AB3102"/>
    <w:rsid w:val="00AB3D9A"/>
    <w:rsid w:val="00AB4824"/>
    <w:rsid w:val="00AB4B1D"/>
    <w:rsid w:val="00AB6B5E"/>
    <w:rsid w:val="00AC047F"/>
    <w:rsid w:val="00AC0DB2"/>
    <w:rsid w:val="00AC3934"/>
    <w:rsid w:val="00AC3BDF"/>
    <w:rsid w:val="00AC50C8"/>
    <w:rsid w:val="00AC5581"/>
    <w:rsid w:val="00AC56AD"/>
    <w:rsid w:val="00AC61BE"/>
    <w:rsid w:val="00AC7B8A"/>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E69E8"/>
    <w:rsid w:val="00AF0029"/>
    <w:rsid w:val="00AF0354"/>
    <w:rsid w:val="00AF1236"/>
    <w:rsid w:val="00AF3C29"/>
    <w:rsid w:val="00AF4401"/>
    <w:rsid w:val="00AF4463"/>
    <w:rsid w:val="00AF502B"/>
    <w:rsid w:val="00AF53CB"/>
    <w:rsid w:val="00AF6513"/>
    <w:rsid w:val="00AF65C5"/>
    <w:rsid w:val="00AF70A4"/>
    <w:rsid w:val="00AF763D"/>
    <w:rsid w:val="00B03CE2"/>
    <w:rsid w:val="00B04F74"/>
    <w:rsid w:val="00B06544"/>
    <w:rsid w:val="00B105F2"/>
    <w:rsid w:val="00B10991"/>
    <w:rsid w:val="00B12128"/>
    <w:rsid w:val="00B1237E"/>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2AE6"/>
    <w:rsid w:val="00B23F86"/>
    <w:rsid w:val="00B248A0"/>
    <w:rsid w:val="00B24B42"/>
    <w:rsid w:val="00B24DC6"/>
    <w:rsid w:val="00B24E30"/>
    <w:rsid w:val="00B258F3"/>
    <w:rsid w:val="00B25E0D"/>
    <w:rsid w:val="00B2659C"/>
    <w:rsid w:val="00B26B13"/>
    <w:rsid w:val="00B26BD2"/>
    <w:rsid w:val="00B26FD7"/>
    <w:rsid w:val="00B270AB"/>
    <w:rsid w:val="00B2725B"/>
    <w:rsid w:val="00B27369"/>
    <w:rsid w:val="00B276AD"/>
    <w:rsid w:val="00B30608"/>
    <w:rsid w:val="00B306FC"/>
    <w:rsid w:val="00B309D2"/>
    <w:rsid w:val="00B30E4F"/>
    <w:rsid w:val="00B3124F"/>
    <w:rsid w:val="00B31D70"/>
    <w:rsid w:val="00B32975"/>
    <w:rsid w:val="00B33294"/>
    <w:rsid w:val="00B33657"/>
    <w:rsid w:val="00B34885"/>
    <w:rsid w:val="00B34D68"/>
    <w:rsid w:val="00B36117"/>
    <w:rsid w:val="00B362E3"/>
    <w:rsid w:val="00B37C73"/>
    <w:rsid w:val="00B4009B"/>
    <w:rsid w:val="00B400A1"/>
    <w:rsid w:val="00B40A2B"/>
    <w:rsid w:val="00B420CB"/>
    <w:rsid w:val="00B43BF4"/>
    <w:rsid w:val="00B4401C"/>
    <w:rsid w:val="00B44802"/>
    <w:rsid w:val="00B44A96"/>
    <w:rsid w:val="00B455D1"/>
    <w:rsid w:val="00B45ED6"/>
    <w:rsid w:val="00B46135"/>
    <w:rsid w:val="00B472AB"/>
    <w:rsid w:val="00B47CE4"/>
    <w:rsid w:val="00B47F26"/>
    <w:rsid w:val="00B503A8"/>
    <w:rsid w:val="00B5121D"/>
    <w:rsid w:val="00B51BF8"/>
    <w:rsid w:val="00B525C0"/>
    <w:rsid w:val="00B52FAB"/>
    <w:rsid w:val="00B5319A"/>
    <w:rsid w:val="00B539F9"/>
    <w:rsid w:val="00B53E56"/>
    <w:rsid w:val="00B546C3"/>
    <w:rsid w:val="00B54BD9"/>
    <w:rsid w:val="00B5503C"/>
    <w:rsid w:val="00B55640"/>
    <w:rsid w:val="00B559B3"/>
    <w:rsid w:val="00B55C57"/>
    <w:rsid w:val="00B57107"/>
    <w:rsid w:val="00B576BD"/>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45A4"/>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016"/>
    <w:rsid w:val="00BA31AA"/>
    <w:rsid w:val="00BA35CB"/>
    <w:rsid w:val="00BA45D8"/>
    <w:rsid w:val="00BA5828"/>
    <w:rsid w:val="00BA5DB7"/>
    <w:rsid w:val="00BA64B3"/>
    <w:rsid w:val="00BA754A"/>
    <w:rsid w:val="00BA7820"/>
    <w:rsid w:val="00BA794C"/>
    <w:rsid w:val="00BB09FB"/>
    <w:rsid w:val="00BB1973"/>
    <w:rsid w:val="00BB238D"/>
    <w:rsid w:val="00BB37CC"/>
    <w:rsid w:val="00BB48C4"/>
    <w:rsid w:val="00BB625D"/>
    <w:rsid w:val="00BB6907"/>
    <w:rsid w:val="00BB7A20"/>
    <w:rsid w:val="00BC15B1"/>
    <w:rsid w:val="00BC2116"/>
    <w:rsid w:val="00BC2657"/>
    <w:rsid w:val="00BC3C06"/>
    <w:rsid w:val="00BC4E8B"/>
    <w:rsid w:val="00BC5622"/>
    <w:rsid w:val="00BC6060"/>
    <w:rsid w:val="00BC6A9F"/>
    <w:rsid w:val="00BC7897"/>
    <w:rsid w:val="00BD06D7"/>
    <w:rsid w:val="00BD0F35"/>
    <w:rsid w:val="00BD45A4"/>
    <w:rsid w:val="00BD4A5F"/>
    <w:rsid w:val="00BD59AA"/>
    <w:rsid w:val="00BD6081"/>
    <w:rsid w:val="00BD65E6"/>
    <w:rsid w:val="00BD6AF7"/>
    <w:rsid w:val="00BD73AA"/>
    <w:rsid w:val="00BD7883"/>
    <w:rsid w:val="00BE02A2"/>
    <w:rsid w:val="00BE19EF"/>
    <w:rsid w:val="00BE425B"/>
    <w:rsid w:val="00BE51BB"/>
    <w:rsid w:val="00BE7595"/>
    <w:rsid w:val="00BE77D3"/>
    <w:rsid w:val="00BF0138"/>
    <w:rsid w:val="00BF114B"/>
    <w:rsid w:val="00BF1620"/>
    <w:rsid w:val="00BF1AC3"/>
    <w:rsid w:val="00BF373A"/>
    <w:rsid w:val="00BF3EBB"/>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1E5"/>
    <w:rsid w:val="00C14615"/>
    <w:rsid w:val="00C14F48"/>
    <w:rsid w:val="00C15296"/>
    <w:rsid w:val="00C17750"/>
    <w:rsid w:val="00C2094B"/>
    <w:rsid w:val="00C20DC5"/>
    <w:rsid w:val="00C2144A"/>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37205"/>
    <w:rsid w:val="00C400B0"/>
    <w:rsid w:val="00C40F09"/>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67CEE"/>
    <w:rsid w:val="00C729C7"/>
    <w:rsid w:val="00C742AD"/>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97714"/>
    <w:rsid w:val="00CA012C"/>
    <w:rsid w:val="00CA0AA6"/>
    <w:rsid w:val="00CA245A"/>
    <w:rsid w:val="00CA2897"/>
    <w:rsid w:val="00CA44F3"/>
    <w:rsid w:val="00CA582C"/>
    <w:rsid w:val="00CA5F03"/>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230"/>
    <w:rsid w:val="00CC1783"/>
    <w:rsid w:val="00CC3B46"/>
    <w:rsid w:val="00CC3D8B"/>
    <w:rsid w:val="00CC48D4"/>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1A5"/>
    <w:rsid w:val="00CD5831"/>
    <w:rsid w:val="00CD6F6E"/>
    <w:rsid w:val="00CE157F"/>
    <w:rsid w:val="00CE1966"/>
    <w:rsid w:val="00CE1ED4"/>
    <w:rsid w:val="00CE2216"/>
    <w:rsid w:val="00CE3014"/>
    <w:rsid w:val="00CE30E5"/>
    <w:rsid w:val="00CE392F"/>
    <w:rsid w:val="00CE438D"/>
    <w:rsid w:val="00CE6C95"/>
    <w:rsid w:val="00CE6FC6"/>
    <w:rsid w:val="00CF2056"/>
    <w:rsid w:val="00CF4471"/>
    <w:rsid w:val="00CF51C0"/>
    <w:rsid w:val="00CF5B2A"/>
    <w:rsid w:val="00CF5CE0"/>
    <w:rsid w:val="00CF5F57"/>
    <w:rsid w:val="00CF64A7"/>
    <w:rsid w:val="00CF6730"/>
    <w:rsid w:val="00CF6A75"/>
    <w:rsid w:val="00CF70E5"/>
    <w:rsid w:val="00CF78A3"/>
    <w:rsid w:val="00CF7CEC"/>
    <w:rsid w:val="00D00B0F"/>
    <w:rsid w:val="00D01BF4"/>
    <w:rsid w:val="00D0272C"/>
    <w:rsid w:val="00D045CE"/>
    <w:rsid w:val="00D04C4B"/>
    <w:rsid w:val="00D05017"/>
    <w:rsid w:val="00D05082"/>
    <w:rsid w:val="00D06163"/>
    <w:rsid w:val="00D06937"/>
    <w:rsid w:val="00D07299"/>
    <w:rsid w:val="00D07AFD"/>
    <w:rsid w:val="00D11749"/>
    <w:rsid w:val="00D117B4"/>
    <w:rsid w:val="00D12A7D"/>
    <w:rsid w:val="00D13AB0"/>
    <w:rsid w:val="00D1519E"/>
    <w:rsid w:val="00D152B7"/>
    <w:rsid w:val="00D16EDC"/>
    <w:rsid w:val="00D17FDE"/>
    <w:rsid w:val="00D2000E"/>
    <w:rsid w:val="00D201CB"/>
    <w:rsid w:val="00D218C4"/>
    <w:rsid w:val="00D22786"/>
    <w:rsid w:val="00D228B4"/>
    <w:rsid w:val="00D24321"/>
    <w:rsid w:val="00D25AC4"/>
    <w:rsid w:val="00D25B66"/>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4714B"/>
    <w:rsid w:val="00D511C6"/>
    <w:rsid w:val="00D5121D"/>
    <w:rsid w:val="00D516AC"/>
    <w:rsid w:val="00D521BB"/>
    <w:rsid w:val="00D52875"/>
    <w:rsid w:val="00D53941"/>
    <w:rsid w:val="00D54050"/>
    <w:rsid w:val="00D56AC0"/>
    <w:rsid w:val="00D6081B"/>
    <w:rsid w:val="00D60960"/>
    <w:rsid w:val="00D6240A"/>
    <w:rsid w:val="00D62613"/>
    <w:rsid w:val="00D63093"/>
    <w:rsid w:val="00D63599"/>
    <w:rsid w:val="00D63EBD"/>
    <w:rsid w:val="00D670D2"/>
    <w:rsid w:val="00D67101"/>
    <w:rsid w:val="00D70038"/>
    <w:rsid w:val="00D71A74"/>
    <w:rsid w:val="00D71B45"/>
    <w:rsid w:val="00D71F8A"/>
    <w:rsid w:val="00D75603"/>
    <w:rsid w:val="00D75FEE"/>
    <w:rsid w:val="00D76933"/>
    <w:rsid w:val="00D76D88"/>
    <w:rsid w:val="00D77CC9"/>
    <w:rsid w:val="00D8372D"/>
    <w:rsid w:val="00D83D4B"/>
    <w:rsid w:val="00D871C6"/>
    <w:rsid w:val="00D91010"/>
    <w:rsid w:val="00D9143D"/>
    <w:rsid w:val="00D9154C"/>
    <w:rsid w:val="00D920D1"/>
    <w:rsid w:val="00D9439D"/>
    <w:rsid w:val="00DA0FA7"/>
    <w:rsid w:val="00DA12B0"/>
    <w:rsid w:val="00DA2BA0"/>
    <w:rsid w:val="00DA37A0"/>
    <w:rsid w:val="00DA39AD"/>
    <w:rsid w:val="00DA490D"/>
    <w:rsid w:val="00DA5B13"/>
    <w:rsid w:val="00DA6314"/>
    <w:rsid w:val="00DA6917"/>
    <w:rsid w:val="00DA6926"/>
    <w:rsid w:val="00DB0965"/>
    <w:rsid w:val="00DB0E47"/>
    <w:rsid w:val="00DB2BDD"/>
    <w:rsid w:val="00DB2D12"/>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5964"/>
    <w:rsid w:val="00DD61F5"/>
    <w:rsid w:val="00DD7418"/>
    <w:rsid w:val="00DD7B05"/>
    <w:rsid w:val="00DE432B"/>
    <w:rsid w:val="00DE64A6"/>
    <w:rsid w:val="00DE66EB"/>
    <w:rsid w:val="00DE7035"/>
    <w:rsid w:val="00DF12E3"/>
    <w:rsid w:val="00DF1339"/>
    <w:rsid w:val="00DF1FCE"/>
    <w:rsid w:val="00DF2A20"/>
    <w:rsid w:val="00DF3F1D"/>
    <w:rsid w:val="00DF595C"/>
    <w:rsid w:val="00DF7EA7"/>
    <w:rsid w:val="00E0283B"/>
    <w:rsid w:val="00E04548"/>
    <w:rsid w:val="00E0484E"/>
    <w:rsid w:val="00E063F8"/>
    <w:rsid w:val="00E114D6"/>
    <w:rsid w:val="00E1166E"/>
    <w:rsid w:val="00E11DBD"/>
    <w:rsid w:val="00E13211"/>
    <w:rsid w:val="00E14015"/>
    <w:rsid w:val="00E16FB5"/>
    <w:rsid w:val="00E176E2"/>
    <w:rsid w:val="00E17772"/>
    <w:rsid w:val="00E179D6"/>
    <w:rsid w:val="00E20402"/>
    <w:rsid w:val="00E21407"/>
    <w:rsid w:val="00E216D6"/>
    <w:rsid w:val="00E22668"/>
    <w:rsid w:val="00E227D3"/>
    <w:rsid w:val="00E22BFF"/>
    <w:rsid w:val="00E22CB0"/>
    <w:rsid w:val="00E22E72"/>
    <w:rsid w:val="00E23798"/>
    <w:rsid w:val="00E257A8"/>
    <w:rsid w:val="00E2585D"/>
    <w:rsid w:val="00E25DBD"/>
    <w:rsid w:val="00E25FA2"/>
    <w:rsid w:val="00E2723D"/>
    <w:rsid w:val="00E27C77"/>
    <w:rsid w:val="00E316F8"/>
    <w:rsid w:val="00E3179E"/>
    <w:rsid w:val="00E32AC9"/>
    <w:rsid w:val="00E34BF8"/>
    <w:rsid w:val="00E35000"/>
    <w:rsid w:val="00E354DA"/>
    <w:rsid w:val="00E354F5"/>
    <w:rsid w:val="00E3687E"/>
    <w:rsid w:val="00E4078D"/>
    <w:rsid w:val="00E40974"/>
    <w:rsid w:val="00E40AAB"/>
    <w:rsid w:val="00E41205"/>
    <w:rsid w:val="00E41F32"/>
    <w:rsid w:val="00E42608"/>
    <w:rsid w:val="00E42E40"/>
    <w:rsid w:val="00E43387"/>
    <w:rsid w:val="00E43536"/>
    <w:rsid w:val="00E43DA3"/>
    <w:rsid w:val="00E44B80"/>
    <w:rsid w:val="00E45938"/>
    <w:rsid w:val="00E46A88"/>
    <w:rsid w:val="00E47430"/>
    <w:rsid w:val="00E474BD"/>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0F4C"/>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1CA3"/>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08E9"/>
    <w:rsid w:val="00ED19D7"/>
    <w:rsid w:val="00ED2167"/>
    <w:rsid w:val="00ED351E"/>
    <w:rsid w:val="00ED4B27"/>
    <w:rsid w:val="00ED543C"/>
    <w:rsid w:val="00ED6BA4"/>
    <w:rsid w:val="00ED7DA7"/>
    <w:rsid w:val="00EE0598"/>
    <w:rsid w:val="00EE1399"/>
    <w:rsid w:val="00EE311C"/>
    <w:rsid w:val="00EE3C69"/>
    <w:rsid w:val="00EE56FF"/>
    <w:rsid w:val="00EE5886"/>
    <w:rsid w:val="00EE5FBF"/>
    <w:rsid w:val="00EE6472"/>
    <w:rsid w:val="00EE76F2"/>
    <w:rsid w:val="00EF0769"/>
    <w:rsid w:val="00EF0D7C"/>
    <w:rsid w:val="00EF314C"/>
    <w:rsid w:val="00EF383B"/>
    <w:rsid w:val="00EF40E2"/>
    <w:rsid w:val="00EF4455"/>
    <w:rsid w:val="00EF61C1"/>
    <w:rsid w:val="00EF6257"/>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9EB"/>
    <w:rsid w:val="00F67F04"/>
    <w:rsid w:val="00F70207"/>
    <w:rsid w:val="00F702CB"/>
    <w:rsid w:val="00F716D4"/>
    <w:rsid w:val="00F71AC2"/>
    <w:rsid w:val="00F71B5F"/>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6A03"/>
    <w:rsid w:val="00F86F9C"/>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1821"/>
    <w:rsid w:val="00FB3DD1"/>
    <w:rsid w:val="00FB51FD"/>
    <w:rsid w:val="00FB5667"/>
    <w:rsid w:val="00FB7A97"/>
    <w:rsid w:val="00FC1601"/>
    <w:rsid w:val="00FC1B9B"/>
    <w:rsid w:val="00FC318D"/>
    <w:rsid w:val="00FC36CF"/>
    <w:rsid w:val="00FC40BC"/>
    <w:rsid w:val="00FC41FC"/>
    <w:rsid w:val="00FC4F6E"/>
    <w:rsid w:val="00FC506C"/>
    <w:rsid w:val="00FC5130"/>
    <w:rsid w:val="00FC578C"/>
    <w:rsid w:val="00FC5A37"/>
    <w:rsid w:val="00FC6CF6"/>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7BC"/>
    <w:rsid w:val="00FF2C54"/>
    <w:rsid w:val="00FF3BC4"/>
    <w:rsid w:val="00FF4B66"/>
    <w:rsid w:val="00FF5939"/>
    <w:rsid w:val="00FF688E"/>
    <w:rsid w:val="00FF68F2"/>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6756181">
      <w:bodyDiv w:val="1"/>
      <w:marLeft w:val="0"/>
      <w:marRight w:val="0"/>
      <w:marTop w:val="0"/>
      <w:marBottom w:val="0"/>
      <w:divBdr>
        <w:top w:val="none" w:sz="0" w:space="0" w:color="auto"/>
        <w:left w:val="none" w:sz="0" w:space="0" w:color="auto"/>
        <w:bottom w:val="none" w:sz="0" w:space="0" w:color="auto"/>
        <w:right w:val="none" w:sz="0" w:space="0" w:color="auto"/>
      </w:divBdr>
      <w:divsChild>
        <w:div w:id="296684618">
          <w:marLeft w:val="0"/>
          <w:marRight w:val="0"/>
          <w:marTop w:val="0"/>
          <w:marBottom w:val="0"/>
          <w:divBdr>
            <w:top w:val="none" w:sz="0" w:space="0" w:color="auto"/>
            <w:left w:val="none" w:sz="0" w:space="0" w:color="auto"/>
            <w:bottom w:val="none" w:sz="0" w:space="0" w:color="auto"/>
            <w:right w:val="none" w:sz="0" w:space="0" w:color="auto"/>
          </w:divBdr>
          <w:divsChild>
            <w:div w:id="1630625158">
              <w:marLeft w:val="0"/>
              <w:marRight w:val="0"/>
              <w:marTop w:val="0"/>
              <w:marBottom w:val="0"/>
              <w:divBdr>
                <w:top w:val="none" w:sz="0" w:space="0" w:color="auto"/>
                <w:left w:val="none" w:sz="0" w:space="0" w:color="auto"/>
                <w:bottom w:val="none" w:sz="0" w:space="0" w:color="auto"/>
                <w:right w:val="none" w:sz="0" w:space="0" w:color="auto"/>
              </w:divBdr>
              <w:divsChild>
                <w:div w:id="5930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4998301">
      <w:bodyDiv w:val="1"/>
      <w:marLeft w:val="0"/>
      <w:marRight w:val="0"/>
      <w:marTop w:val="0"/>
      <w:marBottom w:val="0"/>
      <w:divBdr>
        <w:top w:val="none" w:sz="0" w:space="0" w:color="auto"/>
        <w:left w:val="none" w:sz="0" w:space="0" w:color="auto"/>
        <w:bottom w:val="none" w:sz="0" w:space="0" w:color="auto"/>
        <w:right w:val="none" w:sz="0" w:space="0" w:color="auto"/>
      </w:divBdr>
      <w:divsChild>
        <w:div w:id="107551777">
          <w:marLeft w:val="0"/>
          <w:marRight w:val="0"/>
          <w:marTop w:val="0"/>
          <w:marBottom w:val="0"/>
          <w:divBdr>
            <w:top w:val="none" w:sz="0" w:space="0" w:color="auto"/>
            <w:left w:val="none" w:sz="0" w:space="0" w:color="auto"/>
            <w:bottom w:val="none" w:sz="0" w:space="0" w:color="auto"/>
            <w:right w:val="none" w:sz="0" w:space="0" w:color="auto"/>
          </w:divBdr>
          <w:divsChild>
            <w:div w:id="1323582589">
              <w:marLeft w:val="0"/>
              <w:marRight w:val="0"/>
              <w:marTop w:val="0"/>
              <w:marBottom w:val="0"/>
              <w:divBdr>
                <w:top w:val="none" w:sz="0" w:space="0" w:color="auto"/>
                <w:left w:val="none" w:sz="0" w:space="0" w:color="auto"/>
                <w:bottom w:val="none" w:sz="0" w:space="0" w:color="auto"/>
                <w:right w:val="none" w:sz="0" w:space="0" w:color="auto"/>
              </w:divBdr>
              <w:divsChild>
                <w:div w:id="321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26669765">
      <w:bodyDiv w:val="1"/>
      <w:marLeft w:val="0"/>
      <w:marRight w:val="0"/>
      <w:marTop w:val="0"/>
      <w:marBottom w:val="0"/>
      <w:divBdr>
        <w:top w:val="none" w:sz="0" w:space="0" w:color="auto"/>
        <w:left w:val="none" w:sz="0" w:space="0" w:color="auto"/>
        <w:bottom w:val="none" w:sz="0" w:space="0" w:color="auto"/>
        <w:right w:val="none" w:sz="0" w:space="0" w:color="auto"/>
      </w:divBdr>
      <w:divsChild>
        <w:div w:id="917903176">
          <w:marLeft w:val="0"/>
          <w:marRight w:val="0"/>
          <w:marTop w:val="0"/>
          <w:marBottom w:val="0"/>
          <w:divBdr>
            <w:top w:val="none" w:sz="0" w:space="0" w:color="auto"/>
            <w:left w:val="none" w:sz="0" w:space="0" w:color="auto"/>
            <w:bottom w:val="none" w:sz="0" w:space="0" w:color="auto"/>
            <w:right w:val="none" w:sz="0" w:space="0" w:color="auto"/>
          </w:divBdr>
          <w:divsChild>
            <w:div w:id="778914923">
              <w:marLeft w:val="0"/>
              <w:marRight w:val="0"/>
              <w:marTop w:val="0"/>
              <w:marBottom w:val="0"/>
              <w:divBdr>
                <w:top w:val="none" w:sz="0" w:space="0" w:color="auto"/>
                <w:left w:val="none" w:sz="0" w:space="0" w:color="auto"/>
                <w:bottom w:val="none" w:sz="0" w:space="0" w:color="auto"/>
                <w:right w:val="none" w:sz="0" w:space="0" w:color="auto"/>
              </w:divBdr>
              <w:divsChild>
                <w:div w:id="5758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46660298">
      <w:bodyDiv w:val="1"/>
      <w:marLeft w:val="0"/>
      <w:marRight w:val="0"/>
      <w:marTop w:val="0"/>
      <w:marBottom w:val="0"/>
      <w:divBdr>
        <w:top w:val="none" w:sz="0" w:space="0" w:color="auto"/>
        <w:left w:val="none" w:sz="0" w:space="0" w:color="auto"/>
        <w:bottom w:val="none" w:sz="0" w:space="0" w:color="auto"/>
        <w:right w:val="none" w:sz="0" w:space="0" w:color="auto"/>
      </w:divBdr>
      <w:divsChild>
        <w:div w:id="1234700668">
          <w:marLeft w:val="0"/>
          <w:marRight w:val="0"/>
          <w:marTop w:val="0"/>
          <w:marBottom w:val="0"/>
          <w:divBdr>
            <w:top w:val="none" w:sz="0" w:space="0" w:color="auto"/>
            <w:left w:val="none" w:sz="0" w:space="0" w:color="auto"/>
            <w:bottom w:val="none" w:sz="0" w:space="0" w:color="auto"/>
            <w:right w:val="none" w:sz="0" w:space="0" w:color="auto"/>
          </w:divBdr>
          <w:divsChild>
            <w:div w:id="1120684546">
              <w:marLeft w:val="0"/>
              <w:marRight w:val="0"/>
              <w:marTop w:val="0"/>
              <w:marBottom w:val="0"/>
              <w:divBdr>
                <w:top w:val="none" w:sz="0" w:space="0" w:color="auto"/>
                <w:left w:val="none" w:sz="0" w:space="0" w:color="auto"/>
                <w:bottom w:val="none" w:sz="0" w:space="0" w:color="auto"/>
                <w:right w:val="none" w:sz="0" w:space="0" w:color="auto"/>
              </w:divBdr>
              <w:divsChild>
                <w:div w:id="9810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71372">
      <w:bodyDiv w:val="1"/>
      <w:marLeft w:val="0"/>
      <w:marRight w:val="0"/>
      <w:marTop w:val="0"/>
      <w:marBottom w:val="0"/>
      <w:divBdr>
        <w:top w:val="none" w:sz="0" w:space="0" w:color="auto"/>
        <w:left w:val="none" w:sz="0" w:space="0" w:color="auto"/>
        <w:bottom w:val="none" w:sz="0" w:space="0" w:color="auto"/>
        <w:right w:val="none" w:sz="0" w:space="0" w:color="auto"/>
      </w:divBdr>
      <w:divsChild>
        <w:div w:id="1904369589">
          <w:marLeft w:val="0"/>
          <w:marRight w:val="0"/>
          <w:marTop w:val="0"/>
          <w:marBottom w:val="0"/>
          <w:divBdr>
            <w:top w:val="none" w:sz="0" w:space="0" w:color="auto"/>
            <w:left w:val="none" w:sz="0" w:space="0" w:color="auto"/>
            <w:bottom w:val="none" w:sz="0" w:space="0" w:color="auto"/>
            <w:right w:val="none" w:sz="0" w:space="0" w:color="auto"/>
          </w:divBdr>
          <w:divsChild>
            <w:div w:id="662467792">
              <w:marLeft w:val="0"/>
              <w:marRight w:val="0"/>
              <w:marTop w:val="0"/>
              <w:marBottom w:val="0"/>
              <w:divBdr>
                <w:top w:val="none" w:sz="0" w:space="0" w:color="auto"/>
                <w:left w:val="none" w:sz="0" w:space="0" w:color="auto"/>
                <w:bottom w:val="none" w:sz="0" w:space="0" w:color="auto"/>
                <w:right w:val="none" w:sz="0" w:space="0" w:color="auto"/>
              </w:divBdr>
              <w:divsChild>
                <w:div w:id="7938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7047">
      <w:bodyDiv w:val="1"/>
      <w:marLeft w:val="0"/>
      <w:marRight w:val="0"/>
      <w:marTop w:val="0"/>
      <w:marBottom w:val="0"/>
      <w:divBdr>
        <w:top w:val="none" w:sz="0" w:space="0" w:color="auto"/>
        <w:left w:val="none" w:sz="0" w:space="0" w:color="auto"/>
        <w:bottom w:val="none" w:sz="0" w:space="0" w:color="auto"/>
        <w:right w:val="none" w:sz="0" w:space="0" w:color="auto"/>
      </w:divBdr>
      <w:divsChild>
        <w:div w:id="35280178">
          <w:marLeft w:val="0"/>
          <w:marRight w:val="0"/>
          <w:marTop w:val="0"/>
          <w:marBottom w:val="0"/>
          <w:divBdr>
            <w:top w:val="none" w:sz="0" w:space="0" w:color="auto"/>
            <w:left w:val="none" w:sz="0" w:space="0" w:color="auto"/>
            <w:bottom w:val="none" w:sz="0" w:space="0" w:color="auto"/>
            <w:right w:val="none" w:sz="0" w:space="0" w:color="auto"/>
          </w:divBdr>
          <w:divsChild>
            <w:div w:id="85394062">
              <w:marLeft w:val="0"/>
              <w:marRight w:val="0"/>
              <w:marTop w:val="0"/>
              <w:marBottom w:val="0"/>
              <w:divBdr>
                <w:top w:val="none" w:sz="0" w:space="0" w:color="auto"/>
                <w:left w:val="none" w:sz="0" w:space="0" w:color="auto"/>
                <w:bottom w:val="none" w:sz="0" w:space="0" w:color="auto"/>
                <w:right w:val="none" w:sz="0" w:space="0" w:color="auto"/>
              </w:divBdr>
              <w:divsChild>
                <w:div w:id="16074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hyperlink" Target="https://investors.paloaltonetworks.com/static-files/146d8fa0-4b8d-4375-9a7b-c5780dcc47ee" TargetMode="Externa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hyperlink" Target="https://www.astrazeneca.com/investor-relations/annual-reports/annual-report-2024.html" TargetMode="Externa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15</Pages>
  <Words>5381</Words>
  <Characters>30404</Characters>
  <Application>Microsoft Office Word</Application>
  <DocSecurity>0</DocSecurity>
  <Lines>741</Lines>
  <Paragraphs>328</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35457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Max Gutbrod</cp:lastModifiedBy>
  <cp:revision>313</cp:revision>
  <cp:lastPrinted>2015-02-18T20:01:00Z</cp:lastPrinted>
  <dcterms:created xsi:type="dcterms:W3CDTF">2025-03-26T12:43:00Z</dcterms:created>
  <dcterms:modified xsi:type="dcterms:W3CDTF">2025-03-29T10:37:00Z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