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Content>
            <w:tc>
              <w:tcPr>
                <w:tcW w:w="6997" w:type="dxa"/>
                <w:gridSpan w:val="4"/>
              </w:tcPr>
              <w:p w14:paraId="0D7893C6" w14:textId="6E2E8349" w:rsidR="0030108F" w:rsidRDefault="00932E41" w:rsidP="008A50BE">
                <w:pPr>
                  <w:spacing w:after="120"/>
                  <w:rPr>
                    <w:sz w:val="20"/>
                    <w:szCs w:val="18"/>
                  </w:rPr>
                </w:pPr>
                <w:r>
                  <w:rPr>
                    <w:rStyle w:val="PlaceholderText"/>
                    <w:sz w:val="20"/>
                    <w:szCs w:val="18"/>
                  </w:rPr>
                  <w:t>G</w:t>
                </w:r>
                <w:r>
                  <w:rPr>
                    <w:rStyle w:val="PlaceholderText"/>
                    <w:szCs w:val="18"/>
                  </w:rPr>
                  <w:t>reen Web Foundation</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1F9B393A" w:rsidR="00DE432B" w:rsidRDefault="00932E41" w:rsidP="008A50BE">
                <w:pPr>
                  <w:spacing w:after="120"/>
                  <w:rPr>
                    <w:sz w:val="20"/>
                    <w:szCs w:val="18"/>
                  </w:rPr>
                </w:pPr>
                <w:r>
                  <w:rPr>
                    <w:sz w:val="20"/>
                    <w:szCs w:val="18"/>
                  </w:rPr>
                  <w:t>Netherlands</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330CE621" w:rsidR="008203B2" w:rsidRDefault="00932E41"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1"/>
              <w14:checkedState w14:val="2612" w14:font="MS Gothic"/>
              <w14:uncheckedState w14:val="2610" w14:font="MS Gothic"/>
            </w14:checkbox>
          </w:sdtPr>
          <w:sdtContent>
            <w:tc>
              <w:tcPr>
                <w:tcW w:w="425" w:type="dxa"/>
                <w:vMerge w:val="restart"/>
              </w:tcPr>
              <w:p w14:paraId="39A245A0" w14:textId="49A2AC77" w:rsidR="008203B2" w:rsidRDefault="00932E41"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1"/>
              <w14:checkedState w14:val="2612" w14:font="MS Gothic"/>
              <w14:uncheckedState w14:val="2610" w14:font="MS Gothic"/>
            </w14:checkbox>
          </w:sdtPr>
          <w:sdtContent>
            <w:tc>
              <w:tcPr>
                <w:tcW w:w="416" w:type="dxa"/>
              </w:tcPr>
              <w:p w14:paraId="7A69DF71" w14:textId="3EC7BB86" w:rsidR="00A10F6D" w:rsidRDefault="00932E41" w:rsidP="008A50BE">
                <w:pPr>
                  <w:spacing w:after="120"/>
                  <w:rPr>
                    <w:sz w:val="20"/>
                    <w:szCs w:val="18"/>
                  </w:rPr>
                </w:pPr>
                <w:r>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1"/>
              <w14:checkedState w14:val="2612" w14:font="MS Gothic"/>
              <w14:uncheckedState w14:val="2610" w14:font="MS Gothic"/>
            </w14:checkbox>
          </w:sdtPr>
          <w:sdtContent>
            <w:tc>
              <w:tcPr>
                <w:tcW w:w="416" w:type="dxa"/>
              </w:tcPr>
              <w:p w14:paraId="070DFE9B" w14:textId="1F5A484C" w:rsidR="00A10F6D" w:rsidRDefault="00932E41" w:rsidP="008A50BE">
                <w:pPr>
                  <w:spacing w:after="120"/>
                  <w:rPr>
                    <w:sz w:val="20"/>
                    <w:szCs w:val="18"/>
                  </w:rPr>
                </w:pPr>
                <w:r>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A68E6EB" w14:textId="341F7605" w:rsidR="00AD24E9" w:rsidRDefault="00ED10DB" w:rsidP="006B5DF1">
      <w:pPr>
        <w:spacing w:after="0"/>
        <w:rPr>
          <w:sz w:val="20"/>
          <w:szCs w:val="18"/>
        </w:rPr>
      </w:pPr>
      <w:r>
        <w:rPr>
          <w:sz w:val="20"/>
          <w:szCs w:val="18"/>
        </w:rPr>
        <w:t>We do</w:t>
      </w:r>
      <w:r w:rsidR="00AD24E9">
        <w:rPr>
          <w:sz w:val="20"/>
          <w:szCs w:val="18"/>
        </w:rPr>
        <w:t xml:space="preserve"> not agree.</w:t>
      </w:r>
    </w:p>
    <w:p w14:paraId="01C9F879" w14:textId="620FF464" w:rsidR="00AD24E9" w:rsidRPr="00AD24E9" w:rsidRDefault="00AD24E9" w:rsidP="00AD24E9">
      <w:pPr>
        <w:spacing w:after="0"/>
        <w:rPr>
          <w:sz w:val="20"/>
          <w:szCs w:val="18"/>
          <w:lang w:val="en-DE"/>
        </w:rPr>
      </w:pPr>
    </w:p>
    <w:p w14:paraId="3C4DF05B" w14:textId="77777777" w:rsidR="00AD24E9" w:rsidRPr="00AD24E9" w:rsidRDefault="00AD24E9" w:rsidP="00AD24E9">
      <w:pPr>
        <w:spacing w:after="0"/>
        <w:rPr>
          <w:sz w:val="20"/>
          <w:szCs w:val="18"/>
          <w:lang w:val="en-DE"/>
        </w:rPr>
      </w:pPr>
      <w:r w:rsidRPr="00AD24E9">
        <w:rPr>
          <w:sz w:val="20"/>
          <w:szCs w:val="18"/>
          <w:lang w:val="en-DE"/>
        </w:rPr>
        <w:t>Narrative text disclosures risk hiding important information, leading to data being overlooked or misunderstood. Therefore, we suggest requiring companies to digitally tag narrative disclosures, which would ultimately benefit them through lower assurance costs.</w:t>
      </w:r>
    </w:p>
    <w:p w14:paraId="150AA7F5" w14:textId="77777777" w:rsidR="00AD24E9" w:rsidRPr="00AD24E9" w:rsidRDefault="00AD24E9" w:rsidP="00AD24E9">
      <w:pPr>
        <w:spacing w:after="0"/>
        <w:rPr>
          <w:sz w:val="20"/>
          <w:szCs w:val="18"/>
          <w:lang w:val="en-DE"/>
        </w:rPr>
      </w:pPr>
    </w:p>
    <w:p w14:paraId="2FE88D67" w14:textId="54DA24C4" w:rsidR="00AD24E9" w:rsidRDefault="00AD24E9" w:rsidP="00AD24E9">
      <w:pPr>
        <w:spacing w:after="0"/>
        <w:rPr>
          <w:sz w:val="20"/>
          <w:szCs w:val="18"/>
          <w:lang w:val="en-DE"/>
        </w:rPr>
      </w:pPr>
      <w:r w:rsidRPr="00AD24E9">
        <w:rPr>
          <w:sz w:val="20"/>
          <w:szCs w:val="18"/>
          <w:lang w:val="en-DE"/>
        </w:rPr>
        <w:t>The alleged burden on companies to digitally tag disclosures is exaggerated, and research cited about costs is outdated. ESMA should follow its own strategic guidelines by only reducing preparer requirements when it doesn't compromise data quality and granularity. Depending on artificial intelligence for data extraction from disclosures is not realistic, as current AI technology lacks sufficient accuracy, and many important data users (such as non-governmental organizations, independent journalists, and researchers) cannot afford sophisticated AI tools. If ESMA still wishes to reduce the burden on reporting companies, we suggest ESMA develop and provide tagging tools to assist businesses with disclosure markup. This is the approach being taken by XBRL US for the similar CCDAA (climate corporate data accountabliilty act) law in California. This approach would also enable companies to meet more ambitious reporting deadlines.</w:t>
      </w:r>
    </w:p>
    <w:p w14:paraId="1A3F9234" w14:textId="77777777" w:rsidR="00AD24E9" w:rsidRDefault="00AD24E9" w:rsidP="00AD24E9">
      <w:pPr>
        <w:spacing w:after="0"/>
        <w:rPr>
          <w:sz w:val="20"/>
          <w:szCs w:val="18"/>
          <w:lang w:val="en-DE"/>
        </w:rPr>
      </w:pPr>
    </w:p>
    <w:p w14:paraId="73F19B75" w14:textId="77777777" w:rsidR="00AD24E9" w:rsidRPr="00AD24E9" w:rsidRDefault="00AD24E9" w:rsidP="00AD24E9">
      <w:pPr>
        <w:spacing w:after="0"/>
        <w:rPr>
          <w:sz w:val="20"/>
          <w:szCs w:val="18"/>
          <w:lang w:val="en-DE"/>
        </w:rPr>
      </w:pPr>
    </w:p>
    <w:p w14:paraId="62CCD8E6" w14:textId="38DA512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6B5B08C6" w14:textId="77777777" w:rsidR="00ED10DB" w:rsidRDefault="00ED10DB" w:rsidP="006B5DF1">
      <w:pPr>
        <w:spacing w:after="0"/>
        <w:rPr>
          <w:sz w:val="20"/>
          <w:szCs w:val="18"/>
        </w:rPr>
      </w:pPr>
    </w:p>
    <w:p w14:paraId="650C4C9E" w14:textId="5B4846F5" w:rsidR="00ED10DB" w:rsidRDefault="00ED10DB" w:rsidP="006B5DF1">
      <w:pPr>
        <w:spacing w:after="0"/>
        <w:rPr>
          <w:sz w:val="20"/>
          <w:szCs w:val="18"/>
        </w:rPr>
      </w:pPr>
      <w:r w:rsidRPr="00ED10DB">
        <w:rPr>
          <w:sz w:val="20"/>
          <w:szCs w:val="18"/>
        </w:rPr>
        <w:t>The proposal to implement digital sustainability reporting over nearly ten years is both impractical and unacceptable. Such extended timelines will only intensify resistance to disclosure regulations, as their effectiveness remains constrained until complete digital implementation. Rather than accommodating slower-moving entities, we should leverage the achievements of pioneers who have already produced digitally marked-up ESRS reports this year as models for expediting implementation schedules and enhancing EU market competitiveness.</w:t>
      </w:r>
    </w:p>
    <w:p w14:paraId="19C78CF6" w14:textId="77777777" w:rsidR="00ED10DB" w:rsidRDefault="00ED10DB" w:rsidP="006B5DF1">
      <w:pPr>
        <w:spacing w:after="0"/>
        <w:rPr>
          <w:sz w:val="20"/>
          <w:szCs w:val="18"/>
        </w:rPr>
      </w:pPr>
    </w:p>
    <w:p w14:paraId="000FDB92" w14:textId="77777777" w:rsidR="00ED10DB" w:rsidRPr="00ED10DB" w:rsidRDefault="00ED10DB" w:rsidP="00ED10DB">
      <w:pPr>
        <w:spacing w:after="0"/>
        <w:rPr>
          <w:sz w:val="20"/>
          <w:szCs w:val="18"/>
        </w:rPr>
      </w:pPr>
      <w:r w:rsidRPr="00ED10DB">
        <w:rPr>
          <w:sz w:val="20"/>
          <w:szCs w:val="18"/>
        </w:rPr>
        <w:t>To reduce timelines, we recommend ESMA to:</w:t>
      </w:r>
    </w:p>
    <w:p w14:paraId="7B6719C5" w14:textId="77777777" w:rsidR="00ED10DB" w:rsidRDefault="00ED10DB" w:rsidP="00ED10DB">
      <w:pPr>
        <w:spacing w:after="0"/>
        <w:rPr>
          <w:sz w:val="20"/>
          <w:szCs w:val="18"/>
        </w:rPr>
      </w:pPr>
    </w:p>
    <w:p w14:paraId="4D6466B5" w14:textId="530809FB" w:rsidR="00ED10DB" w:rsidRDefault="00ED10DB" w:rsidP="00ED10DB">
      <w:pPr>
        <w:spacing w:after="0"/>
        <w:rPr>
          <w:sz w:val="20"/>
          <w:szCs w:val="18"/>
        </w:rPr>
      </w:pPr>
      <w:r>
        <w:rPr>
          <w:sz w:val="20"/>
          <w:szCs w:val="18"/>
        </w:rPr>
        <w:t xml:space="preserve">Follow the example of SEC’s EDGAR by making the </w:t>
      </w:r>
      <w:r w:rsidRPr="00ED10DB">
        <w:rPr>
          <w:sz w:val="20"/>
          <w:szCs w:val="18"/>
        </w:rPr>
        <w:t xml:space="preserve">ESAP’s </w:t>
      </w:r>
      <w:r>
        <w:rPr>
          <w:sz w:val="20"/>
          <w:szCs w:val="18"/>
        </w:rPr>
        <w:t xml:space="preserve">work like an </w:t>
      </w:r>
      <w:r w:rsidRPr="00ED10DB">
        <w:rPr>
          <w:sz w:val="20"/>
          <w:szCs w:val="18"/>
        </w:rPr>
        <w:t>archive</w:t>
      </w:r>
      <w:r>
        <w:rPr>
          <w:sz w:val="20"/>
          <w:szCs w:val="18"/>
        </w:rPr>
        <w:t xml:space="preserve"> that makes reports available as soon as they are uploaded, allowing processing to happen outside the ESAP.</w:t>
      </w:r>
      <w:r w:rsidRPr="00ED10DB">
        <w:rPr>
          <w:sz w:val="20"/>
          <w:szCs w:val="18"/>
        </w:rPr>
        <w:t xml:space="preserve"> While housing digitally tagged reports in ESAP is a massive advancement in terms of data accessibility, it does not mean such reports can only be made available once the ESAP is operational in 2027. </w:t>
      </w:r>
    </w:p>
    <w:p w14:paraId="646AE7C5" w14:textId="77777777" w:rsidR="00ED10DB" w:rsidRDefault="00ED10DB" w:rsidP="00ED10DB">
      <w:pPr>
        <w:spacing w:after="0"/>
        <w:rPr>
          <w:sz w:val="20"/>
          <w:szCs w:val="18"/>
        </w:rPr>
      </w:pPr>
    </w:p>
    <w:p w14:paraId="3C642A7A" w14:textId="1FC50559" w:rsidR="00ED10DB" w:rsidRPr="00ED10DB" w:rsidRDefault="00ED10DB" w:rsidP="00ED10DB">
      <w:pPr>
        <w:spacing w:after="0"/>
        <w:rPr>
          <w:sz w:val="20"/>
          <w:szCs w:val="18"/>
        </w:rPr>
      </w:pPr>
      <w:r w:rsidRPr="00ED10DB">
        <w:rPr>
          <w:sz w:val="20"/>
          <w:szCs w:val="18"/>
        </w:rPr>
        <w:t>For the sake of completeness and overtime assessments, we advise to require digitally tagged reports to be submitted from the moment that the relevant Directives require digital tagging (in the case of the ESRS this would be as early as FY2025). Prepare</w:t>
      </w:r>
      <w:r>
        <w:rPr>
          <w:sz w:val="20"/>
          <w:szCs w:val="18"/>
        </w:rPr>
        <w:t>r</w:t>
      </w:r>
      <w:r w:rsidRPr="00ED10DB">
        <w:rPr>
          <w:sz w:val="20"/>
          <w:szCs w:val="18"/>
        </w:rPr>
        <w:t xml:space="preserve">s would be required to submit previously prepared reports as soon as the ESAP is operational. </w:t>
      </w:r>
    </w:p>
    <w:p w14:paraId="2A5514B6" w14:textId="77777777" w:rsidR="00ED10DB" w:rsidRDefault="00ED10DB" w:rsidP="00ED10DB">
      <w:pPr>
        <w:spacing w:after="0"/>
        <w:rPr>
          <w:sz w:val="20"/>
          <w:szCs w:val="18"/>
        </w:rPr>
      </w:pPr>
    </w:p>
    <w:p w14:paraId="6285A6FD" w14:textId="77777777" w:rsidR="00ED10DB" w:rsidRPr="00ED10DB" w:rsidRDefault="00ED10DB" w:rsidP="00ED10DB">
      <w:pPr>
        <w:spacing w:after="0"/>
        <w:rPr>
          <w:sz w:val="20"/>
          <w:szCs w:val="18"/>
        </w:rPr>
      </w:pPr>
    </w:p>
    <w:p w14:paraId="3D54A170" w14:textId="77777777" w:rsidR="00ED10DB" w:rsidRPr="00ED10DB" w:rsidRDefault="00ED10DB" w:rsidP="00ED10DB">
      <w:pPr>
        <w:spacing w:after="0"/>
        <w:rPr>
          <w:sz w:val="20"/>
          <w:szCs w:val="18"/>
        </w:rPr>
      </w:pPr>
      <w:r w:rsidRPr="00ED10DB">
        <w:rPr>
          <w:sz w:val="20"/>
          <w:szCs w:val="18"/>
        </w:rPr>
        <w:t>Adopt a more flexible process for making revisions (see our answer to question 7 for more details on a suggested approach).</w:t>
      </w:r>
    </w:p>
    <w:p w14:paraId="5DAE1416" w14:textId="4B109F46" w:rsidR="00ED10DB" w:rsidRPr="00AF763D" w:rsidRDefault="00ED10DB" w:rsidP="006B5DF1">
      <w:pPr>
        <w:spacing w:after="0"/>
        <w:rPr>
          <w:sz w:val="20"/>
          <w:szCs w:val="18"/>
        </w:rPr>
      </w:pPr>
      <w:r w:rsidRPr="00ED10DB">
        <w:rPr>
          <w:sz w:val="20"/>
          <w:szCs w:val="18"/>
        </w:rPr>
        <w:t xml:space="preserve">Reduce the number of phases from 3 to 2. We recommend skipping phase 2 completely. By introducing high-level wording in the ESEF RTS, which simply requires for any ESRS datapoint and disclosure to tag the most appropriate corresponding XBRL element, the last phase reflecting the full digitisation can be adopted </w:t>
      </w:r>
      <w:proofErr w:type="gramStart"/>
      <w:r w:rsidRPr="00ED10DB">
        <w:rPr>
          <w:sz w:val="20"/>
          <w:szCs w:val="18"/>
        </w:rPr>
        <w:t>fairly easily</w:t>
      </w:r>
      <w:proofErr w:type="gramEnd"/>
      <w:r w:rsidRPr="00ED10DB">
        <w:rPr>
          <w:sz w:val="20"/>
          <w:szCs w:val="18"/>
        </w:rPr>
        <w:t xml:space="preserve">. Furthermore, most of the validation rules in phase 2 are related to metrics already tagged in phase 1, so there is no reason to not apply those rules already in phase 1. This is also supported by the fact that most of the validation rules in phase 2 should be implemented in a way that would ensure that, if a disclosure is not present in a report, the validation rule will not be triggered. </w:t>
      </w:r>
    </w:p>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Default="007D4F05" w:rsidP="007D4F05">
      <w:pPr>
        <w:spacing w:after="0"/>
        <w:rPr>
          <w:sz w:val="20"/>
          <w:szCs w:val="18"/>
        </w:rPr>
      </w:pPr>
      <w:r w:rsidRPr="00AF763D">
        <w:rPr>
          <w:sz w:val="20"/>
          <w:szCs w:val="18"/>
        </w:rPr>
        <w:t>&lt;ESMA_QUESTION_ESEFEEAP_03&gt;</w:t>
      </w:r>
    </w:p>
    <w:p w14:paraId="41950799" w14:textId="77777777" w:rsidR="00ED10DB" w:rsidRDefault="00ED10DB" w:rsidP="007D4F05">
      <w:pPr>
        <w:spacing w:after="0"/>
        <w:rPr>
          <w:sz w:val="20"/>
          <w:szCs w:val="18"/>
        </w:rPr>
      </w:pPr>
    </w:p>
    <w:p w14:paraId="35914D72" w14:textId="77777777" w:rsidR="00ED10DB" w:rsidRPr="00ED10DB" w:rsidRDefault="00ED10DB" w:rsidP="00ED10DB">
      <w:pPr>
        <w:spacing w:after="0"/>
        <w:rPr>
          <w:sz w:val="20"/>
          <w:szCs w:val="18"/>
        </w:rPr>
      </w:pPr>
      <w:r w:rsidRPr="00ED10DB">
        <w:rPr>
          <w:sz w:val="20"/>
          <w:szCs w:val="18"/>
        </w:rPr>
        <w:t>No.</w:t>
      </w:r>
    </w:p>
    <w:p w14:paraId="2254DD8A" w14:textId="77777777" w:rsidR="00ED10DB" w:rsidRPr="00ED10DB" w:rsidRDefault="00ED10DB" w:rsidP="00ED10DB">
      <w:pPr>
        <w:spacing w:after="0"/>
        <w:rPr>
          <w:sz w:val="20"/>
          <w:szCs w:val="18"/>
        </w:rPr>
      </w:pPr>
    </w:p>
    <w:p w14:paraId="2CC3C9C8" w14:textId="60CCE3CA" w:rsidR="00ED10DB" w:rsidRDefault="00ED10DB" w:rsidP="00ED10DB">
      <w:pPr>
        <w:spacing w:after="0"/>
        <w:rPr>
          <w:sz w:val="20"/>
          <w:szCs w:val="18"/>
        </w:rPr>
      </w:pPr>
      <w:r w:rsidRPr="00ED10DB">
        <w:rPr>
          <w:sz w:val="20"/>
          <w:szCs w:val="18"/>
        </w:rPr>
        <w:t>While providing large undertakings new to reporting with an additional year for their initial CSRD implementation could be justified (considering the substantial time and resources needed to establish data collection processes and systems), this rationale doesn't apply to digital tagging. As demonstrated in EFRAG's illustrative tagging of MAERSK's ESRS report, even with a "quick and dirty" approach to showcase the process</w:t>
      </w:r>
      <w:r w:rsidR="00B5305B">
        <w:rPr>
          <w:sz w:val="20"/>
          <w:szCs w:val="18"/>
        </w:rPr>
        <w:t xml:space="preserve"> on </w:t>
      </w:r>
      <w:proofErr w:type="spellStart"/>
      <w:r w:rsidR="00B5305B">
        <w:rPr>
          <w:sz w:val="20"/>
          <w:szCs w:val="18"/>
        </w:rPr>
        <w:t>youtube</w:t>
      </w:r>
      <w:proofErr w:type="spellEnd"/>
      <w:r w:rsidRPr="00ED10DB">
        <w:rPr>
          <w:sz w:val="20"/>
          <w:szCs w:val="18"/>
        </w:rPr>
        <w:t>, digital tagging is relatively straightforward and can be completed in just a few hours. Therefore, granting companies unfamiliar with reporting an extra year to adapt to the digital tagging process would be excessive and unwarranted.</w:t>
      </w:r>
    </w:p>
    <w:p w14:paraId="6E20BE8B" w14:textId="77777777" w:rsidR="00ED10DB" w:rsidRPr="00ED10DB" w:rsidRDefault="00ED10DB" w:rsidP="00ED10DB">
      <w:pPr>
        <w:spacing w:after="0"/>
        <w:rPr>
          <w:sz w:val="20"/>
          <w:szCs w:val="18"/>
        </w:rPr>
      </w:pPr>
    </w:p>
    <w:p w14:paraId="045804F6" w14:textId="4E7749F3" w:rsidR="00ED10DB" w:rsidRDefault="00ED10DB" w:rsidP="00ED10DB">
      <w:pPr>
        <w:spacing w:after="0"/>
        <w:rPr>
          <w:sz w:val="20"/>
          <w:szCs w:val="18"/>
        </w:rPr>
      </w:pPr>
      <w:r w:rsidRPr="00ED10DB">
        <w:rPr>
          <w:sz w:val="20"/>
          <w:szCs w:val="18"/>
        </w:rPr>
        <w:t xml:space="preserve">Nevertheless, as suggested earlier (in question 1), if ESMA developed tools to assist preparers with the digital markup process, this would simplify the procedure for reporting entities and address this concern without compromising or delaying the availability of detailed standardized data. A practical solution would be </w:t>
      </w:r>
      <w:r>
        <w:rPr>
          <w:sz w:val="20"/>
          <w:szCs w:val="18"/>
        </w:rPr>
        <w:t xml:space="preserve">using and extending </w:t>
      </w:r>
      <w:r w:rsidRPr="00ED10DB">
        <w:rPr>
          <w:sz w:val="20"/>
          <w:szCs w:val="18"/>
        </w:rPr>
        <w:t>open-source platforms such as Arelle</w:t>
      </w:r>
      <w:r>
        <w:rPr>
          <w:sz w:val="20"/>
          <w:szCs w:val="18"/>
        </w:rPr>
        <w:t xml:space="preserve"> which is already used as the basis for </w:t>
      </w:r>
      <w:proofErr w:type="gramStart"/>
      <w:r>
        <w:rPr>
          <w:sz w:val="20"/>
          <w:szCs w:val="18"/>
        </w:rPr>
        <w:t>a number of</w:t>
      </w:r>
      <w:proofErr w:type="gramEnd"/>
      <w:r>
        <w:rPr>
          <w:sz w:val="20"/>
          <w:szCs w:val="18"/>
        </w:rPr>
        <w:t xml:space="preserve"> tools</w:t>
      </w:r>
      <w:r w:rsidRPr="00ED10DB">
        <w:rPr>
          <w:sz w:val="20"/>
          <w:szCs w:val="18"/>
        </w:rPr>
        <w:t xml:space="preserve">. This approach would minimize resource expenditure for ESMA while allowing preparers to create sustainability disclosures and subsequently apply the required </w:t>
      </w:r>
      <w:proofErr w:type="spellStart"/>
      <w:r w:rsidRPr="00ED10DB">
        <w:rPr>
          <w:sz w:val="20"/>
          <w:szCs w:val="18"/>
        </w:rPr>
        <w:t>iXBRL</w:t>
      </w:r>
      <w:proofErr w:type="spellEnd"/>
      <w:r w:rsidRPr="00ED10DB">
        <w:rPr>
          <w:sz w:val="20"/>
          <w:szCs w:val="18"/>
        </w:rPr>
        <w:t xml:space="preserve"> tags in accordance with the ESRS taxonomy. Additionally, Arelle can support validation against the ESRS taxonomy, ensuring adherence to standards</w:t>
      </w:r>
      <w:r w:rsidR="00B5305B">
        <w:rPr>
          <w:sz w:val="20"/>
          <w:szCs w:val="18"/>
        </w:rPr>
        <w:t>, as part of the submission process.</w:t>
      </w:r>
    </w:p>
    <w:p w14:paraId="671B1D8D" w14:textId="77777777" w:rsidR="00ED10DB" w:rsidRPr="00ED10DB" w:rsidRDefault="00ED10DB" w:rsidP="007D4F05">
      <w:pPr>
        <w:spacing w:after="0"/>
        <w:rPr>
          <w:sz w:val="20"/>
          <w:szCs w:val="18"/>
          <w:lang w:val="en-DE"/>
        </w:rPr>
      </w:pPr>
    </w:p>
    <w:p w14:paraId="22AEAE30" w14:textId="77777777" w:rsidR="00ED10DB" w:rsidRDefault="00ED10DB" w:rsidP="007D4F05">
      <w:pPr>
        <w:spacing w:after="0"/>
        <w:rPr>
          <w:sz w:val="20"/>
          <w:szCs w:val="18"/>
        </w:rPr>
      </w:pPr>
    </w:p>
    <w:p w14:paraId="693F7E20" w14:textId="1649A795"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03D1633C" w14:textId="77777777" w:rsidR="00B5305B" w:rsidRDefault="00B5305B" w:rsidP="007D4F05">
      <w:pPr>
        <w:spacing w:after="0"/>
        <w:rPr>
          <w:sz w:val="20"/>
          <w:szCs w:val="18"/>
        </w:rPr>
      </w:pPr>
    </w:p>
    <w:p w14:paraId="1B5AC703" w14:textId="3B625F76" w:rsidR="00B5305B" w:rsidRDefault="00B5305B" w:rsidP="007D4F05">
      <w:pPr>
        <w:spacing w:after="0"/>
        <w:rPr>
          <w:sz w:val="20"/>
          <w:szCs w:val="18"/>
        </w:rPr>
      </w:pPr>
      <w:r>
        <w:rPr>
          <w:sz w:val="20"/>
          <w:szCs w:val="18"/>
        </w:rPr>
        <w:t>Yes</w:t>
      </w:r>
    </w:p>
    <w:p w14:paraId="7E026CF2" w14:textId="12D89F0F"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1D1A0416" w14:textId="47792276" w:rsidR="00B5305B"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r w:rsidR="00B5305B">
        <w:rPr>
          <w:color w:val="000000"/>
          <w:szCs w:val="22"/>
        </w:rPr>
        <w:t>Yes.</w:t>
      </w:r>
    </w:p>
    <w:p w14:paraId="2D551CB6" w14:textId="47F50051" w:rsidR="007D4F05" w:rsidRPr="00AF763D" w:rsidRDefault="007D4F05" w:rsidP="007D4F05">
      <w:pPr>
        <w:spacing w:after="0"/>
        <w:rPr>
          <w:sz w:val="20"/>
          <w:szCs w:val="18"/>
        </w:rPr>
      </w:pPr>
      <w:r w:rsidRPr="00AF763D">
        <w:rPr>
          <w:sz w:val="20"/>
          <w:szCs w:val="18"/>
        </w:rPr>
        <w:lastRenderedPageBreak/>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65FB9E90" w14:textId="77777777" w:rsidR="00B5305B" w:rsidRDefault="00B5305B" w:rsidP="007D4F05">
      <w:pPr>
        <w:spacing w:after="0"/>
        <w:rPr>
          <w:sz w:val="20"/>
          <w:szCs w:val="18"/>
        </w:rPr>
      </w:pPr>
    </w:p>
    <w:p w14:paraId="7A611FE1" w14:textId="66826603" w:rsidR="00B5305B" w:rsidRPr="00B5305B" w:rsidRDefault="00B5305B" w:rsidP="007D4F05">
      <w:pPr>
        <w:spacing w:after="0"/>
        <w:rPr>
          <w:sz w:val="20"/>
          <w:szCs w:val="18"/>
          <w:lang w:val="en-DE"/>
        </w:rPr>
      </w:pPr>
      <w:r w:rsidRPr="00B5305B">
        <w:rPr>
          <w:sz w:val="20"/>
          <w:szCs w:val="18"/>
          <w:lang w:val="en-DE"/>
        </w:rPr>
        <w:t>Yes, we concur with the strategy of minimizing XBRL taxonomy extensions wherever possible. The consultation paper's paragraph 84 references two distinct elements under 'other' in subpoints (i) and (ii). However, the EFRAG XBRL Taxonomy actually contains just one element labeled 'Disclosure of other material and (or) entity-specific information to enable users understand undertaking's sustainability-related impacts, risks or opportunities [text block]'. This element can be associated with 'Impacts, Risks and Opportunities' (through typed dimension) and/or the sustainability matters enumeration.</w:t>
      </w:r>
    </w:p>
    <w:p w14:paraId="5036B320" w14:textId="77777777" w:rsidR="00B5305B" w:rsidRDefault="00B5305B" w:rsidP="007D4F05">
      <w:pPr>
        <w:spacing w:after="0"/>
        <w:rPr>
          <w:sz w:val="20"/>
          <w:szCs w:val="18"/>
        </w:rPr>
      </w:pPr>
    </w:p>
    <w:p w14:paraId="6B2CA113" w14:textId="00FEF62C"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44A9A660" w14:textId="77777777" w:rsidR="00B5305B" w:rsidRDefault="00B5305B" w:rsidP="007D4F05">
      <w:pPr>
        <w:spacing w:after="0"/>
        <w:rPr>
          <w:sz w:val="20"/>
          <w:szCs w:val="18"/>
        </w:rPr>
      </w:pPr>
    </w:p>
    <w:p w14:paraId="2C6A497A" w14:textId="77777777" w:rsidR="00B5305B" w:rsidRPr="00B5305B" w:rsidRDefault="00B5305B" w:rsidP="00B5305B">
      <w:pPr>
        <w:spacing w:after="0"/>
        <w:rPr>
          <w:sz w:val="20"/>
          <w:szCs w:val="18"/>
          <w:lang w:val="en-DE"/>
        </w:rPr>
      </w:pPr>
      <w:r w:rsidRPr="00B5305B">
        <w:rPr>
          <w:sz w:val="20"/>
          <w:szCs w:val="18"/>
          <w:lang w:val="en-DE"/>
        </w:rPr>
        <w:t>Partly.</w:t>
      </w:r>
    </w:p>
    <w:p w14:paraId="04918BAA" w14:textId="77777777" w:rsidR="00B5305B" w:rsidRPr="00B5305B" w:rsidRDefault="00B5305B" w:rsidP="00B5305B">
      <w:pPr>
        <w:spacing w:after="0"/>
        <w:rPr>
          <w:sz w:val="20"/>
          <w:szCs w:val="18"/>
          <w:lang w:val="en-DE"/>
        </w:rPr>
      </w:pPr>
    </w:p>
    <w:p w14:paraId="5EA7B107" w14:textId="77777777" w:rsidR="00B5305B" w:rsidRPr="00B5305B" w:rsidRDefault="00B5305B" w:rsidP="00B5305B">
      <w:pPr>
        <w:spacing w:after="0"/>
        <w:rPr>
          <w:sz w:val="20"/>
          <w:szCs w:val="18"/>
          <w:lang w:val="en-DE"/>
        </w:rPr>
      </w:pPr>
      <w:r w:rsidRPr="00B5305B">
        <w:rPr>
          <w:sz w:val="20"/>
          <w:szCs w:val="18"/>
          <w:lang w:val="en-DE"/>
        </w:rPr>
        <w:t>We appreciate ESMA's proposed "review clause" but believe we need to go further. The current process for adopting XBRL taxonomies in the ESEF format is unnecessarily slow and bureaucratic. When new versions of taxonomies address real problems, waiting years for adoption doesn't serve anyone - it makes the system less practical, quickly outdated, and risks creating resistance to ESMA's ESEF RTS approach.</w:t>
      </w:r>
    </w:p>
    <w:p w14:paraId="623F4331" w14:textId="77777777" w:rsidR="00B5305B" w:rsidRPr="00B5305B" w:rsidRDefault="00B5305B" w:rsidP="00B5305B">
      <w:pPr>
        <w:spacing w:after="0"/>
        <w:rPr>
          <w:sz w:val="20"/>
          <w:szCs w:val="18"/>
          <w:lang w:val="en-DE"/>
        </w:rPr>
      </w:pPr>
    </w:p>
    <w:p w14:paraId="30018CFD" w14:textId="77777777" w:rsidR="00B5305B" w:rsidRPr="00B5305B" w:rsidRDefault="00B5305B" w:rsidP="00B5305B">
      <w:pPr>
        <w:spacing w:after="0"/>
        <w:rPr>
          <w:sz w:val="20"/>
          <w:szCs w:val="18"/>
          <w:lang w:val="en-DE"/>
        </w:rPr>
      </w:pPr>
      <w:r w:rsidRPr="00B5305B">
        <w:rPr>
          <w:sz w:val="20"/>
          <w:szCs w:val="18"/>
          <w:lang w:val="en-DE"/>
        </w:rPr>
        <w:t>We suggest a more sustainable and agile approach: implement high-level tagging rules in the RTS while giving ESMA the flexibility to update tagging rules and XBRL taxonomies without requiring a completely new RTS. Specifically, we'd recommend language like 'require organizations to digitize numerical, narrative and semi-narrative ESRS/Article 8/IFRS financial statements using corresponding XBRL taxonomies published on ESMA's website'. This would allow ESMA to release updated taxonomies and refresh the ESEF Reporting Manual annually without amending the core RTS.</w:t>
      </w:r>
    </w:p>
    <w:p w14:paraId="468A85C0" w14:textId="77777777" w:rsidR="00B5305B" w:rsidRPr="00B5305B" w:rsidRDefault="00B5305B" w:rsidP="00B5305B">
      <w:pPr>
        <w:spacing w:after="0"/>
        <w:rPr>
          <w:sz w:val="20"/>
          <w:szCs w:val="18"/>
          <w:lang w:val="en-DE"/>
        </w:rPr>
      </w:pPr>
    </w:p>
    <w:p w14:paraId="4B39E74C" w14:textId="77777777" w:rsidR="00B5305B" w:rsidRPr="00B5305B" w:rsidRDefault="00B5305B" w:rsidP="00B5305B">
      <w:pPr>
        <w:spacing w:after="0"/>
        <w:rPr>
          <w:sz w:val="20"/>
          <w:szCs w:val="18"/>
          <w:lang w:val="en-DE"/>
        </w:rPr>
      </w:pPr>
      <w:r w:rsidRPr="00B5305B">
        <w:rPr>
          <w:sz w:val="20"/>
          <w:szCs w:val="18"/>
          <w:lang w:val="en-DE"/>
        </w:rPr>
        <w:t>From our experience with financial reporting implementation, we've seen how the RM provides critical technical guidance, yet some auditors and preparers question its authority, treating it as optional. We recommend explicitly clarifying in the RTS that the RM and supporting documentation carry regulatory weight to ensure consistent application across the ecosystem.</w:t>
      </w:r>
    </w:p>
    <w:p w14:paraId="076B3291" w14:textId="77777777" w:rsidR="00B5305B" w:rsidRPr="00B5305B" w:rsidRDefault="00B5305B" w:rsidP="00B5305B">
      <w:pPr>
        <w:spacing w:after="0"/>
        <w:rPr>
          <w:sz w:val="20"/>
          <w:szCs w:val="18"/>
          <w:lang w:val="en-DE"/>
        </w:rPr>
      </w:pPr>
    </w:p>
    <w:p w14:paraId="367FA3FE" w14:textId="77777777" w:rsidR="00B5305B" w:rsidRPr="00B5305B" w:rsidRDefault="00B5305B" w:rsidP="00B5305B">
      <w:pPr>
        <w:spacing w:after="0"/>
        <w:rPr>
          <w:sz w:val="20"/>
          <w:szCs w:val="18"/>
          <w:lang w:val="en-DE"/>
        </w:rPr>
      </w:pPr>
      <w:r w:rsidRPr="00B5305B">
        <w:rPr>
          <w:sz w:val="20"/>
          <w:szCs w:val="18"/>
          <w:lang w:val="en-DE"/>
        </w:rPr>
        <w:t>For effective implementation and community engagement, we recommend each taxonomy update and ESEF Reporting Manual:</w:t>
      </w:r>
    </w:p>
    <w:p w14:paraId="59C30D68" w14:textId="77777777" w:rsidR="00B5305B" w:rsidRPr="00B5305B" w:rsidRDefault="00B5305B" w:rsidP="00B5305B">
      <w:pPr>
        <w:spacing w:after="0"/>
        <w:rPr>
          <w:sz w:val="20"/>
          <w:szCs w:val="18"/>
          <w:lang w:val="en-DE"/>
        </w:rPr>
      </w:pPr>
      <w:r w:rsidRPr="00B5305B">
        <w:rPr>
          <w:sz w:val="20"/>
          <w:szCs w:val="18"/>
          <w:lang w:val="en-DE"/>
        </w:rPr>
        <w:t>- be released at least three months before applicable reporting periods (i.e., before June 30 for reports due that year); and</w:t>
      </w:r>
    </w:p>
    <w:p w14:paraId="7F15BE69" w14:textId="2AE62939" w:rsidR="00B5305B" w:rsidRPr="00B5305B" w:rsidRDefault="00B5305B" w:rsidP="00B5305B">
      <w:pPr>
        <w:spacing w:after="0"/>
        <w:rPr>
          <w:sz w:val="20"/>
          <w:szCs w:val="18"/>
          <w:lang w:val="en-DE"/>
        </w:rPr>
      </w:pPr>
      <w:r w:rsidRPr="00B5305B">
        <w:rPr>
          <w:sz w:val="20"/>
          <w:szCs w:val="18"/>
          <w:lang w:val="en-DE"/>
        </w:rPr>
        <w:t>- include a six-week community consultation period.</w:t>
      </w:r>
    </w:p>
    <w:p w14:paraId="508299CD" w14:textId="77777777" w:rsidR="00B5305B" w:rsidRDefault="00B5305B" w:rsidP="007D4F05">
      <w:pPr>
        <w:spacing w:after="0"/>
        <w:rPr>
          <w:sz w:val="20"/>
          <w:szCs w:val="18"/>
        </w:rPr>
      </w:pPr>
    </w:p>
    <w:p w14:paraId="3888423A" w14:textId="3B60792E"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6400EF" w:rsidP="006B5DF1">
      <w:pPr>
        <w:rPr>
          <w:sz w:val="20"/>
          <w:szCs w:val="18"/>
        </w:rPr>
      </w:pPr>
      <w:r w:rsidRPr="006400EF">
        <w:rPr>
          <w:rFonts w:eastAsia="Times New Roman"/>
          <w:noProof/>
          <w:color w:val="auto"/>
          <w:szCs w:val="22"/>
          <w:lang w:eastAsia="en-GB"/>
        </w:rPr>
        <w:pict w14:anchorId="0CC3EFB0">
          <v:rect id="_x0000_i1032" alt="" style="width:451.3pt;height:.05pt;mso-width-percent:0;mso-height-percent:0;mso-width-percent:0;mso-height-percent:0"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6400EF" w:rsidP="006B5DF1">
      <w:pPr>
        <w:rPr>
          <w:sz w:val="20"/>
          <w:szCs w:val="18"/>
          <w:lang w:val="en-US"/>
        </w:rPr>
      </w:pPr>
      <w:r w:rsidRPr="006400EF">
        <w:rPr>
          <w:rFonts w:eastAsia="Times New Roman"/>
          <w:noProof/>
          <w:color w:val="auto"/>
          <w:szCs w:val="22"/>
          <w:lang w:eastAsia="en-GB"/>
        </w:rPr>
        <w:pict w14:anchorId="301C2528">
          <v:rect id="_x0000_i1031" alt="" style="width:451.3pt;height:.05pt;mso-width-percent:0;mso-height-percent:0;mso-width-percent:0;mso-height-percent:0"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Default="006A64ED" w:rsidP="006A64ED">
      <w:pPr>
        <w:spacing w:after="0"/>
        <w:rPr>
          <w:sz w:val="20"/>
          <w:szCs w:val="18"/>
        </w:rPr>
      </w:pPr>
      <w:r w:rsidRPr="00AF763D">
        <w:rPr>
          <w:sz w:val="20"/>
          <w:szCs w:val="18"/>
        </w:rPr>
        <w:t>&lt;ESMA_QUESTION_ESEFEEAP_12&gt;</w:t>
      </w:r>
    </w:p>
    <w:p w14:paraId="4DE7EB1E" w14:textId="77777777" w:rsidR="00632CD3" w:rsidRDefault="00632CD3" w:rsidP="006A64ED">
      <w:pPr>
        <w:spacing w:after="0"/>
        <w:rPr>
          <w:sz w:val="20"/>
          <w:szCs w:val="18"/>
        </w:rPr>
      </w:pPr>
    </w:p>
    <w:p w14:paraId="330099AB" w14:textId="77777777" w:rsidR="00632CD3" w:rsidRPr="00632CD3" w:rsidRDefault="00632CD3" w:rsidP="00632CD3">
      <w:pPr>
        <w:spacing w:after="0"/>
        <w:rPr>
          <w:sz w:val="20"/>
          <w:szCs w:val="18"/>
        </w:rPr>
      </w:pPr>
      <w:r w:rsidRPr="00632CD3">
        <w:rPr>
          <w:sz w:val="20"/>
          <w:szCs w:val="18"/>
        </w:rPr>
        <w:t>No.</w:t>
      </w:r>
    </w:p>
    <w:p w14:paraId="391415DB" w14:textId="77777777" w:rsidR="00632CD3" w:rsidRPr="00632CD3" w:rsidRDefault="00632CD3" w:rsidP="00632CD3">
      <w:pPr>
        <w:spacing w:after="0"/>
        <w:rPr>
          <w:sz w:val="20"/>
          <w:szCs w:val="18"/>
        </w:rPr>
      </w:pPr>
    </w:p>
    <w:p w14:paraId="3279B9B2" w14:textId="52973924" w:rsidR="00632CD3" w:rsidRDefault="00632CD3" w:rsidP="00632CD3">
      <w:pPr>
        <w:spacing w:after="0"/>
        <w:rPr>
          <w:sz w:val="20"/>
          <w:szCs w:val="18"/>
        </w:rPr>
      </w:pPr>
      <w:r w:rsidRPr="00632CD3">
        <w:rPr>
          <w:sz w:val="20"/>
          <w:szCs w:val="18"/>
        </w:rPr>
        <w:t xml:space="preserve">We concur with ESMA's approach to integrate the various XBRL taxonomies in their current form. However, we find the technical methodology of transferring the </w:t>
      </w:r>
      <w:proofErr w:type="spellStart"/>
      <w:r w:rsidRPr="00632CD3">
        <w:rPr>
          <w:sz w:val="20"/>
          <w:szCs w:val="18"/>
        </w:rPr>
        <w:t>linkbases</w:t>
      </w:r>
      <w:proofErr w:type="spellEnd"/>
      <w:r w:rsidRPr="00632CD3">
        <w:rPr>
          <w:sz w:val="20"/>
          <w:szCs w:val="18"/>
        </w:rPr>
        <w:t xml:space="preserve"> from ESRS, Article 8, and the IFRS Accounting Taxonomy into the ESMA Taxonomy to be unnecessarily complex and redundant. A more efficient solution would be for ESMA to simply import the respective 'all' entry points from each taxonomy, achieving identical presentation with reduced technical burden and replication. The function of the technical.xsd file referenced in paragraph 134 of the consultation paper remains unclear.</w:t>
      </w:r>
    </w:p>
    <w:p w14:paraId="3F1EFCAC" w14:textId="77777777" w:rsidR="00632CD3" w:rsidRPr="00AF763D" w:rsidRDefault="00632CD3" w:rsidP="006A64ED">
      <w:pPr>
        <w:spacing w:after="0"/>
        <w:rPr>
          <w:sz w:val="20"/>
          <w:szCs w:val="18"/>
        </w:rPr>
      </w:pPr>
    </w:p>
    <w:p w14:paraId="4CB1953F" w14:textId="77777777" w:rsidR="006A64ED" w:rsidRPr="00AF763D" w:rsidRDefault="006A64ED" w:rsidP="006A64ED">
      <w:pPr>
        <w:spacing w:after="0"/>
        <w:rPr>
          <w:sz w:val="20"/>
          <w:szCs w:val="18"/>
        </w:rPr>
      </w:pPr>
      <w:r w:rsidRPr="00AF763D">
        <w:rPr>
          <w:sz w:val="20"/>
          <w:szCs w:val="18"/>
        </w:rPr>
        <w:lastRenderedPageBreak/>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027B6311" w14:textId="77777777" w:rsidR="00F90DAE" w:rsidRDefault="00F90DAE" w:rsidP="006A64ED">
      <w:pPr>
        <w:spacing w:after="0"/>
        <w:rPr>
          <w:sz w:val="20"/>
          <w:szCs w:val="18"/>
        </w:rPr>
      </w:pPr>
    </w:p>
    <w:p w14:paraId="1C65F1CE" w14:textId="10F714CD" w:rsidR="00F90DAE" w:rsidRDefault="00F90DAE" w:rsidP="006A64ED">
      <w:pPr>
        <w:spacing w:after="0"/>
        <w:rPr>
          <w:sz w:val="20"/>
          <w:szCs w:val="18"/>
        </w:rPr>
      </w:pPr>
      <w:r>
        <w:rPr>
          <w:sz w:val="20"/>
          <w:szCs w:val="18"/>
        </w:rPr>
        <w:t>See answer for question 12.</w:t>
      </w:r>
    </w:p>
    <w:p w14:paraId="3A6A0964" w14:textId="77777777" w:rsidR="00F90DAE" w:rsidRDefault="00F90DAE" w:rsidP="006A64ED">
      <w:pPr>
        <w:spacing w:after="0"/>
        <w:rPr>
          <w:sz w:val="20"/>
          <w:szCs w:val="18"/>
        </w:rPr>
      </w:pPr>
    </w:p>
    <w:p w14:paraId="365EB89D" w14:textId="52943FF1"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159B77EF" w14:textId="77777777" w:rsidR="00F90DAE" w:rsidRDefault="00F90DAE" w:rsidP="006A64ED">
      <w:pPr>
        <w:spacing w:after="0"/>
        <w:rPr>
          <w:sz w:val="20"/>
          <w:szCs w:val="18"/>
        </w:rPr>
      </w:pPr>
    </w:p>
    <w:p w14:paraId="4B5ED5C1" w14:textId="77777777" w:rsidR="00F90DAE" w:rsidRPr="00F90DAE" w:rsidRDefault="00F90DAE" w:rsidP="00F90DAE">
      <w:pPr>
        <w:spacing w:after="0"/>
        <w:rPr>
          <w:sz w:val="20"/>
          <w:szCs w:val="18"/>
        </w:rPr>
      </w:pPr>
      <w:r w:rsidRPr="00F90DAE">
        <w:rPr>
          <w:sz w:val="20"/>
          <w:szCs w:val="18"/>
        </w:rPr>
        <w:t>Yes</w:t>
      </w:r>
    </w:p>
    <w:p w14:paraId="103B2070" w14:textId="77777777" w:rsidR="00F90DAE" w:rsidRPr="00F90DAE" w:rsidRDefault="00F90DAE" w:rsidP="00F90DAE">
      <w:pPr>
        <w:spacing w:after="0"/>
        <w:rPr>
          <w:sz w:val="20"/>
          <w:szCs w:val="18"/>
        </w:rPr>
      </w:pPr>
    </w:p>
    <w:p w14:paraId="2EA2FEEF" w14:textId="47581B90" w:rsidR="00F90DAE" w:rsidRDefault="00F90DAE" w:rsidP="00F90DAE">
      <w:pPr>
        <w:spacing w:after="0"/>
        <w:rPr>
          <w:sz w:val="20"/>
          <w:szCs w:val="18"/>
        </w:rPr>
      </w:pPr>
      <w:r w:rsidRPr="00F90DAE">
        <w:rPr>
          <w:sz w:val="20"/>
          <w:szCs w:val="18"/>
        </w:rPr>
        <w:t>Survey preparers of the documents to better understand how burdensome tagging really was in 2025. We suspect the estimated costs are much too high.</w:t>
      </w:r>
    </w:p>
    <w:p w14:paraId="35784771" w14:textId="77777777" w:rsidR="00F90DAE" w:rsidRPr="00F90DAE" w:rsidRDefault="00F90DAE" w:rsidP="006A64ED">
      <w:pPr>
        <w:spacing w:after="0"/>
        <w:rPr>
          <w:sz w:val="20"/>
          <w:szCs w:val="18"/>
          <w:lang w:val="en-DE"/>
        </w:rPr>
      </w:pPr>
    </w:p>
    <w:p w14:paraId="1D7AD252" w14:textId="77777777" w:rsidR="00F90DAE" w:rsidRDefault="00F90DAE" w:rsidP="006A64ED">
      <w:pPr>
        <w:spacing w:after="0"/>
        <w:rPr>
          <w:sz w:val="20"/>
          <w:szCs w:val="18"/>
        </w:rPr>
      </w:pPr>
    </w:p>
    <w:p w14:paraId="632E68BA" w14:textId="0854BA35"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6400EF" w:rsidP="006B5DF1">
      <w:pPr>
        <w:rPr>
          <w:rFonts w:eastAsia="Times New Roman"/>
          <w:color w:val="auto"/>
          <w:sz w:val="24"/>
          <w:szCs w:val="24"/>
          <w:lang w:eastAsia="en-GB"/>
        </w:rPr>
      </w:pPr>
      <w:r w:rsidRPr="006400EF">
        <w:rPr>
          <w:rFonts w:eastAsia="Times New Roman"/>
          <w:noProof/>
          <w:color w:val="auto"/>
          <w:sz w:val="24"/>
          <w:szCs w:val="24"/>
          <w:lang w:eastAsia="en-GB"/>
        </w:rPr>
        <w:pict w14:anchorId="2ADFF5CF">
          <v:rect id="_x0000_i1030" alt="" style="width:451.3pt;height:.05pt;mso-width-percent:0;mso-height-percent:0;mso-width-percent:0;mso-height-percent:0"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7777777" w:rsidR="006A64ED" w:rsidRPr="00AF763D" w:rsidRDefault="006A64ED" w:rsidP="006A64ED">
      <w:pPr>
        <w:spacing w:after="0"/>
        <w:rPr>
          <w:sz w:val="20"/>
          <w:szCs w:val="18"/>
        </w:rPr>
      </w:pPr>
      <w:permStart w:id="1970232525" w:edGrp="everyone"/>
      <w:r w:rsidRPr="00AF763D">
        <w:rPr>
          <w:sz w:val="20"/>
          <w:szCs w:val="18"/>
        </w:rPr>
        <w:t>TYPE YOUR TEXT HERE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7777777" w:rsidR="006A64ED" w:rsidRPr="00AF763D" w:rsidRDefault="006A64ED" w:rsidP="006A64ED">
      <w:pPr>
        <w:spacing w:after="0"/>
        <w:rPr>
          <w:sz w:val="20"/>
          <w:szCs w:val="18"/>
        </w:rPr>
      </w:pPr>
      <w:permStart w:id="481916913" w:edGrp="everyone"/>
      <w:r w:rsidRPr="00AF763D">
        <w:rPr>
          <w:sz w:val="20"/>
          <w:szCs w:val="18"/>
        </w:rPr>
        <w:t>TYPE YOUR TEXT HERE</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7777777" w:rsidR="006A64ED" w:rsidRPr="00AF763D" w:rsidRDefault="006A64ED" w:rsidP="006A64ED">
      <w:pPr>
        <w:spacing w:after="0"/>
        <w:rPr>
          <w:sz w:val="20"/>
          <w:szCs w:val="18"/>
        </w:rPr>
      </w:pPr>
      <w:permStart w:id="662070572" w:edGrp="everyone"/>
      <w:r w:rsidRPr="00AF763D">
        <w:rPr>
          <w:sz w:val="20"/>
          <w:szCs w:val="18"/>
        </w:rPr>
        <w:t>TYPE YOUR TEXT HERE</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13FB3E8D" w14:textId="77777777" w:rsidR="0077189A" w:rsidRDefault="0077189A" w:rsidP="006A64ED">
      <w:pPr>
        <w:spacing w:after="0"/>
        <w:rPr>
          <w:sz w:val="20"/>
          <w:szCs w:val="18"/>
        </w:rPr>
      </w:pPr>
    </w:p>
    <w:p w14:paraId="45A83556" w14:textId="1C4C9952" w:rsidR="0077189A" w:rsidRDefault="0077189A" w:rsidP="006A64ED">
      <w:pPr>
        <w:spacing w:after="0"/>
        <w:rPr>
          <w:sz w:val="20"/>
          <w:szCs w:val="18"/>
        </w:rPr>
      </w:pPr>
      <w:r>
        <w:rPr>
          <w:sz w:val="20"/>
          <w:szCs w:val="18"/>
        </w:rPr>
        <w:t xml:space="preserve">A key part of the </w:t>
      </w:r>
      <w:proofErr w:type="spellStart"/>
      <w:r>
        <w:rPr>
          <w:sz w:val="20"/>
          <w:szCs w:val="18"/>
        </w:rPr>
        <w:t>the</w:t>
      </w:r>
      <w:proofErr w:type="spellEnd"/>
      <w:r>
        <w:rPr>
          <w:sz w:val="20"/>
          <w:szCs w:val="18"/>
        </w:rPr>
        <w:t xml:space="preserve"> initial CSRD law was making reports available to the public on the </w:t>
      </w:r>
      <w:proofErr w:type="gramStart"/>
      <w:r>
        <w:rPr>
          <w:sz w:val="20"/>
          <w:szCs w:val="18"/>
        </w:rPr>
        <w:t>undertakings</w:t>
      </w:r>
      <w:proofErr w:type="gramEnd"/>
      <w:r>
        <w:rPr>
          <w:sz w:val="20"/>
          <w:szCs w:val="18"/>
        </w:rPr>
        <w:t xml:space="preserve"> own websites.</w:t>
      </w:r>
    </w:p>
    <w:p w14:paraId="14B26DCD" w14:textId="77777777" w:rsidR="0077189A" w:rsidRDefault="0077189A" w:rsidP="006A64ED">
      <w:pPr>
        <w:spacing w:after="0"/>
        <w:rPr>
          <w:sz w:val="20"/>
          <w:szCs w:val="18"/>
        </w:rPr>
      </w:pPr>
    </w:p>
    <w:p w14:paraId="56C2987D" w14:textId="77777777" w:rsidR="0077189A" w:rsidRDefault="0077189A" w:rsidP="006A64ED">
      <w:pPr>
        <w:spacing w:after="0"/>
        <w:rPr>
          <w:sz w:val="20"/>
          <w:szCs w:val="18"/>
        </w:rPr>
      </w:pPr>
      <w:r>
        <w:rPr>
          <w:sz w:val="20"/>
          <w:szCs w:val="18"/>
        </w:rPr>
        <w:t xml:space="preserve">The full URL of the report’s location when published on the undertaking’s own website should be included, or to an index file includes a hyperlink to the </w:t>
      </w:r>
      <w:proofErr w:type="spellStart"/>
      <w:r>
        <w:rPr>
          <w:sz w:val="20"/>
          <w:szCs w:val="18"/>
        </w:rPr>
        <w:t>the</w:t>
      </w:r>
      <w:proofErr w:type="spellEnd"/>
      <w:r>
        <w:rPr>
          <w:sz w:val="20"/>
          <w:szCs w:val="18"/>
        </w:rPr>
        <w:t xml:space="preserve"> </w:t>
      </w:r>
      <w:proofErr w:type="gramStart"/>
      <w:r>
        <w:rPr>
          <w:sz w:val="20"/>
          <w:szCs w:val="18"/>
        </w:rPr>
        <w:t>reports</w:t>
      </w:r>
      <w:proofErr w:type="gramEnd"/>
      <w:r>
        <w:rPr>
          <w:sz w:val="20"/>
          <w:szCs w:val="18"/>
        </w:rPr>
        <w:t xml:space="preserve"> location. </w:t>
      </w:r>
    </w:p>
    <w:p w14:paraId="56950316" w14:textId="77777777" w:rsidR="0077189A" w:rsidRDefault="0077189A" w:rsidP="006A64ED">
      <w:pPr>
        <w:spacing w:after="0"/>
        <w:rPr>
          <w:sz w:val="20"/>
          <w:szCs w:val="18"/>
        </w:rPr>
      </w:pPr>
    </w:p>
    <w:p w14:paraId="0F153C4D" w14:textId="0556B2C4" w:rsidR="0077189A" w:rsidRDefault="0077189A" w:rsidP="006A64ED">
      <w:pPr>
        <w:spacing w:after="0"/>
        <w:rPr>
          <w:sz w:val="20"/>
          <w:szCs w:val="18"/>
        </w:rPr>
      </w:pPr>
      <w:r>
        <w:rPr>
          <w:sz w:val="20"/>
          <w:szCs w:val="18"/>
        </w:rPr>
        <w:t xml:space="preserve">Submissions where the same report being updated is not reachable </w:t>
      </w:r>
      <w:r w:rsidR="00433C91">
        <w:rPr>
          <w:sz w:val="20"/>
          <w:szCs w:val="18"/>
        </w:rPr>
        <w:t xml:space="preserve">by a regular user agent, like a browser or web crawler </w:t>
      </w:r>
      <w:r>
        <w:rPr>
          <w:sz w:val="20"/>
          <w:szCs w:val="18"/>
        </w:rPr>
        <w:t>would be rejected</w:t>
      </w:r>
      <w:r w:rsidR="00433C91">
        <w:rPr>
          <w:sz w:val="20"/>
          <w:szCs w:val="18"/>
        </w:rPr>
        <w:t>.</w:t>
      </w:r>
    </w:p>
    <w:p w14:paraId="7026D695" w14:textId="77777777" w:rsidR="0077189A" w:rsidRDefault="0077189A" w:rsidP="006A64ED">
      <w:pPr>
        <w:spacing w:after="0"/>
        <w:rPr>
          <w:sz w:val="20"/>
          <w:szCs w:val="18"/>
        </w:rPr>
      </w:pPr>
    </w:p>
    <w:p w14:paraId="571D197D" w14:textId="178B559C" w:rsidR="0077189A" w:rsidRDefault="0077189A" w:rsidP="006A64ED">
      <w:pPr>
        <w:spacing w:after="0"/>
        <w:rPr>
          <w:sz w:val="20"/>
          <w:szCs w:val="18"/>
        </w:rPr>
      </w:pPr>
      <w:r>
        <w:rPr>
          <w:sz w:val="20"/>
          <w:szCs w:val="18"/>
        </w:rPr>
        <w:t xml:space="preserve">We developed a convention, carbon.txt specifically to make it possible to discover </w:t>
      </w:r>
      <w:r w:rsidR="00433C91">
        <w:rPr>
          <w:sz w:val="20"/>
          <w:szCs w:val="18"/>
        </w:rPr>
        <w:t>disclosed reports like those mandated by the CSRD.</w:t>
      </w:r>
    </w:p>
    <w:p w14:paraId="60CD4428" w14:textId="77777777" w:rsidR="0077189A" w:rsidRDefault="0077189A" w:rsidP="006A64ED">
      <w:pPr>
        <w:spacing w:after="0"/>
        <w:rPr>
          <w:sz w:val="20"/>
          <w:szCs w:val="18"/>
        </w:rPr>
      </w:pPr>
    </w:p>
    <w:p w14:paraId="0CE7923A" w14:textId="289B6A96"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7777777" w:rsidR="006A64ED" w:rsidRPr="00AF763D" w:rsidRDefault="006A64ED" w:rsidP="006A64ED">
      <w:pPr>
        <w:spacing w:after="0"/>
        <w:rPr>
          <w:sz w:val="20"/>
          <w:szCs w:val="18"/>
        </w:rPr>
      </w:pPr>
      <w:permStart w:id="1477533567" w:edGrp="everyone"/>
      <w:r w:rsidRPr="00AF763D">
        <w:rPr>
          <w:sz w:val="20"/>
          <w:szCs w:val="18"/>
        </w:rPr>
        <w:t>TYPE YOUR TEXT HERE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6400EF" w:rsidP="006A64ED">
      <w:pPr>
        <w:spacing w:after="0"/>
        <w:rPr>
          <w:sz w:val="20"/>
          <w:szCs w:val="18"/>
        </w:rPr>
      </w:pPr>
      <w:r w:rsidRPr="006400EF">
        <w:rPr>
          <w:rFonts w:eastAsia="Times New Roman"/>
          <w:noProof/>
          <w:color w:val="auto"/>
          <w:szCs w:val="22"/>
          <w:lang w:eastAsia="en-GB"/>
        </w:rPr>
        <w:lastRenderedPageBreak/>
        <w:pict w14:anchorId="61DC2E14">
          <v:rect id="_x0000_i1029" alt="" style="width:451.3pt;height:.05pt;mso-width-percent:0;mso-height-percent:0;mso-width-percent:0;mso-height-percent:0"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Default="00AF763D" w:rsidP="00AF763D">
      <w:pPr>
        <w:spacing w:after="0"/>
        <w:rPr>
          <w:sz w:val="20"/>
          <w:szCs w:val="18"/>
        </w:rPr>
      </w:pPr>
      <w:r w:rsidRPr="00AF763D">
        <w:rPr>
          <w:sz w:val="20"/>
          <w:szCs w:val="18"/>
        </w:rPr>
        <w:t>&lt;ESMA_QUESTION_ESEFEEAP_23&gt;</w:t>
      </w:r>
    </w:p>
    <w:p w14:paraId="378C8076" w14:textId="77777777" w:rsidR="00F65F64" w:rsidRDefault="00F65F64" w:rsidP="00AF763D">
      <w:pPr>
        <w:spacing w:after="0"/>
        <w:rPr>
          <w:sz w:val="20"/>
          <w:szCs w:val="18"/>
        </w:rPr>
      </w:pPr>
    </w:p>
    <w:p w14:paraId="4CEEC3F5" w14:textId="77777777" w:rsidR="00F65F64" w:rsidRDefault="00F65F64" w:rsidP="00AF763D">
      <w:pPr>
        <w:spacing w:after="0"/>
        <w:rPr>
          <w:sz w:val="20"/>
          <w:szCs w:val="18"/>
        </w:rPr>
      </w:pPr>
    </w:p>
    <w:p w14:paraId="0CEF8C17" w14:textId="77777777" w:rsidR="00F65F64" w:rsidRPr="00AF763D" w:rsidRDefault="00F65F64" w:rsidP="00AF763D">
      <w:pPr>
        <w:spacing w:after="0"/>
        <w:rPr>
          <w:sz w:val="20"/>
          <w:szCs w:val="18"/>
        </w:rPr>
      </w:pPr>
    </w:p>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0B536938" w14:textId="77777777" w:rsidR="00F65F64" w:rsidRDefault="00F65F64" w:rsidP="00AF763D">
      <w:pPr>
        <w:spacing w:after="0"/>
        <w:rPr>
          <w:sz w:val="20"/>
          <w:szCs w:val="18"/>
        </w:rPr>
      </w:pPr>
    </w:p>
    <w:p w14:paraId="7ABE6A3E" w14:textId="5703D27A" w:rsidR="00F65F64" w:rsidRPr="00F65F64" w:rsidRDefault="00F65F64" w:rsidP="00F65F64">
      <w:pPr>
        <w:spacing w:after="0"/>
        <w:rPr>
          <w:sz w:val="20"/>
          <w:szCs w:val="18"/>
        </w:rPr>
      </w:pPr>
      <w:r>
        <w:rPr>
          <w:sz w:val="20"/>
          <w:szCs w:val="18"/>
        </w:rPr>
        <w:t>Yes</w:t>
      </w:r>
    </w:p>
    <w:p w14:paraId="75FEC5D4" w14:textId="77777777" w:rsidR="00F65F64" w:rsidRPr="00F65F64" w:rsidRDefault="00F65F64" w:rsidP="00F65F64">
      <w:pPr>
        <w:spacing w:after="0"/>
        <w:rPr>
          <w:sz w:val="20"/>
          <w:szCs w:val="18"/>
        </w:rPr>
      </w:pPr>
    </w:p>
    <w:p w14:paraId="622E2260" w14:textId="49F85937" w:rsidR="00F65F64" w:rsidRDefault="00F65F64" w:rsidP="00F65F64">
      <w:pPr>
        <w:spacing w:after="0"/>
        <w:rPr>
          <w:sz w:val="20"/>
          <w:szCs w:val="18"/>
        </w:rPr>
      </w:pPr>
      <w:r w:rsidRPr="00F65F64">
        <w:rPr>
          <w:sz w:val="20"/>
          <w:szCs w:val="18"/>
        </w:rPr>
        <w:t>Our position is that footnote tagging should be included in the ESEF RTS expansion. Initial published reports demonstrate that table footnotes frequently contain critical information (such as calculation methodologies) that would benefit from tagging using Inline XBRL's capabilities. Given that phase one already requires tagging of all numerical disclosures, it seems logical that associated footnotes should be incorporated within this same implementation phase.</w:t>
      </w:r>
    </w:p>
    <w:p w14:paraId="04763CC3" w14:textId="49CE5303"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6400EF" w:rsidRPr="006400EF">
        <w:rPr>
          <w:rFonts w:eastAsia="Times New Roman"/>
          <w:noProof/>
          <w:color w:val="auto"/>
          <w:szCs w:val="22"/>
          <w:lang w:eastAsia="en-GB"/>
        </w:rPr>
        <w:pict w14:anchorId="208BE29E">
          <v:rect id="_x0000_i1028" alt="" style="width:451.3pt;height:.05pt;mso-width-percent:0;mso-height-percent:0;mso-width-percent:0;mso-height-percent:0"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03AEA564" w14:textId="77777777" w:rsidR="00C21AED" w:rsidRDefault="00C21AED" w:rsidP="00AF763D">
      <w:pPr>
        <w:spacing w:after="0"/>
        <w:rPr>
          <w:sz w:val="20"/>
          <w:szCs w:val="18"/>
        </w:rPr>
      </w:pPr>
    </w:p>
    <w:p w14:paraId="7FE287F8" w14:textId="4D00378B" w:rsidR="00C21AED" w:rsidRDefault="00C21AED" w:rsidP="00AF763D">
      <w:pPr>
        <w:spacing w:after="0"/>
        <w:rPr>
          <w:color w:val="000000"/>
          <w:szCs w:val="22"/>
        </w:rPr>
      </w:pPr>
      <w:r>
        <w:rPr>
          <w:color w:val="000000"/>
          <w:szCs w:val="22"/>
        </w:rPr>
        <w:t>Yes.</w:t>
      </w:r>
    </w:p>
    <w:p w14:paraId="46F0EB03" w14:textId="77777777" w:rsidR="00C21AED" w:rsidRDefault="00C21AED" w:rsidP="00AF763D">
      <w:pPr>
        <w:spacing w:after="0"/>
        <w:rPr>
          <w:sz w:val="20"/>
          <w:szCs w:val="18"/>
        </w:rPr>
      </w:pPr>
    </w:p>
    <w:p w14:paraId="61A68F6F" w14:textId="622D615A" w:rsidR="00C21AED" w:rsidRPr="00C21AED" w:rsidRDefault="00C21AED" w:rsidP="00AF763D">
      <w:pPr>
        <w:spacing w:after="0"/>
        <w:rPr>
          <w:sz w:val="20"/>
          <w:szCs w:val="18"/>
          <w:lang w:val="en-DE"/>
        </w:rPr>
      </w:pPr>
      <w:r w:rsidRPr="00C21AED">
        <w:rPr>
          <w:sz w:val="20"/>
          <w:szCs w:val="18"/>
          <w:lang w:val="en-DE"/>
        </w:rPr>
        <w:t>Particularly significant is the need to use LEIs for proper issuer identification.</w:t>
      </w:r>
    </w:p>
    <w:p w14:paraId="68543AA0" w14:textId="5E0BA5BF"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6400EF" w:rsidP="005D3762">
      <w:pPr>
        <w:rPr>
          <w:color w:val="00379F" w:themeColor="text1"/>
          <w:sz w:val="20"/>
          <w:szCs w:val="18"/>
        </w:rPr>
      </w:pPr>
      <w:r>
        <w:rPr>
          <w:rFonts w:eastAsia="Times New Roman"/>
          <w:noProof/>
          <w:color w:val="00379F" w:themeColor="text1"/>
          <w:szCs w:val="22"/>
          <w:lang w:eastAsia="en-GB"/>
        </w:rPr>
        <w:pict w14:anchorId="43AD0757">
          <v:rect id="_x0000_i1027" alt="" style="width:451.3pt;height:.05pt;mso-width-percent:0;mso-height-percent:0;mso-width-percent:0;mso-height-percent:0"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Default="00AF763D" w:rsidP="00AF763D">
      <w:pPr>
        <w:spacing w:after="0"/>
        <w:rPr>
          <w:sz w:val="20"/>
          <w:szCs w:val="18"/>
        </w:rPr>
      </w:pPr>
      <w:r w:rsidRPr="00AF763D">
        <w:rPr>
          <w:sz w:val="20"/>
          <w:szCs w:val="18"/>
        </w:rPr>
        <w:t>&lt;ESMA_QUESTION_ESEFEEAP_28&gt;</w:t>
      </w:r>
    </w:p>
    <w:p w14:paraId="54B15E0A" w14:textId="77777777" w:rsidR="00C21AED" w:rsidRDefault="00C21AED" w:rsidP="00AF763D">
      <w:pPr>
        <w:spacing w:after="0"/>
        <w:rPr>
          <w:sz w:val="20"/>
          <w:szCs w:val="18"/>
        </w:rPr>
      </w:pPr>
    </w:p>
    <w:p w14:paraId="25D2CB1E" w14:textId="63825641" w:rsidR="00C21AED" w:rsidRPr="00C21AED" w:rsidRDefault="00C21AED" w:rsidP="00C21AED">
      <w:pPr>
        <w:spacing w:after="0"/>
        <w:rPr>
          <w:sz w:val="20"/>
          <w:szCs w:val="18"/>
          <w:lang w:val="en-DE"/>
        </w:rPr>
      </w:pPr>
      <w:r w:rsidRPr="00C21AED">
        <w:rPr>
          <w:sz w:val="20"/>
          <w:szCs w:val="18"/>
          <w:lang w:val="en-DE"/>
        </w:rPr>
        <w:t xml:space="preserve">ESMA's estimated cost for financial statement XBRL tagging in their CBA reaches €60 per element (based on 2016 pre-ESEF mandatory data). However, more recent findings from EFRAG's 2024 XBRL EU survey indicate service providers charge substantially less (€15-20 on average). EFRAG's demonstration video shows complete ESRS statement tagging can be accomplished within several hours, suggesting </w:t>
      </w:r>
      <w:r>
        <w:rPr>
          <w:sz w:val="20"/>
          <w:szCs w:val="18"/>
          <w:lang w:val="en-DE"/>
        </w:rPr>
        <w:t>the cost has come down even further.</w:t>
      </w:r>
    </w:p>
    <w:p w14:paraId="22C6F3D9" w14:textId="77777777" w:rsidR="00C21AED" w:rsidRPr="00C21AED" w:rsidRDefault="00C21AED" w:rsidP="00C21AED">
      <w:pPr>
        <w:spacing w:after="0"/>
        <w:rPr>
          <w:sz w:val="20"/>
          <w:szCs w:val="18"/>
          <w:lang w:val="en-DE"/>
        </w:rPr>
      </w:pPr>
    </w:p>
    <w:p w14:paraId="45859D47" w14:textId="77777777" w:rsidR="00C21AED" w:rsidRPr="00C21AED" w:rsidRDefault="00C21AED" w:rsidP="00C21AED">
      <w:pPr>
        <w:spacing w:after="0"/>
        <w:rPr>
          <w:sz w:val="20"/>
          <w:szCs w:val="18"/>
          <w:lang w:val="en-DE"/>
        </w:rPr>
      </w:pPr>
      <w:r w:rsidRPr="00C21AED">
        <w:rPr>
          <w:sz w:val="20"/>
          <w:szCs w:val="18"/>
          <w:lang w:val="en-DE"/>
        </w:rPr>
        <w:t>Our suggestion is for ESMA to update their cost assessment by:</w:t>
      </w:r>
    </w:p>
    <w:p w14:paraId="31EF97A4" w14:textId="77777777" w:rsidR="00C21AED" w:rsidRPr="00C21AED" w:rsidRDefault="00C21AED" w:rsidP="00C21AED">
      <w:pPr>
        <w:spacing w:after="0"/>
        <w:rPr>
          <w:sz w:val="20"/>
          <w:szCs w:val="18"/>
          <w:lang w:val="en-DE"/>
        </w:rPr>
      </w:pPr>
      <w:r w:rsidRPr="00C21AED">
        <w:rPr>
          <w:sz w:val="20"/>
          <w:szCs w:val="18"/>
          <w:lang w:val="en-DE"/>
        </w:rPr>
        <w:t>- Conducting field testing with 2025 ESRS statements</w:t>
      </w:r>
    </w:p>
    <w:p w14:paraId="26959237" w14:textId="576AB103" w:rsidR="00C21AED" w:rsidRPr="00C21AED" w:rsidRDefault="00C21AED" w:rsidP="00C21AED">
      <w:pPr>
        <w:spacing w:after="0"/>
        <w:rPr>
          <w:sz w:val="20"/>
          <w:szCs w:val="18"/>
          <w:lang w:val="en-DE"/>
        </w:rPr>
      </w:pPr>
      <w:r w:rsidRPr="00C21AED">
        <w:rPr>
          <w:sz w:val="20"/>
          <w:szCs w:val="18"/>
          <w:lang w:val="en-DE"/>
        </w:rPr>
        <w:t xml:space="preserve">- Performing a </w:t>
      </w:r>
      <w:r>
        <w:rPr>
          <w:sz w:val="20"/>
          <w:szCs w:val="18"/>
          <w:lang w:val="en-DE"/>
        </w:rPr>
        <w:t>cost benefit study</w:t>
      </w:r>
      <w:r w:rsidRPr="00C21AED">
        <w:rPr>
          <w:sz w:val="20"/>
          <w:szCs w:val="18"/>
          <w:lang w:val="en-DE"/>
        </w:rPr>
        <w:t xml:space="preserve"> using a comparable survey in collaboration with XBRL organizations</w:t>
      </w:r>
    </w:p>
    <w:p w14:paraId="3FD38E49" w14:textId="77777777" w:rsidR="00C21AED" w:rsidRPr="00AF763D" w:rsidRDefault="00C21AED" w:rsidP="00AF763D">
      <w:pPr>
        <w:spacing w:after="0"/>
        <w:rPr>
          <w:sz w:val="20"/>
          <w:szCs w:val="18"/>
        </w:rPr>
      </w:pPr>
    </w:p>
    <w:p w14:paraId="0592BEFD" w14:textId="77777777" w:rsidR="00C21AED" w:rsidRDefault="00C21AED" w:rsidP="00AF763D">
      <w:pPr>
        <w:spacing w:after="0"/>
        <w:rPr>
          <w:sz w:val="20"/>
          <w:szCs w:val="18"/>
        </w:rPr>
      </w:pPr>
    </w:p>
    <w:p w14:paraId="79B6EE36" w14:textId="77777777" w:rsidR="00C21AED" w:rsidRDefault="00C21AED" w:rsidP="00AF763D">
      <w:pPr>
        <w:spacing w:after="0"/>
        <w:rPr>
          <w:sz w:val="20"/>
          <w:szCs w:val="18"/>
        </w:rPr>
      </w:pPr>
    </w:p>
    <w:p w14:paraId="3924B938" w14:textId="69B5ACE6"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Default="00AF763D" w:rsidP="00AF763D">
      <w:pPr>
        <w:spacing w:after="0"/>
        <w:rPr>
          <w:sz w:val="20"/>
          <w:szCs w:val="18"/>
        </w:rPr>
      </w:pPr>
      <w:r w:rsidRPr="00AF763D">
        <w:rPr>
          <w:sz w:val="20"/>
          <w:szCs w:val="18"/>
        </w:rPr>
        <w:t>&lt;ESMA_QUESTION_ESEFEEAP_29&gt;</w:t>
      </w:r>
    </w:p>
    <w:p w14:paraId="5E351757" w14:textId="77777777" w:rsidR="00C21AED" w:rsidRDefault="00C21AED" w:rsidP="00AF763D">
      <w:pPr>
        <w:spacing w:after="0"/>
        <w:rPr>
          <w:sz w:val="20"/>
          <w:szCs w:val="18"/>
        </w:rPr>
      </w:pPr>
    </w:p>
    <w:p w14:paraId="02EBD3D4" w14:textId="77777777" w:rsidR="00C21AED" w:rsidRPr="00C21AED" w:rsidRDefault="00C21AED" w:rsidP="00C21AED">
      <w:pPr>
        <w:spacing w:after="0"/>
        <w:rPr>
          <w:sz w:val="20"/>
          <w:szCs w:val="18"/>
        </w:rPr>
      </w:pPr>
      <w:r w:rsidRPr="00C21AED">
        <w:rPr>
          <w:sz w:val="20"/>
          <w:szCs w:val="18"/>
        </w:rPr>
        <w:t>No.</w:t>
      </w:r>
    </w:p>
    <w:p w14:paraId="2C2A0E8F" w14:textId="77777777" w:rsidR="00C21AED" w:rsidRPr="00C21AED" w:rsidRDefault="00C21AED" w:rsidP="00C21AED">
      <w:pPr>
        <w:spacing w:after="0"/>
        <w:rPr>
          <w:sz w:val="20"/>
          <w:szCs w:val="18"/>
        </w:rPr>
      </w:pPr>
    </w:p>
    <w:p w14:paraId="647D53AC" w14:textId="7E87D01F" w:rsidR="00C21AED" w:rsidRPr="00C21AED" w:rsidRDefault="00C21AED" w:rsidP="00C21AED">
      <w:pPr>
        <w:spacing w:after="0"/>
        <w:rPr>
          <w:sz w:val="20"/>
          <w:szCs w:val="18"/>
        </w:rPr>
      </w:pPr>
      <w:r w:rsidRPr="00C21AED">
        <w:rPr>
          <w:sz w:val="20"/>
          <w:szCs w:val="18"/>
        </w:rPr>
        <w:t xml:space="preserve">The cost-benefit analysis disproportionately </w:t>
      </w:r>
      <w:proofErr w:type="spellStart"/>
      <w:r w:rsidRPr="00C21AED">
        <w:rPr>
          <w:sz w:val="20"/>
          <w:szCs w:val="18"/>
        </w:rPr>
        <w:t>favors</w:t>
      </w:r>
      <w:proofErr w:type="spellEnd"/>
      <w:r w:rsidRPr="00C21AED">
        <w:rPr>
          <w:sz w:val="20"/>
          <w:szCs w:val="18"/>
        </w:rPr>
        <w:t xml:space="preserve"> preparers and infrastructure providers (OAMs and ESMA), while minimizing data users' perspectives beyond basic accessibility goals.</w:t>
      </w:r>
      <w:r>
        <w:rPr>
          <w:sz w:val="20"/>
          <w:szCs w:val="18"/>
        </w:rPr>
        <w:t xml:space="preserve"> </w:t>
      </w:r>
    </w:p>
    <w:p w14:paraId="36FFE884" w14:textId="77777777" w:rsidR="00C21AED" w:rsidRPr="00C21AED" w:rsidRDefault="00C21AED" w:rsidP="00C21AED">
      <w:pPr>
        <w:spacing w:after="0"/>
        <w:rPr>
          <w:sz w:val="20"/>
          <w:szCs w:val="18"/>
        </w:rPr>
      </w:pPr>
    </w:p>
    <w:p w14:paraId="1287F389" w14:textId="77777777" w:rsidR="00C21AED" w:rsidRPr="00C21AED" w:rsidRDefault="00C21AED" w:rsidP="00C21AED">
      <w:pPr>
        <w:spacing w:after="0"/>
        <w:rPr>
          <w:sz w:val="20"/>
          <w:szCs w:val="18"/>
        </w:rPr>
      </w:pPr>
      <w:r w:rsidRPr="00C21AED">
        <w:rPr>
          <w:sz w:val="20"/>
          <w:szCs w:val="18"/>
        </w:rPr>
        <w:t xml:space="preserve">Under-resourced NGOs and independent media—facing significant funding cuts in both US and </w:t>
      </w:r>
      <w:proofErr w:type="gramStart"/>
      <w:r w:rsidRPr="00C21AED">
        <w:rPr>
          <w:sz w:val="20"/>
          <w:szCs w:val="18"/>
        </w:rPr>
        <w:t>EU, but</w:t>
      </w:r>
      <w:proofErr w:type="gramEnd"/>
      <w:r w:rsidRPr="00C21AED">
        <w:rPr>
          <w:sz w:val="20"/>
          <w:szCs w:val="18"/>
        </w:rPr>
        <w:t xml:space="preserve"> are essential for monitoring compliance and ensuring accountability. Delaying their access to company data delays the legislation's effectiveness, creating costs far exceeding those of comprehensive markup by preparers.</w:t>
      </w:r>
    </w:p>
    <w:p w14:paraId="0496919C" w14:textId="77777777" w:rsidR="00C21AED" w:rsidRPr="00C21AED" w:rsidRDefault="00C21AED" w:rsidP="00C21AED">
      <w:pPr>
        <w:spacing w:after="0"/>
        <w:rPr>
          <w:sz w:val="20"/>
          <w:szCs w:val="18"/>
        </w:rPr>
      </w:pPr>
    </w:p>
    <w:p w14:paraId="1F5CC20D" w14:textId="77777777" w:rsidR="00C21AED" w:rsidRPr="00C21AED" w:rsidRDefault="00C21AED" w:rsidP="00C21AED">
      <w:pPr>
        <w:spacing w:after="0"/>
        <w:rPr>
          <w:sz w:val="20"/>
          <w:szCs w:val="18"/>
        </w:rPr>
      </w:pPr>
      <w:r w:rsidRPr="00C21AED">
        <w:rPr>
          <w:sz w:val="20"/>
          <w:szCs w:val="18"/>
        </w:rPr>
        <w:t xml:space="preserve">ESMA should not consider PDF disclosures and AI as viable alternatives to structured reporting, even temporarily. Current AI tools achieve only 70% accuracy and impose significant operational costs despite being "free." </w:t>
      </w:r>
    </w:p>
    <w:p w14:paraId="448D1EED" w14:textId="77777777" w:rsidR="00C21AED" w:rsidRPr="00C21AED" w:rsidRDefault="00C21AED" w:rsidP="00C21AED">
      <w:pPr>
        <w:spacing w:after="0"/>
        <w:rPr>
          <w:sz w:val="20"/>
          <w:szCs w:val="18"/>
        </w:rPr>
      </w:pPr>
    </w:p>
    <w:p w14:paraId="74E83865" w14:textId="59500908" w:rsidR="00C21AED" w:rsidRPr="00C21AED" w:rsidRDefault="00C21AED" w:rsidP="00C21AED">
      <w:pPr>
        <w:spacing w:after="0"/>
        <w:rPr>
          <w:sz w:val="20"/>
          <w:szCs w:val="18"/>
        </w:rPr>
      </w:pPr>
      <w:r w:rsidRPr="00C21AED">
        <w:rPr>
          <w:sz w:val="20"/>
          <w:szCs w:val="18"/>
        </w:rPr>
        <w:t>We can already see how the loss of structure reduces how useful the reports are by trying to run AI queries against PDF CSRD reports now, because the https://sustainabilityreportingnavigator.com has these</w:t>
      </w:r>
      <w:r>
        <w:rPr>
          <w:sz w:val="20"/>
          <w:szCs w:val="18"/>
        </w:rPr>
        <w:t xml:space="preserve">, and we can see that the </w:t>
      </w:r>
      <w:r w:rsidRPr="00C21AED">
        <w:rPr>
          <w:sz w:val="20"/>
          <w:szCs w:val="18"/>
        </w:rPr>
        <w:t>results are not as good as they are for structured data.</w:t>
      </w:r>
    </w:p>
    <w:p w14:paraId="0BC873C7" w14:textId="77777777" w:rsidR="00C21AED" w:rsidRPr="00C21AED" w:rsidRDefault="00C21AED" w:rsidP="00C21AED">
      <w:pPr>
        <w:spacing w:after="0"/>
        <w:rPr>
          <w:sz w:val="20"/>
          <w:szCs w:val="18"/>
        </w:rPr>
      </w:pPr>
    </w:p>
    <w:p w14:paraId="58450876" w14:textId="240E6127" w:rsidR="00C21AED" w:rsidRDefault="00C21AED" w:rsidP="00C21AED">
      <w:pPr>
        <w:spacing w:after="0"/>
        <w:rPr>
          <w:sz w:val="20"/>
          <w:szCs w:val="18"/>
        </w:rPr>
      </w:pPr>
      <w:r w:rsidRPr="00C21AED">
        <w:rPr>
          <w:sz w:val="20"/>
          <w:szCs w:val="18"/>
        </w:rPr>
        <w:t>We urge ESMA to reassess their analysis, accounting for the substantial costs to data users when digital markup is omitted (Option 1) or delayed (Option 3), which exceed the costs to preparers of immediate, comprehensive markup (Option 2).</w:t>
      </w:r>
    </w:p>
    <w:p w14:paraId="3CE64645" w14:textId="77777777" w:rsidR="00C21AED" w:rsidRDefault="00C21AED" w:rsidP="00AF763D">
      <w:pPr>
        <w:spacing w:after="0"/>
        <w:rPr>
          <w:sz w:val="20"/>
          <w:szCs w:val="18"/>
        </w:rPr>
      </w:pPr>
    </w:p>
    <w:p w14:paraId="0C4FE588" w14:textId="6B628070"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Default="00AF763D" w:rsidP="00AF763D">
      <w:pPr>
        <w:spacing w:after="0"/>
        <w:rPr>
          <w:sz w:val="20"/>
          <w:szCs w:val="18"/>
        </w:rPr>
      </w:pPr>
      <w:r w:rsidRPr="00AF763D">
        <w:rPr>
          <w:sz w:val="20"/>
          <w:szCs w:val="18"/>
        </w:rPr>
        <w:t>&lt;ESMA_QUESTION_ESEFEEAP_30&gt;</w:t>
      </w:r>
    </w:p>
    <w:p w14:paraId="76399382" w14:textId="77777777" w:rsidR="00C21AED" w:rsidRDefault="00C21AED" w:rsidP="00AF763D">
      <w:pPr>
        <w:spacing w:after="0"/>
        <w:rPr>
          <w:sz w:val="20"/>
          <w:szCs w:val="18"/>
        </w:rPr>
      </w:pPr>
    </w:p>
    <w:p w14:paraId="0B5E6D74" w14:textId="64F49C3D" w:rsidR="00C21AED" w:rsidRDefault="00C21AED" w:rsidP="00AF763D">
      <w:pPr>
        <w:spacing w:after="0"/>
        <w:rPr>
          <w:sz w:val="20"/>
          <w:szCs w:val="18"/>
        </w:rPr>
      </w:pPr>
      <w:r>
        <w:rPr>
          <w:sz w:val="20"/>
          <w:szCs w:val="18"/>
        </w:rPr>
        <w:t>Yes</w:t>
      </w:r>
    </w:p>
    <w:p w14:paraId="770F3B9D" w14:textId="77777777" w:rsidR="00C21AED" w:rsidRDefault="00C21AED" w:rsidP="00AF763D">
      <w:pPr>
        <w:spacing w:after="0"/>
        <w:rPr>
          <w:sz w:val="20"/>
          <w:szCs w:val="18"/>
        </w:rPr>
      </w:pPr>
    </w:p>
    <w:p w14:paraId="2CDC3478" w14:textId="171AB7F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6400EF" w:rsidRPr="006400EF">
        <w:rPr>
          <w:rFonts w:eastAsia="Times New Roman"/>
          <w:noProof/>
          <w:color w:val="auto"/>
          <w:szCs w:val="22"/>
          <w:lang w:eastAsia="en-GB"/>
        </w:rPr>
        <w:pict w14:anchorId="7FB9E0B7">
          <v:rect id="_x0000_i1026" alt="" style="width:451.3pt;height:.05pt;mso-width-percent:0;mso-height-percent:0;mso-width-percent:0;mso-height-percent:0"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Default="00AF763D" w:rsidP="00AF763D">
      <w:pPr>
        <w:spacing w:after="0"/>
        <w:rPr>
          <w:sz w:val="20"/>
          <w:szCs w:val="18"/>
        </w:rPr>
      </w:pPr>
      <w:r w:rsidRPr="00AF763D">
        <w:rPr>
          <w:sz w:val="20"/>
          <w:szCs w:val="18"/>
        </w:rPr>
        <w:t>&lt;ESMA_QUESTION_ESEFEEAP_34&gt;</w:t>
      </w:r>
    </w:p>
    <w:p w14:paraId="593AE837" w14:textId="77777777" w:rsidR="00FD2548" w:rsidRDefault="00FD2548" w:rsidP="00AF763D">
      <w:pPr>
        <w:rPr>
          <w:sz w:val="20"/>
          <w:szCs w:val="18"/>
        </w:rPr>
      </w:pPr>
    </w:p>
    <w:p w14:paraId="12645E11" w14:textId="5130DB32" w:rsidR="00FD2548" w:rsidRDefault="00FD2548" w:rsidP="00AF763D">
      <w:pPr>
        <w:rPr>
          <w:sz w:val="20"/>
          <w:szCs w:val="18"/>
        </w:rPr>
      </w:pPr>
      <w:r>
        <w:rPr>
          <w:sz w:val="20"/>
          <w:szCs w:val="18"/>
        </w:rPr>
        <w:lastRenderedPageBreak/>
        <w:t>Yes</w:t>
      </w:r>
    </w:p>
    <w:p w14:paraId="38F87F41" w14:textId="77777777" w:rsidR="00FD2548" w:rsidRDefault="00FD2548" w:rsidP="00AF763D">
      <w:pPr>
        <w:rPr>
          <w:sz w:val="20"/>
          <w:szCs w:val="18"/>
        </w:rPr>
      </w:pPr>
    </w:p>
    <w:p w14:paraId="0AC20B11" w14:textId="43EB67C3"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6400EF" w:rsidP="00AF763D">
      <w:pPr>
        <w:rPr>
          <w:sz w:val="20"/>
          <w:szCs w:val="18"/>
        </w:rPr>
      </w:pPr>
      <w:r w:rsidRPr="006400EF">
        <w:rPr>
          <w:rFonts w:eastAsia="Times New Roman"/>
          <w:noProof/>
          <w:color w:val="auto"/>
          <w:szCs w:val="22"/>
          <w:lang w:eastAsia="en-GB"/>
        </w:rPr>
        <w:pict w14:anchorId="7A7E4D2F">
          <v:rect id="_x0000_i1025" alt="" style="width:451.3pt;height:.05pt;mso-width-percent:0;mso-height-percent:0;mso-width-percent:0;mso-height-percent:0"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Default="00AF763D" w:rsidP="00AF763D">
      <w:pPr>
        <w:spacing w:after="0"/>
        <w:rPr>
          <w:sz w:val="20"/>
          <w:szCs w:val="18"/>
        </w:rPr>
      </w:pPr>
      <w:r w:rsidRPr="00AF763D">
        <w:rPr>
          <w:sz w:val="20"/>
          <w:szCs w:val="18"/>
        </w:rPr>
        <w:t>&lt;ESMA_QUESTION_ESEFEEAP_36&gt;</w:t>
      </w:r>
    </w:p>
    <w:p w14:paraId="777A86EE" w14:textId="77777777" w:rsidR="0077189A" w:rsidRDefault="0077189A" w:rsidP="00AF763D">
      <w:pPr>
        <w:spacing w:after="0"/>
        <w:rPr>
          <w:sz w:val="20"/>
          <w:szCs w:val="18"/>
        </w:rPr>
      </w:pPr>
    </w:p>
    <w:p w14:paraId="73C3DCD5" w14:textId="5D09028E" w:rsidR="0077189A" w:rsidRDefault="0077189A" w:rsidP="00AF763D">
      <w:pPr>
        <w:spacing w:after="0"/>
        <w:rPr>
          <w:sz w:val="20"/>
          <w:szCs w:val="18"/>
        </w:rPr>
      </w:pPr>
      <w:r>
        <w:rPr>
          <w:sz w:val="20"/>
          <w:szCs w:val="18"/>
        </w:rPr>
        <w:t>For Article 8 on Review</w:t>
      </w:r>
      <w:r w:rsidR="00C108DF">
        <w:rPr>
          <w:sz w:val="20"/>
          <w:szCs w:val="18"/>
        </w:rPr>
        <w:t>, the following paragraph should be added</w:t>
      </w:r>
    </w:p>
    <w:p w14:paraId="399F2321" w14:textId="77777777" w:rsidR="00C108DF" w:rsidRDefault="00C108DF" w:rsidP="00AF763D">
      <w:pPr>
        <w:spacing w:after="0"/>
        <w:rPr>
          <w:sz w:val="20"/>
          <w:szCs w:val="18"/>
        </w:rPr>
      </w:pPr>
    </w:p>
    <w:p w14:paraId="6D130ABC" w14:textId="1F5B3EA1" w:rsidR="00C108DF" w:rsidRDefault="00C108DF" w:rsidP="00AF763D">
      <w:pPr>
        <w:spacing w:after="0"/>
        <w:rPr>
          <w:sz w:val="20"/>
          <w:szCs w:val="18"/>
        </w:rPr>
      </w:pPr>
      <w:r w:rsidRPr="00C108DF">
        <w:rPr>
          <w:sz w:val="20"/>
          <w:szCs w:val="18"/>
        </w:rPr>
        <w:t>This might include issuing revised technical guidelines on the application of the XBRL taxonomies as well as updated technical guidelines and issuing amended XBRL taxonomy versions, which need not be adopted in the legal text. Technical guidelines and taxonomies published in the ESEF Reporting Manual must be complied with, shall not be published less than three months before their application and should be accompanied by a six-week consultation period. Additionally, ESMA might develop technical XBRL validation rules and consistency checks that support data quality and avoid common mistakes in reporting. Those technical validation rules shall be evaluated by ESMA and the OAMs when receiving the marked up XBRL reports. The submission of technically invalid XBRL reports shall be rejected.</w:t>
      </w:r>
    </w:p>
    <w:p w14:paraId="2AEFA67F" w14:textId="77777777" w:rsidR="0077189A" w:rsidRDefault="0077189A" w:rsidP="00AF763D">
      <w:pPr>
        <w:spacing w:after="0"/>
        <w:rPr>
          <w:sz w:val="20"/>
          <w:szCs w:val="18"/>
        </w:rPr>
      </w:pPr>
    </w:p>
    <w:p w14:paraId="06C9DFC0" w14:textId="77777777" w:rsidR="0077189A" w:rsidRDefault="0077189A" w:rsidP="00AF763D">
      <w:pPr>
        <w:spacing w:after="0"/>
        <w:rPr>
          <w:sz w:val="20"/>
          <w:szCs w:val="18"/>
        </w:rPr>
      </w:pPr>
    </w:p>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C53D6" w14:textId="77777777" w:rsidR="006400EF" w:rsidRDefault="006400EF" w:rsidP="00F716D4">
      <w:r>
        <w:separator/>
      </w:r>
    </w:p>
    <w:p w14:paraId="6D7905C4" w14:textId="77777777" w:rsidR="006400EF" w:rsidRDefault="006400EF" w:rsidP="00F716D4"/>
  </w:endnote>
  <w:endnote w:type="continuationSeparator" w:id="0">
    <w:p w14:paraId="49BE69A2" w14:textId="77777777" w:rsidR="006400EF" w:rsidRDefault="006400EF" w:rsidP="00F716D4">
      <w:r>
        <w:continuationSeparator/>
      </w:r>
    </w:p>
    <w:p w14:paraId="28E74DB6" w14:textId="77777777" w:rsidR="006400EF" w:rsidRDefault="006400EF" w:rsidP="00F716D4"/>
  </w:endnote>
  <w:endnote w:type="continuationNotice" w:id="1">
    <w:p w14:paraId="3D5B3426" w14:textId="77777777" w:rsidR="006400EF" w:rsidRDefault="006400EF"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CDDE" w14:textId="77777777" w:rsidR="006400EF" w:rsidRDefault="006400EF" w:rsidP="00F716D4">
      <w:r>
        <w:separator/>
      </w:r>
    </w:p>
    <w:p w14:paraId="40EF6A75" w14:textId="77777777" w:rsidR="006400EF" w:rsidRDefault="006400EF" w:rsidP="00F716D4"/>
  </w:footnote>
  <w:footnote w:type="continuationSeparator" w:id="0">
    <w:p w14:paraId="4A7753EA" w14:textId="77777777" w:rsidR="006400EF" w:rsidRDefault="006400EF" w:rsidP="00F716D4">
      <w:r>
        <w:continuationSeparator/>
      </w:r>
    </w:p>
    <w:p w14:paraId="5EDB0508" w14:textId="77777777" w:rsidR="006400EF" w:rsidRDefault="006400EF" w:rsidP="00F716D4"/>
  </w:footnote>
  <w:footnote w:type="continuationNotice" w:id="1">
    <w:p w14:paraId="70E109F2" w14:textId="77777777" w:rsidR="006400EF" w:rsidRDefault="006400EF"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2FE"/>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2F5"/>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3C91"/>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155A"/>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2CD3"/>
    <w:rsid w:val="00633433"/>
    <w:rsid w:val="006341B5"/>
    <w:rsid w:val="006346C9"/>
    <w:rsid w:val="00634727"/>
    <w:rsid w:val="00634B64"/>
    <w:rsid w:val="0063578C"/>
    <w:rsid w:val="0063642C"/>
    <w:rsid w:val="0063681E"/>
    <w:rsid w:val="00636FF9"/>
    <w:rsid w:val="006400EF"/>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89A"/>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2E41"/>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4E9"/>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05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8DF"/>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AED"/>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0DB"/>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5F64"/>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DAE"/>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548"/>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86259978">
      <w:bodyDiv w:val="1"/>
      <w:marLeft w:val="0"/>
      <w:marRight w:val="0"/>
      <w:marTop w:val="0"/>
      <w:marBottom w:val="0"/>
      <w:divBdr>
        <w:top w:val="none" w:sz="0" w:space="0" w:color="auto"/>
        <w:left w:val="none" w:sz="0" w:space="0" w:color="auto"/>
        <w:bottom w:val="none" w:sz="0" w:space="0" w:color="auto"/>
        <w:right w:val="none" w:sz="0" w:space="0" w:color="auto"/>
      </w:divBdr>
      <w:divsChild>
        <w:div w:id="934946896">
          <w:marLeft w:val="0"/>
          <w:marRight w:val="0"/>
          <w:marTop w:val="0"/>
          <w:marBottom w:val="0"/>
          <w:divBdr>
            <w:top w:val="none" w:sz="0" w:space="0" w:color="auto"/>
            <w:left w:val="none" w:sz="0" w:space="0" w:color="auto"/>
            <w:bottom w:val="none" w:sz="0" w:space="0" w:color="auto"/>
            <w:right w:val="none" w:sz="0" w:space="0" w:color="auto"/>
          </w:divBdr>
          <w:divsChild>
            <w:div w:id="910777503">
              <w:marLeft w:val="0"/>
              <w:marRight w:val="0"/>
              <w:marTop w:val="0"/>
              <w:marBottom w:val="0"/>
              <w:divBdr>
                <w:top w:val="none" w:sz="0" w:space="0" w:color="auto"/>
                <w:left w:val="none" w:sz="0" w:space="0" w:color="auto"/>
                <w:bottom w:val="none" w:sz="0" w:space="0" w:color="auto"/>
                <w:right w:val="none" w:sz="0" w:space="0" w:color="auto"/>
              </w:divBdr>
            </w:div>
            <w:div w:id="1426682047">
              <w:marLeft w:val="0"/>
              <w:marRight w:val="0"/>
              <w:marTop w:val="0"/>
              <w:marBottom w:val="0"/>
              <w:divBdr>
                <w:top w:val="none" w:sz="0" w:space="0" w:color="auto"/>
                <w:left w:val="none" w:sz="0" w:space="0" w:color="auto"/>
                <w:bottom w:val="none" w:sz="0" w:space="0" w:color="auto"/>
                <w:right w:val="none" w:sz="0" w:space="0" w:color="auto"/>
              </w:divBdr>
            </w:div>
            <w:div w:id="18667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0328307">
      <w:bodyDiv w:val="1"/>
      <w:marLeft w:val="0"/>
      <w:marRight w:val="0"/>
      <w:marTop w:val="0"/>
      <w:marBottom w:val="0"/>
      <w:divBdr>
        <w:top w:val="none" w:sz="0" w:space="0" w:color="auto"/>
        <w:left w:val="none" w:sz="0" w:space="0" w:color="auto"/>
        <w:bottom w:val="none" w:sz="0" w:space="0" w:color="auto"/>
        <w:right w:val="none" w:sz="0" w:space="0" w:color="auto"/>
      </w:divBdr>
      <w:divsChild>
        <w:div w:id="917905204">
          <w:marLeft w:val="0"/>
          <w:marRight w:val="0"/>
          <w:marTop w:val="0"/>
          <w:marBottom w:val="0"/>
          <w:divBdr>
            <w:top w:val="none" w:sz="0" w:space="0" w:color="auto"/>
            <w:left w:val="none" w:sz="0" w:space="0" w:color="auto"/>
            <w:bottom w:val="none" w:sz="0" w:space="0" w:color="auto"/>
            <w:right w:val="none" w:sz="0" w:space="0" w:color="auto"/>
          </w:divBdr>
          <w:divsChild>
            <w:div w:id="691030318">
              <w:marLeft w:val="0"/>
              <w:marRight w:val="0"/>
              <w:marTop w:val="0"/>
              <w:marBottom w:val="0"/>
              <w:divBdr>
                <w:top w:val="none" w:sz="0" w:space="0" w:color="auto"/>
                <w:left w:val="none" w:sz="0" w:space="0" w:color="auto"/>
                <w:bottom w:val="none" w:sz="0" w:space="0" w:color="auto"/>
                <w:right w:val="none" w:sz="0" w:space="0" w:color="auto"/>
              </w:divBdr>
            </w:div>
            <w:div w:id="161164519">
              <w:marLeft w:val="0"/>
              <w:marRight w:val="0"/>
              <w:marTop w:val="0"/>
              <w:marBottom w:val="0"/>
              <w:divBdr>
                <w:top w:val="none" w:sz="0" w:space="0" w:color="auto"/>
                <w:left w:val="none" w:sz="0" w:space="0" w:color="auto"/>
                <w:bottom w:val="none" w:sz="0" w:space="0" w:color="auto"/>
                <w:right w:val="none" w:sz="0" w:space="0" w:color="auto"/>
              </w:divBdr>
            </w:div>
            <w:div w:id="5150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599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2448229">
      <w:bodyDiv w:val="1"/>
      <w:marLeft w:val="0"/>
      <w:marRight w:val="0"/>
      <w:marTop w:val="0"/>
      <w:marBottom w:val="0"/>
      <w:divBdr>
        <w:top w:val="none" w:sz="0" w:space="0" w:color="auto"/>
        <w:left w:val="none" w:sz="0" w:space="0" w:color="auto"/>
        <w:bottom w:val="none" w:sz="0" w:space="0" w:color="auto"/>
        <w:right w:val="none" w:sz="0" w:space="0" w:color="auto"/>
      </w:divBdr>
      <w:divsChild>
        <w:div w:id="745030064">
          <w:marLeft w:val="0"/>
          <w:marRight w:val="0"/>
          <w:marTop w:val="0"/>
          <w:marBottom w:val="0"/>
          <w:divBdr>
            <w:top w:val="none" w:sz="0" w:space="0" w:color="auto"/>
            <w:left w:val="none" w:sz="0" w:space="0" w:color="auto"/>
            <w:bottom w:val="none" w:sz="0" w:space="0" w:color="auto"/>
            <w:right w:val="none" w:sz="0" w:space="0" w:color="auto"/>
          </w:divBdr>
          <w:divsChild>
            <w:div w:id="29838342">
              <w:marLeft w:val="0"/>
              <w:marRight w:val="0"/>
              <w:marTop w:val="0"/>
              <w:marBottom w:val="0"/>
              <w:divBdr>
                <w:top w:val="none" w:sz="0" w:space="0" w:color="auto"/>
                <w:left w:val="none" w:sz="0" w:space="0" w:color="auto"/>
                <w:bottom w:val="none" w:sz="0" w:space="0" w:color="auto"/>
                <w:right w:val="none" w:sz="0" w:space="0" w:color="auto"/>
              </w:divBdr>
            </w:div>
            <w:div w:id="6417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23144263">
      <w:bodyDiv w:val="1"/>
      <w:marLeft w:val="0"/>
      <w:marRight w:val="0"/>
      <w:marTop w:val="0"/>
      <w:marBottom w:val="0"/>
      <w:divBdr>
        <w:top w:val="none" w:sz="0" w:space="0" w:color="auto"/>
        <w:left w:val="none" w:sz="0" w:space="0" w:color="auto"/>
        <w:bottom w:val="none" w:sz="0" w:space="0" w:color="auto"/>
        <w:right w:val="none" w:sz="0" w:space="0" w:color="auto"/>
      </w:divBdr>
      <w:divsChild>
        <w:div w:id="1538398304">
          <w:marLeft w:val="0"/>
          <w:marRight w:val="0"/>
          <w:marTop w:val="0"/>
          <w:marBottom w:val="0"/>
          <w:divBdr>
            <w:top w:val="none" w:sz="0" w:space="0" w:color="auto"/>
            <w:left w:val="none" w:sz="0" w:space="0" w:color="auto"/>
            <w:bottom w:val="none" w:sz="0" w:space="0" w:color="auto"/>
            <w:right w:val="none" w:sz="0" w:space="0" w:color="auto"/>
          </w:divBdr>
          <w:divsChild>
            <w:div w:id="16342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6891464">
      <w:bodyDiv w:val="1"/>
      <w:marLeft w:val="0"/>
      <w:marRight w:val="0"/>
      <w:marTop w:val="0"/>
      <w:marBottom w:val="0"/>
      <w:divBdr>
        <w:top w:val="none" w:sz="0" w:space="0" w:color="auto"/>
        <w:left w:val="none" w:sz="0" w:space="0" w:color="auto"/>
        <w:bottom w:val="none" w:sz="0" w:space="0" w:color="auto"/>
        <w:right w:val="none" w:sz="0" w:space="0" w:color="auto"/>
      </w:divBdr>
      <w:divsChild>
        <w:div w:id="718282455">
          <w:marLeft w:val="0"/>
          <w:marRight w:val="0"/>
          <w:marTop w:val="0"/>
          <w:marBottom w:val="0"/>
          <w:divBdr>
            <w:top w:val="none" w:sz="0" w:space="0" w:color="auto"/>
            <w:left w:val="none" w:sz="0" w:space="0" w:color="auto"/>
            <w:bottom w:val="none" w:sz="0" w:space="0" w:color="auto"/>
            <w:right w:val="none" w:sz="0" w:space="0" w:color="auto"/>
          </w:divBdr>
          <w:divsChild>
            <w:div w:id="865941881">
              <w:marLeft w:val="0"/>
              <w:marRight w:val="0"/>
              <w:marTop w:val="0"/>
              <w:marBottom w:val="0"/>
              <w:divBdr>
                <w:top w:val="none" w:sz="0" w:space="0" w:color="auto"/>
                <w:left w:val="none" w:sz="0" w:space="0" w:color="auto"/>
                <w:bottom w:val="none" w:sz="0" w:space="0" w:color="auto"/>
                <w:right w:val="none" w:sz="0" w:space="0" w:color="auto"/>
              </w:divBdr>
            </w:div>
            <w:div w:id="203761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40161">
      <w:bodyDiv w:val="1"/>
      <w:marLeft w:val="0"/>
      <w:marRight w:val="0"/>
      <w:marTop w:val="0"/>
      <w:marBottom w:val="0"/>
      <w:divBdr>
        <w:top w:val="none" w:sz="0" w:space="0" w:color="auto"/>
        <w:left w:val="none" w:sz="0" w:space="0" w:color="auto"/>
        <w:bottom w:val="none" w:sz="0" w:space="0" w:color="auto"/>
        <w:right w:val="none" w:sz="0" w:space="0" w:color="auto"/>
      </w:divBdr>
      <w:divsChild>
        <w:div w:id="2105832561">
          <w:marLeft w:val="0"/>
          <w:marRight w:val="0"/>
          <w:marTop w:val="0"/>
          <w:marBottom w:val="0"/>
          <w:divBdr>
            <w:top w:val="none" w:sz="0" w:space="0" w:color="auto"/>
            <w:left w:val="none" w:sz="0" w:space="0" w:color="auto"/>
            <w:bottom w:val="none" w:sz="0" w:space="0" w:color="auto"/>
            <w:right w:val="none" w:sz="0" w:space="0" w:color="auto"/>
          </w:divBdr>
          <w:divsChild>
            <w:div w:id="8815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2867117">
      <w:bodyDiv w:val="1"/>
      <w:marLeft w:val="0"/>
      <w:marRight w:val="0"/>
      <w:marTop w:val="0"/>
      <w:marBottom w:val="0"/>
      <w:divBdr>
        <w:top w:val="none" w:sz="0" w:space="0" w:color="auto"/>
        <w:left w:val="none" w:sz="0" w:space="0" w:color="auto"/>
        <w:bottom w:val="none" w:sz="0" w:space="0" w:color="auto"/>
        <w:right w:val="none" w:sz="0" w:space="0" w:color="auto"/>
      </w:divBdr>
      <w:divsChild>
        <w:div w:id="1442459299">
          <w:marLeft w:val="0"/>
          <w:marRight w:val="0"/>
          <w:marTop w:val="0"/>
          <w:marBottom w:val="0"/>
          <w:divBdr>
            <w:top w:val="none" w:sz="0" w:space="0" w:color="auto"/>
            <w:left w:val="none" w:sz="0" w:space="0" w:color="auto"/>
            <w:bottom w:val="none" w:sz="0" w:space="0" w:color="auto"/>
            <w:right w:val="none" w:sz="0" w:space="0" w:color="auto"/>
          </w:divBdr>
          <w:divsChild>
            <w:div w:id="2108766409">
              <w:marLeft w:val="0"/>
              <w:marRight w:val="0"/>
              <w:marTop w:val="0"/>
              <w:marBottom w:val="0"/>
              <w:divBdr>
                <w:top w:val="none" w:sz="0" w:space="0" w:color="auto"/>
                <w:left w:val="none" w:sz="0" w:space="0" w:color="auto"/>
                <w:bottom w:val="none" w:sz="0" w:space="0" w:color="auto"/>
                <w:right w:val="none" w:sz="0" w:space="0" w:color="auto"/>
              </w:divBdr>
            </w:div>
            <w:div w:id="247813997">
              <w:marLeft w:val="0"/>
              <w:marRight w:val="0"/>
              <w:marTop w:val="0"/>
              <w:marBottom w:val="0"/>
              <w:divBdr>
                <w:top w:val="none" w:sz="0" w:space="0" w:color="auto"/>
                <w:left w:val="none" w:sz="0" w:space="0" w:color="auto"/>
                <w:bottom w:val="none" w:sz="0" w:space="0" w:color="auto"/>
                <w:right w:val="none" w:sz="0" w:space="0" w:color="auto"/>
              </w:divBdr>
            </w:div>
            <w:div w:id="261575276">
              <w:marLeft w:val="0"/>
              <w:marRight w:val="0"/>
              <w:marTop w:val="0"/>
              <w:marBottom w:val="0"/>
              <w:divBdr>
                <w:top w:val="none" w:sz="0" w:space="0" w:color="auto"/>
                <w:left w:val="none" w:sz="0" w:space="0" w:color="auto"/>
                <w:bottom w:val="none" w:sz="0" w:space="0" w:color="auto"/>
                <w:right w:val="none" w:sz="0" w:space="0" w:color="auto"/>
              </w:divBdr>
            </w:div>
            <w:div w:id="170292817">
              <w:marLeft w:val="0"/>
              <w:marRight w:val="0"/>
              <w:marTop w:val="0"/>
              <w:marBottom w:val="0"/>
              <w:divBdr>
                <w:top w:val="none" w:sz="0" w:space="0" w:color="auto"/>
                <w:left w:val="none" w:sz="0" w:space="0" w:color="auto"/>
                <w:bottom w:val="none" w:sz="0" w:space="0" w:color="auto"/>
                <w:right w:val="none" w:sz="0" w:space="0" w:color="auto"/>
              </w:divBdr>
            </w:div>
            <w:div w:id="628978886">
              <w:marLeft w:val="0"/>
              <w:marRight w:val="0"/>
              <w:marTop w:val="0"/>
              <w:marBottom w:val="0"/>
              <w:divBdr>
                <w:top w:val="none" w:sz="0" w:space="0" w:color="auto"/>
                <w:left w:val="none" w:sz="0" w:space="0" w:color="auto"/>
                <w:bottom w:val="none" w:sz="0" w:space="0" w:color="auto"/>
                <w:right w:val="none" w:sz="0" w:space="0" w:color="auto"/>
              </w:divBdr>
            </w:div>
            <w:div w:id="2086490552">
              <w:marLeft w:val="0"/>
              <w:marRight w:val="0"/>
              <w:marTop w:val="0"/>
              <w:marBottom w:val="0"/>
              <w:divBdr>
                <w:top w:val="none" w:sz="0" w:space="0" w:color="auto"/>
                <w:left w:val="none" w:sz="0" w:space="0" w:color="auto"/>
                <w:bottom w:val="none" w:sz="0" w:space="0" w:color="auto"/>
                <w:right w:val="none" w:sz="0" w:space="0" w:color="auto"/>
              </w:divBdr>
            </w:div>
            <w:div w:id="5538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2830931">
      <w:bodyDiv w:val="1"/>
      <w:marLeft w:val="0"/>
      <w:marRight w:val="0"/>
      <w:marTop w:val="0"/>
      <w:marBottom w:val="0"/>
      <w:divBdr>
        <w:top w:val="none" w:sz="0" w:space="0" w:color="auto"/>
        <w:left w:val="none" w:sz="0" w:space="0" w:color="auto"/>
        <w:bottom w:val="none" w:sz="0" w:space="0" w:color="auto"/>
        <w:right w:val="none" w:sz="0" w:space="0" w:color="auto"/>
      </w:divBdr>
      <w:divsChild>
        <w:div w:id="257255607">
          <w:marLeft w:val="0"/>
          <w:marRight w:val="0"/>
          <w:marTop w:val="0"/>
          <w:marBottom w:val="0"/>
          <w:divBdr>
            <w:top w:val="none" w:sz="0" w:space="0" w:color="auto"/>
            <w:left w:val="none" w:sz="0" w:space="0" w:color="auto"/>
            <w:bottom w:val="none" w:sz="0" w:space="0" w:color="auto"/>
            <w:right w:val="none" w:sz="0" w:space="0" w:color="auto"/>
          </w:divBdr>
          <w:divsChild>
            <w:div w:id="317659933">
              <w:marLeft w:val="0"/>
              <w:marRight w:val="0"/>
              <w:marTop w:val="0"/>
              <w:marBottom w:val="0"/>
              <w:divBdr>
                <w:top w:val="none" w:sz="0" w:space="0" w:color="auto"/>
                <w:left w:val="none" w:sz="0" w:space="0" w:color="auto"/>
                <w:bottom w:val="none" w:sz="0" w:space="0" w:color="auto"/>
                <w:right w:val="none" w:sz="0" w:space="0" w:color="auto"/>
              </w:divBdr>
            </w:div>
            <w:div w:id="1129274762">
              <w:marLeft w:val="0"/>
              <w:marRight w:val="0"/>
              <w:marTop w:val="0"/>
              <w:marBottom w:val="0"/>
              <w:divBdr>
                <w:top w:val="none" w:sz="0" w:space="0" w:color="auto"/>
                <w:left w:val="none" w:sz="0" w:space="0" w:color="auto"/>
                <w:bottom w:val="none" w:sz="0" w:space="0" w:color="auto"/>
                <w:right w:val="none" w:sz="0" w:space="0" w:color="auto"/>
              </w:divBdr>
            </w:div>
            <w:div w:id="542136554">
              <w:marLeft w:val="0"/>
              <w:marRight w:val="0"/>
              <w:marTop w:val="0"/>
              <w:marBottom w:val="0"/>
              <w:divBdr>
                <w:top w:val="none" w:sz="0" w:space="0" w:color="auto"/>
                <w:left w:val="none" w:sz="0" w:space="0" w:color="auto"/>
                <w:bottom w:val="none" w:sz="0" w:space="0" w:color="auto"/>
                <w:right w:val="none" w:sz="0" w:space="0" w:color="auto"/>
              </w:divBdr>
            </w:div>
            <w:div w:id="5805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90902">
      <w:bodyDiv w:val="1"/>
      <w:marLeft w:val="0"/>
      <w:marRight w:val="0"/>
      <w:marTop w:val="0"/>
      <w:marBottom w:val="0"/>
      <w:divBdr>
        <w:top w:val="none" w:sz="0" w:space="0" w:color="auto"/>
        <w:left w:val="none" w:sz="0" w:space="0" w:color="auto"/>
        <w:bottom w:val="none" w:sz="0" w:space="0" w:color="auto"/>
        <w:right w:val="none" w:sz="0" w:space="0" w:color="auto"/>
      </w:divBdr>
      <w:divsChild>
        <w:div w:id="1243760360">
          <w:marLeft w:val="0"/>
          <w:marRight w:val="0"/>
          <w:marTop w:val="0"/>
          <w:marBottom w:val="0"/>
          <w:divBdr>
            <w:top w:val="none" w:sz="0" w:space="0" w:color="auto"/>
            <w:left w:val="none" w:sz="0" w:space="0" w:color="auto"/>
            <w:bottom w:val="none" w:sz="0" w:space="0" w:color="auto"/>
            <w:right w:val="none" w:sz="0" w:space="0" w:color="auto"/>
          </w:divBdr>
          <w:divsChild>
            <w:div w:id="14650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Chris Adams</cp:lastModifiedBy>
  <cp:revision>11</cp:revision>
  <cp:lastPrinted>2015-02-18T20:01:00Z</cp:lastPrinted>
  <dcterms:created xsi:type="dcterms:W3CDTF">2025-03-28T12:08:00Z</dcterms:created>
  <dcterms:modified xsi:type="dcterms:W3CDTF">2025-03-28T13:34:00Z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