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6093B" w14:textId="715E8577" w:rsidR="00C54034" w:rsidRPr="00AF763D" w:rsidRDefault="00C54034" w:rsidP="00F716D4">
      <w:pPr>
        <w:rPr>
          <w:sz w:val="20"/>
          <w:szCs w:val="18"/>
        </w:rPr>
      </w:pPr>
      <w:bookmarkStart w:id="0" w:name="_Hlk124776001"/>
      <w:bookmarkStart w:id="1" w:name="_Hlk124776067"/>
      <w:bookmarkStart w:id="2" w:name="_Hlk124776338"/>
    </w:p>
    <w:p w14:paraId="6BFABC2D" w14:textId="581D5C9B"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bookmarkStart w:id="3" w:name="_GoBack"/>
      <w:bookmarkEnd w:id="3"/>
      <w:r w:rsidRPr="00AF763D">
        <w:rPr>
          <w:rFonts w:eastAsiaTheme="majorEastAsia"/>
          <w:b/>
          <w:bCs/>
          <w:color w:val="00379F"/>
          <w:sz w:val="52"/>
          <w:szCs w:val="52"/>
        </w:rPr>
        <w:t xml:space="preserve">Reply </w:t>
      </w:r>
      <w:bookmarkStart w:id="4"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tertitel"/>
        <w:spacing w:after="0"/>
        <w:rPr>
          <w:sz w:val="24"/>
          <w:szCs w:val="18"/>
        </w:rPr>
        <w:sectPr w:rsidR="004E60D2" w:rsidRPr="00B32975" w:rsidSect="004E60D2">
          <w:headerReference w:type="first" r:id="rId9"/>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lang w:val="de-DE" w:eastAsia="de-DE"/>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0"/>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2"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tertitel"/>
        <w:rPr>
          <w:sz w:val="24"/>
          <w:szCs w:val="18"/>
        </w:rPr>
      </w:pPr>
      <w:r w:rsidRPr="00AF763D">
        <w:rPr>
          <w:sz w:val="24"/>
          <w:szCs w:val="18"/>
        </w:rPr>
        <w:lastRenderedPageBreak/>
        <w:t xml:space="preserve"> </w:t>
      </w:r>
      <w:bookmarkStart w:id="5" w:name="_Toc280628648"/>
      <w:bookmarkEnd w:id="1"/>
      <w:bookmarkEnd w:id="2"/>
      <w:bookmarkEnd w:id="4"/>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enabsatz"/>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enabsatz"/>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7E2A5782"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3"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274634F8"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681D8550"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010D299D" w:rsidR="009D6E99" w:rsidRPr="00AF763D" w:rsidRDefault="009D6E99" w:rsidP="009D6E99">
      <w:pPr>
        <w:rPr>
          <w:sz w:val="20"/>
          <w:lang w:eastAsia="en-GB"/>
        </w:rPr>
      </w:pPr>
      <w:r w:rsidRPr="00AF763D">
        <w:rPr>
          <w:sz w:val="20"/>
          <w:szCs w:val="18"/>
        </w:rPr>
        <w:t xml:space="preserve">Information on data protection can be found at </w:t>
      </w:r>
      <w:hyperlink r:id="rId24"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5"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19C1424C" w14:textId="0891B120" w:rsidR="003755C6" w:rsidRPr="00AF763D" w:rsidRDefault="003755C6" w:rsidP="00F716D4">
      <w:pPr>
        <w:rPr>
          <w:sz w:val="20"/>
          <w:szCs w:val="18"/>
        </w:rPr>
      </w:pPr>
    </w:p>
    <w:bookmarkEnd w:id="5"/>
    <w:p w14:paraId="3095C284" w14:textId="77777777" w:rsidR="00C54034" w:rsidRPr="00AF763D" w:rsidRDefault="00C54034" w:rsidP="00F716D4">
      <w:pPr>
        <w:rPr>
          <w:sz w:val="20"/>
          <w:szCs w:val="18"/>
        </w:rPr>
        <w:sectPr w:rsidR="00C54034" w:rsidRPr="00AF763D" w:rsidSect="00A8728B">
          <w:headerReference w:type="even" r:id="rId26"/>
          <w:headerReference w:type="first" r:id="rId27"/>
          <w:footerReference w:type="first" r:id="rId28"/>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6"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id w:val="-179280767"/>
            <w:text/>
          </w:sdtPr>
          <w:sdtEndPr/>
          <w:sdtContent>
            <w:tc>
              <w:tcPr>
                <w:tcW w:w="6997" w:type="dxa"/>
                <w:gridSpan w:val="4"/>
              </w:tcPr>
              <w:p w14:paraId="0D7893C6" w14:textId="3B3D1254" w:rsidR="0030108F" w:rsidRDefault="001461AC" w:rsidP="007F0FF9">
                <w:pPr>
                  <w:spacing w:after="120"/>
                  <w:rPr>
                    <w:sz w:val="20"/>
                    <w:szCs w:val="18"/>
                  </w:rPr>
                </w:pPr>
                <w:r w:rsidRPr="001461AC">
                  <w:t>Committee on Monetary, Financial and Balance of Payments Statistics (CMFB) (see https://www.cmfb.org/home) / European Committee of Central Balance Sheet Data Offices (ECCBSO)</w:t>
                </w:r>
                <w:r>
                  <w:t xml:space="preserve"> (see https://www.eccbso.org)</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2F72EC19" w:rsidR="00DE432B" w:rsidRDefault="00495CD2" w:rsidP="008A50BE">
                <w:pPr>
                  <w:spacing w:after="120"/>
                  <w:rPr>
                    <w:sz w:val="20"/>
                    <w:szCs w:val="18"/>
                  </w:rPr>
                </w:pPr>
                <w:r>
                  <w:rPr>
                    <w:sz w:val="20"/>
                    <w:szCs w:val="18"/>
                  </w:rPr>
                  <w:t>Europe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Public interest entity (entities governed by the law of an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tzhaltertext"/>
                <w:sz w:val="20"/>
                <w:szCs w:val="18"/>
              </w:rPr>
              <w:id w:val="733121204"/>
              <w:placeholder>
                <w:docPart w:val="4F8409691C494F8DBC4AAA9A7FF1088F"/>
              </w:placeholder>
              <w:showingPlcHdr/>
              <w:text/>
            </w:sdtPr>
            <w:sdtEndPr>
              <w:rPr>
                <w:rStyle w:val="Platzhaltertext"/>
              </w:rPr>
            </w:sdtEndPr>
            <w:sdtContent>
              <w:p w14:paraId="18F8042D" w14:textId="438BFE55" w:rsidR="00A10F6D" w:rsidRDefault="008A50BE" w:rsidP="008A50BE">
                <w:pPr>
                  <w:spacing w:after="120"/>
                  <w:rPr>
                    <w:sz w:val="20"/>
                    <w:szCs w:val="18"/>
                  </w:rPr>
                </w:pPr>
                <w:r w:rsidRPr="00AF763D">
                  <w:rPr>
                    <w:rStyle w:val="Platzhalt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EndPr/>
          <w:sdtContent>
            <w:tc>
              <w:tcPr>
                <w:tcW w:w="425" w:type="dxa"/>
                <w:vMerge w:val="restart"/>
              </w:tcPr>
              <w:p w14:paraId="39A245A0" w14:textId="4C808260" w:rsidR="008203B2" w:rsidRDefault="00495CD2"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1"/>
              <w14:checkedState w14:val="2612" w14:font="MS Gothic"/>
              <w14:uncheckedState w14:val="2610" w14:font="MS Gothic"/>
            </w14:checkbox>
          </w:sdtPr>
          <w:sdtEndPr/>
          <w:sdtContent>
            <w:tc>
              <w:tcPr>
                <w:tcW w:w="416" w:type="dxa"/>
              </w:tcPr>
              <w:p w14:paraId="070DFE9B" w14:textId="5E44057B" w:rsidR="00A10F6D" w:rsidRDefault="00495CD2" w:rsidP="008A50BE">
                <w:pPr>
                  <w:spacing w:after="120"/>
                  <w:rPr>
                    <w:sz w:val="20"/>
                    <w:szCs w:val="18"/>
                  </w:rPr>
                </w:pPr>
                <w:r>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color w:val="808080"/>
                <w:sz w:val="20"/>
                <w:szCs w:val="18"/>
              </w:rPr>
              <w:id w:val="321700705"/>
              <w:text/>
            </w:sdtPr>
            <w:sdtEndPr/>
            <w:sdtContent>
              <w:p w14:paraId="5F0E3DF4" w14:textId="19EC525B" w:rsidR="00A10F6D" w:rsidRDefault="001461AC" w:rsidP="001461AC">
                <w:pPr>
                  <w:spacing w:after="120"/>
                  <w:rPr>
                    <w:sz w:val="20"/>
                    <w:szCs w:val="18"/>
                  </w:rPr>
                </w:pPr>
                <w:r w:rsidRPr="00DF2A2E">
                  <w:rPr>
                    <w:color w:val="808080"/>
                    <w:sz w:val="20"/>
                    <w:szCs w:val="18"/>
                  </w:rPr>
                  <w:t xml:space="preserve">Use of corporate reports for statistical purposes </w:t>
                </w:r>
                <w:r>
                  <w:rPr>
                    <w:color w:val="808080"/>
                    <w:sz w:val="20"/>
                    <w:szCs w:val="18"/>
                  </w:rPr>
                  <w:t xml:space="preserve">of the European System of Central Banks and the European Statistical System </w:t>
                </w:r>
                <w:r w:rsidRPr="00DF2A2E">
                  <w:rPr>
                    <w:color w:val="808080"/>
                    <w:sz w:val="20"/>
                    <w:szCs w:val="18"/>
                  </w:rPr>
                  <w:t>to provide information to the public.</w:t>
                </w:r>
                <w:r>
                  <w:rPr>
                    <w:color w:val="808080"/>
                    <w:sz w:val="20"/>
                    <w:szCs w:val="18"/>
                  </w:rPr>
                  <w:t xml:space="preserve"> </w:t>
                </w:r>
                <w:r w:rsidR="00067EED" w:rsidRPr="00613EBE">
                  <w:rPr>
                    <w:color w:val="808080"/>
                    <w:sz w:val="20"/>
                    <w:szCs w:val="18"/>
                  </w:rPr>
                  <w:t xml:space="preserve"> The ECCBSO also takes into account the use of corporate reports for credit assessment procedures within the European System of Central Banks.</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zhaltertext"/>
              <w:sz w:val="20"/>
              <w:szCs w:val="18"/>
            </w:rPr>
            <w:id w:val="1865097083"/>
            <w:placeholder>
              <w:docPart w:val="929CF8A8DD544527BFD39F60A4270BD8"/>
            </w:placeholder>
            <w:showingPlcHdr/>
            <w:text/>
          </w:sdtPr>
          <w:sdtEndPr>
            <w:rPr>
              <w:rStyle w:val="Platzhalt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tzhalt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t>Questions</w:t>
      </w:r>
      <w:bookmarkStart w:id="7" w:name="_Hlk124780170"/>
    </w:p>
    <w:bookmarkEnd w:id="6"/>
    <w:bookmarkEnd w:id="7"/>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manner in which the various elements and factors are to be considered in developing the marking up rules and the phased approach? If not, please explain your reasons and suggest any elements or factors that should be added or removed, or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17EB42B7" w14:textId="77777777" w:rsidR="00AD0706" w:rsidRDefault="00AD0706" w:rsidP="00CF7D17">
      <w:pPr>
        <w:spacing w:before="100" w:beforeAutospacing="1" w:after="100" w:afterAutospacing="1" w:line="240" w:lineRule="auto"/>
        <w:rPr>
          <w:rFonts w:eastAsia="Times New Roman"/>
          <w:color w:val="000000"/>
          <w:sz w:val="24"/>
          <w:szCs w:val="24"/>
          <w:lang w:eastAsia="de-DE"/>
        </w:rPr>
      </w:pPr>
      <w:permStart w:id="1107116594" w:edGrp="everyone"/>
    </w:p>
    <w:p w14:paraId="5BAA8753" w14:textId="25DC851C" w:rsidR="005620CD" w:rsidRDefault="00724A3A" w:rsidP="00CF7D17">
      <w:pPr>
        <w:spacing w:before="100" w:beforeAutospacing="1" w:after="100" w:afterAutospacing="1" w:line="240" w:lineRule="auto"/>
        <w:rPr>
          <w:rFonts w:eastAsia="Times New Roman"/>
          <w:color w:val="000000"/>
          <w:sz w:val="24"/>
          <w:szCs w:val="24"/>
          <w:lang w:eastAsia="de-DE"/>
        </w:rPr>
      </w:pPr>
      <w:r w:rsidRPr="00724A3A">
        <w:rPr>
          <w:rFonts w:eastAsia="Times New Roman"/>
          <w:color w:val="000000"/>
          <w:sz w:val="24"/>
          <w:szCs w:val="24"/>
          <w:lang w:eastAsia="de-DE"/>
        </w:rPr>
        <w:t xml:space="preserve">The CMFB engages in this consultation by providing a </w:t>
      </w:r>
      <w:r w:rsidR="001461AC">
        <w:rPr>
          <w:rFonts w:eastAsia="Times New Roman"/>
          <w:color w:val="000000"/>
          <w:sz w:val="24"/>
          <w:szCs w:val="24"/>
          <w:lang w:eastAsia="de-DE"/>
        </w:rPr>
        <w:t>double perspective as user and producer of statistical information. In both of these regards</w:t>
      </w:r>
      <w:r w:rsidR="00DF5A99">
        <w:rPr>
          <w:rFonts w:eastAsia="Times New Roman"/>
          <w:color w:val="000000"/>
          <w:sz w:val="24"/>
          <w:szCs w:val="24"/>
          <w:lang w:eastAsia="de-DE"/>
        </w:rPr>
        <w:t>,</w:t>
      </w:r>
      <w:r w:rsidR="001461AC" w:rsidRPr="00724A3A">
        <w:rPr>
          <w:rFonts w:eastAsia="Times New Roman"/>
          <w:color w:val="000000"/>
          <w:sz w:val="24"/>
          <w:szCs w:val="24"/>
          <w:lang w:eastAsia="de-DE"/>
        </w:rPr>
        <w:t xml:space="preserve"> </w:t>
      </w:r>
      <w:r w:rsidR="00DF5A99">
        <w:rPr>
          <w:rFonts w:eastAsia="Times New Roman"/>
          <w:color w:val="000000"/>
          <w:sz w:val="24"/>
          <w:szCs w:val="24"/>
          <w:lang w:eastAsia="de-DE"/>
        </w:rPr>
        <w:t xml:space="preserve">corporate information </w:t>
      </w:r>
      <w:r w:rsidRPr="00724A3A">
        <w:rPr>
          <w:rFonts w:eastAsia="Times New Roman"/>
          <w:color w:val="000000"/>
          <w:sz w:val="24"/>
          <w:szCs w:val="24"/>
          <w:lang w:eastAsia="de-DE"/>
        </w:rPr>
        <w:t>from public reports</w:t>
      </w:r>
      <w:r>
        <w:rPr>
          <w:rFonts w:eastAsia="Times New Roman"/>
          <w:color w:val="000000"/>
          <w:sz w:val="24"/>
          <w:szCs w:val="24"/>
          <w:lang w:eastAsia="de-DE"/>
        </w:rPr>
        <w:t xml:space="preserve"> based on the </w:t>
      </w:r>
      <w:r w:rsidRPr="00724A3A">
        <w:rPr>
          <w:rFonts w:eastAsia="Times New Roman"/>
          <w:color w:val="000000"/>
          <w:sz w:val="24"/>
          <w:szCs w:val="24"/>
          <w:lang w:eastAsia="de-DE"/>
        </w:rPr>
        <w:t>EU Accounting Directive</w:t>
      </w:r>
      <w:r w:rsidR="001461AC">
        <w:rPr>
          <w:rFonts w:eastAsia="Times New Roman"/>
          <w:color w:val="000000"/>
          <w:sz w:val="24"/>
          <w:szCs w:val="24"/>
          <w:lang w:eastAsia="de-DE"/>
        </w:rPr>
        <w:t xml:space="preserve"> is important</w:t>
      </w:r>
      <w:r w:rsidRPr="00724A3A">
        <w:rPr>
          <w:rFonts w:eastAsia="Times New Roman"/>
          <w:color w:val="000000"/>
          <w:sz w:val="24"/>
          <w:szCs w:val="24"/>
          <w:lang w:eastAsia="de-DE"/>
        </w:rPr>
        <w:t>. The use of public information for statistical purposes beyond mandatory statistical reporting</w:t>
      </w:r>
      <w:r>
        <w:rPr>
          <w:rFonts w:eastAsia="Times New Roman"/>
          <w:color w:val="000000"/>
          <w:sz w:val="24"/>
          <w:szCs w:val="24"/>
          <w:lang w:eastAsia="de-DE"/>
        </w:rPr>
        <w:t xml:space="preserve"> is</w:t>
      </w:r>
      <w:r w:rsidRPr="00724A3A">
        <w:rPr>
          <w:rFonts w:eastAsia="Times New Roman"/>
          <w:color w:val="000000"/>
          <w:sz w:val="24"/>
          <w:szCs w:val="24"/>
          <w:lang w:eastAsia="de-DE"/>
        </w:rPr>
        <w:t xml:space="preserve"> outlined in the European </w:t>
      </w:r>
      <w:r w:rsidR="005620CD" w:rsidRPr="00724A3A">
        <w:rPr>
          <w:rFonts w:eastAsia="Times New Roman"/>
          <w:color w:val="000000"/>
          <w:sz w:val="24"/>
          <w:szCs w:val="24"/>
          <w:lang w:eastAsia="de-DE"/>
        </w:rPr>
        <w:t>Statistic</w:t>
      </w:r>
      <w:r w:rsidR="005620CD">
        <w:rPr>
          <w:rFonts w:eastAsia="Times New Roman"/>
          <w:color w:val="000000"/>
          <w:sz w:val="24"/>
          <w:szCs w:val="24"/>
          <w:lang w:eastAsia="de-DE"/>
        </w:rPr>
        <w:t>s</w:t>
      </w:r>
      <w:r w:rsidR="005620CD" w:rsidRPr="00724A3A">
        <w:rPr>
          <w:rFonts w:eastAsia="Times New Roman"/>
          <w:color w:val="000000"/>
          <w:sz w:val="24"/>
          <w:szCs w:val="24"/>
          <w:lang w:eastAsia="de-DE"/>
        </w:rPr>
        <w:t xml:space="preserve"> </w:t>
      </w:r>
      <w:r w:rsidRPr="00724A3A">
        <w:rPr>
          <w:rFonts w:eastAsia="Times New Roman"/>
          <w:color w:val="000000"/>
          <w:sz w:val="24"/>
          <w:szCs w:val="24"/>
          <w:lang w:eastAsia="de-DE"/>
        </w:rPr>
        <w:t>Code of Practice</w:t>
      </w:r>
      <w:r w:rsidR="005620CD">
        <w:rPr>
          <w:rFonts w:eastAsia="Times New Roman"/>
          <w:color w:val="000000"/>
          <w:sz w:val="24"/>
          <w:szCs w:val="24"/>
          <w:lang w:eastAsia="de-DE"/>
        </w:rPr>
        <w:t xml:space="preserve"> of the European Statistical System </w:t>
      </w:r>
      <w:r w:rsidR="007D431F">
        <w:rPr>
          <w:rFonts w:eastAsia="Times New Roman"/>
          <w:color w:val="000000"/>
          <w:sz w:val="24"/>
          <w:szCs w:val="24"/>
          <w:lang w:eastAsia="de-DE"/>
        </w:rPr>
        <w:t xml:space="preserve">(ESS) </w:t>
      </w:r>
      <w:r w:rsidR="001461AC">
        <w:rPr>
          <w:rFonts w:eastAsia="Times New Roman"/>
          <w:color w:val="000000"/>
          <w:sz w:val="24"/>
          <w:szCs w:val="24"/>
          <w:lang w:eastAsia="de-DE"/>
        </w:rPr>
        <w:t xml:space="preserve">and the Public Commitment on European Statistics by the </w:t>
      </w:r>
      <w:r w:rsidR="00CF7D17" w:rsidRPr="00724A3A">
        <w:rPr>
          <w:rFonts w:eastAsia="Times New Roman"/>
          <w:color w:val="000000"/>
          <w:sz w:val="24"/>
          <w:szCs w:val="24"/>
          <w:lang w:eastAsia="de-DE"/>
        </w:rPr>
        <w:t>European System of Central Banks</w:t>
      </w:r>
      <w:r w:rsidR="00CF7D17">
        <w:rPr>
          <w:rFonts w:eastAsia="Times New Roman"/>
          <w:color w:val="000000"/>
          <w:sz w:val="24"/>
          <w:szCs w:val="24"/>
          <w:lang w:eastAsia="de-DE"/>
        </w:rPr>
        <w:t xml:space="preserve"> (ESCB), which both built the </w:t>
      </w:r>
      <w:r w:rsidR="005620CD" w:rsidRPr="005620CD">
        <w:rPr>
          <w:rFonts w:eastAsia="Times New Roman"/>
          <w:color w:val="000000"/>
          <w:sz w:val="24"/>
          <w:szCs w:val="24"/>
          <w:lang w:eastAsia="de-DE"/>
        </w:rPr>
        <w:t>cornerstone</w:t>
      </w:r>
      <w:r w:rsidR="00CF7D17">
        <w:rPr>
          <w:rFonts w:eastAsia="Times New Roman"/>
          <w:color w:val="000000"/>
          <w:sz w:val="24"/>
          <w:szCs w:val="24"/>
          <w:lang w:eastAsia="de-DE"/>
        </w:rPr>
        <w:t>s</w:t>
      </w:r>
      <w:r w:rsidR="005620CD" w:rsidRPr="005620CD">
        <w:rPr>
          <w:rFonts w:eastAsia="Times New Roman"/>
          <w:color w:val="000000"/>
          <w:sz w:val="24"/>
          <w:szCs w:val="24"/>
          <w:lang w:eastAsia="de-DE"/>
        </w:rPr>
        <w:t xml:space="preserve"> of the quality framework </w:t>
      </w:r>
      <w:r w:rsidR="005620CD">
        <w:rPr>
          <w:rFonts w:eastAsia="Times New Roman"/>
          <w:color w:val="000000"/>
          <w:sz w:val="24"/>
          <w:szCs w:val="24"/>
          <w:lang w:eastAsia="de-DE"/>
        </w:rPr>
        <w:t xml:space="preserve">of </w:t>
      </w:r>
      <w:r w:rsidR="005620CD" w:rsidRPr="005620CD">
        <w:rPr>
          <w:rFonts w:eastAsia="Times New Roman"/>
          <w:color w:val="000000"/>
          <w:sz w:val="24"/>
          <w:szCs w:val="24"/>
          <w:lang w:eastAsia="de-DE"/>
        </w:rPr>
        <w:t>European statistics.</w:t>
      </w:r>
      <w:r w:rsidR="005620CD">
        <w:rPr>
          <w:rFonts w:eastAsia="Times New Roman"/>
          <w:color w:val="000000"/>
          <w:sz w:val="24"/>
          <w:szCs w:val="24"/>
          <w:lang w:eastAsia="de-DE"/>
        </w:rPr>
        <w:t xml:space="preserve"> The answers of the following questions were prepared by a group within </w:t>
      </w:r>
      <w:r w:rsidR="001461AC">
        <w:rPr>
          <w:rFonts w:eastAsia="Times New Roman"/>
          <w:color w:val="000000"/>
          <w:sz w:val="24"/>
          <w:szCs w:val="24"/>
          <w:lang w:eastAsia="de-DE"/>
        </w:rPr>
        <w:t xml:space="preserve">a </w:t>
      </w:r>
      <w:r w:rsidR="005620CD">
        <w:rPr>
          <w:rFonts w:eastAsia="Times New Roman"/>
          <w:color w:val="000000"/>
          <w:sz w:val="24"/>
          <w:szCs w:val="24"/>
          <w:lang w:eastAsia="de-DE"/>
        </w:rPr>
        <w:t xml:space="preserve">Task Force, where experts </w:t>
      </w:r>
      <w:r w:rsidR="001461AC">
        <w:rPr>
          <w:rFonts w:eastAsia="Times New Roman"/>
          <w:color w:val="000000"/>
          <w:sz w:val="24"/>
          <w:szCs w:val="24"/>
          <w:lang w:eastAsia="de-DE"/>
        </w:rPr>
        <w:t xml:space="preserve">of the ESS and the ESCB </w:t>
      </w:r>
      <w:r w:rsidR="005620CD">
        <w:rPr>
          <w:rFonts w:eastAsia="Times New Roman"/>
          <w:color w:val="000000"/>
          <w:sz w:val="24"/>
          <w:szCs w:val="24"/>
          <w:lang w:eastAsia="de-DE"/>
        </w:rPr>
        <w:t xml:space="preserve">with detailed experience in accounting, in </w:t>
      </w:r>
      <w:r w:rsidR="004C4C29">
        <w:rPr>
          <w:rFonts w:eastAsia="Times New Roman"/>
          <w:color w:val="000000"/>
          <w:sz w:val="24"/>
          <w:szCs w:val="24"/>
          <w:lang w:eastAsia="de-DE"/>
        </w:rPr>
        <w:t xml:space="preserve">the Corporate Sustainability Reporting Directive (CSRD) and </w:t>
      </w:r>
      <w:r w:rsidR="007D431F">
        <w:rPr>
          <w:rFonts w:eastAsia="Times New Roman"/>
          <w:color w:val="000000"/>
          <w:sz w:val="24"/>
          <w:szCs w:val="24"/>
          <w:lang w:eastAsia="de-DE"/>
        </w:rPr>
        <w:t xml:space="preserve">European Sustainability Reporting Standards (ESRSs) </w:t>
      </w:r>
      <w:r w:rsidR="005620CD">
        <w:rPr>
          <w:rFonts w:eastAsia="Times New Roman"/>
          <w:color w:val="000000"/>
          <w:sz w:val="24"/>
          <w:szCs w:val="24"/>
          <w:lang w:eastAsia="de-DE"/>
        </w:rPr>
        <w:t xml:space="preserve">as well as in extracting data from marked up </w:t>
      </w:r>
      <w:r w:rsidR="004C4C29">
        <w:rPr>
          <w:rFonts w:eastAsia="Times New Roman"/>
          <w:color w:val="000000"/>
          <w:sz w:val="24"/>
          <w:szCs w:val="24"/>
          <w:lang w:eastAsia="de-DE"/>
        </w:rPr>
        <w:t xml:space="preserve">financial statements </w:t>
      </w:r>
      <w:r w:rsidR="005620CD">
        <w:rPr>
          <w:rFonts w:eastAsia="Times New Roman"/>
          <w:color w:val="000000"/>
          <w:sz w:val="24"/>
          <w:szCs w:val="24"/>
          <w:lang w:eastAsia="de-DE"/>
        </w:rPr>
        <w:t>came together.</w:t>
      </w:r>
    </w:p>
    <w:p w14:paraId="4DB2771B" w14:textId="3E4F39F6" w:rsidR="00724A3A" w:rsidRPr="00724A3A" w:rsidRDefault="00FB3E0D" w:rsidP="00FB3E0D">
      <w:pPr>
        <w:spacing w:before="100" w:beforeAutospacing="1" w:after="100" w:afterAutospacing="1" w:line="240" w:lineRule="auto"/>
        <w:rPr>
          <w:rFonts w:eastAsia="Times New Roman"/>
          <w:color w:val="000000"/>
          <w:sz w:val="24"/>
          <w:szCs w:val="24"/>
          <w:lang w:eastAsia="de-DE"/>
        </w:rPr>
      </w:pPr>
      <w:r>
        <w:rPr>
          <w:rFonts w:eastAsia="Times New Roman"/>
          <w:color w:val="000000"/>
          <w:sz w:val="24"/>
          <w:szCs w:val="24"/>
          <w:lang w:eastAsia="de-DE"/>
        </w:rPr>
        <w:t>Th</w:t>
      </w:r>
      <w:r w:rsidR="005620CD">
        <w:rPr>
          <w:rFonts w:eastAsia="Times New Roman"/>
          <w:color w:val="000000"/>
          <w:sz w:val="24"/>
          <w:szCs w:val="24"/>
          <w:lang w:eastAsia="de-DE"/>
        </w:rPr>
        <w:t>e European Statistics</w:t>
      </w:r>
      <w:r>
        <w:rPr>
          <w:rFonts w:eastAsia="Times New Roman"/>
          <w:color w:val="000000"/>
          <w:sz w:val="24"/>
          <w:szCs w:val="24"/>
          <w:lang w:eastAsia="de-DE"/>
        </w:rPr>
        <w:t xml:space="preserve"> </w:t>
      </w:r>
      <w:r w:rsidR="00724A3A" w:rsidRPr="00724A3A">
        <w:rPr>
          <w:rFonts w:eastAsia="Times New Roman"/>
          <w:color w:val="000000"/>
          <w:sz w:val="24"/>
          <w:szCs w:val="24"/>
          <w:lang w:eastAsia="de-DE"/>
        </w:rPr>
        <w:t xml:space="preserve">Code of Practice encompasses several principles </w:t>
      </w:r>
      <w:r w:rsidR="00724A3A">
        <w:rPr>
          <w:rFonts w:eastAsia="Times New Roman"/>
          <w:color w:val="000000"/>
          <w:sz w:val="24"/>
          <w:szCs w:val="24"/>
          <w:lang w:eastAsia="de-DE"/>
        </w:rPr>
        <w:t xml:space="preserve">on which </w:t>
      </w:r>
      <w:r w:rsidR="00FE0CFB">
        <w:rPr>
          <w:rFonts w:eastAsia="Times New Roman"/>
          <w:color w:val="000000"/>
          <w:sz w:val="24"/>
          <w:szCs w:val="24"/>
          <w:lang w:eastAsia="de-DE"/>
        </w:rPr>
        <w:t xml:space="preserve">this </w:t>
      </w:r>
      <w:r w:rsidR="00724A3A" w:rsidRPr="00724A3A">
        <w:rPr>
          <w:rFonts w:eastAsia="Times New Roman"/>
          <w:color w:val="000000"/>
          <w:sz w:val="24"/>
          <w:szCs w:val="24"/>
          <w:lang w:eastAsia="de-DE"/>
        </w:rPr>
        <w:t xml:space="preserve">consultation response </w:t>
      </w:r>
      <w:r w:rsidR="00724A3A">
        <w:rPr>
          <w:rFonts w:eastAsia="Times New Roman"/>
          <w:color w:val="000000"/>
          <w:sz w:val="24"/>
          <w:szCs w:val="24"/>
          <w:lang w:eastAsia="de-DE"/>
        </w:rPr>
        <w:t xml:space="preserve">builds </w:t>
      </w:r>
      <w:r w:rsidR="00724A3A" w:rsidRPr="00724A3A">
        <w:rPr>
          <w:rFonts w:eastAsia="Times New Roman"/>
          <w:color w:val="000000"/>
          <w:sz w:val="24"/>
          <w:szCs w:val="24"/>
          <w:lang w:eastAsia="de-DE"/>
        </w:rPr>
        <w:t xml:space="preserve">on. </w:t>
      </w:r>
      <w:r w:rsidR="00724A3A">
        <w:rPr>
          <w:rFonts w:eastAsia="Times New Roman"/>
          <w:color w:val="000000"/>
          <w:sz w:val="24"/>
          <w:szCs w:val="24"/>
          <w:lang w:eastAsia="de-DE"/>
        </w:rPr>
        <w:t>Particularly</w:t>
      </w:r>
      <w:r w:rsidR="00724A3A" w:rsidRPr="00724A3A">
        <w:rPr>
          <w:rFonts w:eastAsia="Times New Roman"/>
          <w:color w:val="000000"/>
          <w:sz w:val="24"/>
          <w:szCs w:val="24"/>
          <w:lang w:eastAsia="de-DE"/>
        </w:rPr>
        <w:t>, Principle 2.4</w:t>
      </w:r>
      <w:r w:rsidR="00724A3A">
        <w:rPr>
          <w:rFonts w:eastAsia="Times New Roman"/>
          <w:color w:val="000000"/>
          <w:sz w:val="24"/>
          <w:szCs w:val="24"/>
          <w:lang w:eastAsia="de-DE"/>
        </w:rPr>
        <w:t xml:space="preserve"> indicates </w:t>
      </w:r>
      <w:r w:rsidR="00383792">
        <w:rPr>
          <w:rFonts w:eastAsia="Times New Roman"/>
          <w:color w:val="000000"/>
          <w:sz w:val="24"/>
          <w:szCs w:val="24"/>
          <w:lang w:eastAsia="de-DE"/>
        </w:rPr>
        <w:t xml:space="preserve">in the Mandate for Data collection the use of </w:t>
      </w:r>
      <w:r w:rsidR="00724A3A">
        <w:rPr>
          <w:rFonts w:eastAsia="Times New Roman"/>
          <w:color w:val="000000"/>
          <w:sz w:val="24"/>
          <w:szCs w:val="24"/>
          <w:lang w:eastAsia="de-DE"/>
        </w:rPr>
        <w:t>“</w:t>
      </w:r>
      <w:r w:rsidR="00724A3A" w:rsidRPr="00724A3A">
        <w:rPr>
          <w:rFonts w:eastAsia="Times New Roman"/>
          <w:color w:val="000000"/>
          <w:sz w:val="24"/>
          <w:szCs w:val="24"/>
          <w:lang w:eastAsia="de-DE"/>
        </w:rPr>
        <w:t>other data sources</w:t>
      </w:r>
      <w:r w:rsidR="00724A3A">
        <w:rPr>
          <w:rFonts w:eastAsia="Times New Roman"/>
          <w:color w:val="000000"/>
          <w:sz w:val="24"/>
          <w:szCs w:val="24"/>
          <w:lang w:eastAsia="de-DE"/>
        </w:rPr>
        <w:t>” of which corporates reports are part of.</w:t>
      </w:r>
      <w:r w:rsidR="00724A3A" w:rsidRPr="00724A3A">
        <w:rPr>
          <w:rFonts w:eastAsia="Times New Roman"/>
          <w:color w:val="000000"/>
          <w:sz w:val="24"/>
          <w:szCs w:val="24"/>
          <w:lang w:eastAsia="de-DE"/>
        </w:rPr>
        <w:t xml:space="preserve"> This practice aligns with the principle of </w:t>
      </w:r>
      <w:r w:rsidR="00724A3A" w:rsidRPr="00724A3A">
        <w:rPr>
          <w:rFonts w:eastAsia="Times New Roman"/>
          <w:i/>
          <w:color w:val="000000"/>
          <w:sz w:val="24"/>
          <w:szCs w:val="24"/>
          <w:lang w:eastAsia="de-DE"/>
        </w:rPr>
        <w:t>Non-excessive Burden on Respondents</w:t>
      </w:r>
      <w:r w:rsidR="00724A3A" w:rsidRPr="00724A3A">
        <w:rPr>
          <w:rFonts w:eastAsia="Times New Roman"/>
          <w:color w:val="000000"/>
          <w:sz w:val="24"/>
          <w:szCs w:val="24"/>
          <w:lang w:eastAsia="de-DE"/>
        </w:rPr>
        <w:t xml:space="preserve"> (Principle 9.1), ensuring that companies need </w:t>
      </w:r>
      <w:r w:rsidR="00724A3A">
        <w:rPr>
          <w:rFonts w:eastAsia="Times New Roman"/>
          <w:color w:val="000000"/>
          <w:sz w:val="24"/>
          <w:szCs w:val="24"/>
          <w:lang w:eastAsia="de-DE"/>
        </w:rPr>
        <w:t>to “</w:t>
      </w:r>
      <w:r w:rsidR="00724A3A" w:rsidRPr="00724A3A">
        <w:rPr>
          <w:rFonts w:eastAsia="Times New Roman"/>
          <w:color w:val="000000"/>
          <w:sz w:val="24"/>
          <w:szCs w:val="24"/>
          <w:lang w:eastAsia="de-DE"/>
        </w:rPr>
        <w:t xml:space="preserve">report </w:t>
      </w:r>
      <w:r w:rsidR="00724A3A">
        <w:rPr>
          <w:rFonts w:eastAsia="Times New Roman"/>
          <w:color w:val="000000"/>
          <w:sz w:val="24"/>
          <w:szCs w:val="24"/>
          <w:lang w:eastAsia="de-DE"/>
        </w:rPr>
        <w:t xml:space="preserve">only </w:t>
      </w:r>
      <w:r w:rsidR="00724A3A" w:rsidRPr="00724A3A">
        <w:rPr>
          <w:rFonts w:eastAsia="Times New Roman"/>
          <w:color w:val="000000"/>
          <w:sz w:val="24"/>
          <w:szCs w:val="24"/>
          <w:lang w:eastAsia="de-DE"/>
        </w:rPr>
        <w:t>once</w:t>
      </w:r>
      <w:r w:rsidR="00724A3A">
        <w:rPr>
          <w:rFonts w:eastAsia="Times New Roman"/>
          <w:color w:val="000000"/>
          <w:sz w:val="24"/>
          <w:szCs w:val="24"/>
          <w:lang w:eastAsia="de-DE"/>
        </w:rPr>
        <w:t>”</w:t>
      </w:r>
      <w:r w:rsidR="00724A3A" w:rsidRPr="00724A3A">
        <w:rPr>
          <w:rFonts w:eastAsia="Times New Roman"/>
          <w:color w:val="000000"/>
          <w:sz w:val="24"/>
          <w:szCs w:val="24"/>
          <w:lang w:eastAsia="de-DE"/>
        </w:rPr>
        <w:t>, thus avoiding duplicate reporting efforts.</w:t>
      </w:r>
    </w:p>
    <w:p w14:paraId="52901B2D" w14:textId="004EB017" w:rsidR="00724A3A" w:rsidRPr="00724A3A" w:rsidRDefault="00724A3A" w:rsidP="00724A3A">
      <w:pPr>
        <w:spacing w:before="100" w:beforeAutospacing="1" w:after="100" w:afterAutospacing="1" w:line="240" w:lineRule="auto"/>
        <w:jc w:val="left"/>
        <w:rPr>
          <w:rFonts w:eastAsia="Times New Roman"/>
          <w:color w:val="000000"/>
          <w:sz w:val="24"/>
          <w:szCs w:val="24"/>
          <w:lang w:eastAsia="de-DE"/>
        </w:rPr>
      </w:pPr>
      <w:r w:rsidRPr="00724A3A">
        <w:rPr>
          <w:rFonts w:eastAsia="Times New Roman"/>
          <w:color w:val="000000"/>
          <w:sz w:val="24"/>
          <w:szCs w:val="24"/>
          <w:lang w:eastAsia="de-DE"/>
        </w:rPr>
        <w:t xml:space="preserve">Additionally, when using corporate reports, </w:t>
      </w:r>
      <w:r>
        <w:rPr>
          <w:rFonts w:eastAsia="Times New Roman"/>
          <w:color w:val="000000"/>
          <w:sz w:val="24"/>
          <w:szCs w:val="24"/>
          <w:lang w:eastAsia="de-DE"/>
        </w:rPr>
        <w:t xml:space="preserve">the </w:t>
      </w:r>
      <w:r w:rsidRPr="00724A3A">
        <w:rPr>
          <w:rFonts w:eastAsia="Times New Roman"/>
          <w:color w:val="000000"/>
          <w:sz w:val="24"/>
          <w:szCs w:val="24"/>
          <w:lang w:eastAsia="de-DE"/>
        </w:rPr>
        <w:t>principle Accuracy and Reliability (Principle 12)</w:t>
      </w:r>
      <w:r w:rsidR="00383792">
        <w:rPr>
          <w:rFonts w:eastAsia="Times New Roman"/>
          <w:color w:val="000000"/>
          <w:sz w:val="24"/>
          <w:szCs w:val="24"/>
          <w:lang w:eastAsia="de-DE"/>
        </w:rPr>
        <w:t xml:space="preserve"> is fulfilled</w:t>
      </w:r>
      <w:r w:rsidRPr="00724A3A">
        <w:rPr>
          <w:rFonts w:eastAsia="Times New Roman"/>
          <w:color w:val="000000"/>
          <w:sz w:val="24"/>
          <w:szCs w:val="24"/>
          <w:lang w:eastAsia="de-DE"/>
        </w:rPr>
        <w:t xml:space="preserve">, </w:t>
      </w:r>
      <w:r w:rsidR="00383792">
        <w:rPr>
          <w:rFonts w:eastAsia="Times New Roman"/>
          <w:color w:val="000000"/>
          <w:sz w:val="24"/>
          <w:szCs w:val="24"/>
          <w:lang w:eastAsia="de-DE"/>
        </w:rPr>
        <w:t xml:space="preserve">as </w:t>
      </w:r>
      <w:r w:rsidR="00383792" w:rsidRPr="00724A3A">
        <w:rPr>
          <w:rFonts w:eastAsia="Times New Roman"/>
          <w:color w:val="000000"/>
          <w:sz w:val="24"/>
          <w:szCs w:val="24"/>
          <w:lang w:eastAsia="de-DE"/>
        </w:rPr>
        <w:t xml:space="preserve">corporate financial statements </w:t>
      </w:r>
      <w:r w:rsidR="00383792">
        <w:rPr>
          <w:rFonts w:eastAsia="Times New Roman"/>
          <w:color w:val="000000"/>
          <w:sz w:val="24"/>
          <w:szCs w:val="24"/>
          <w:lang w:eastAsia="de-DE"/>
        </w:rPr>
        <w:t xml:space="preserve">go </w:t>
      </w:r>
      <w:r w:rsidRPr="00724A3A">
        <w:rPr>
          <w:rFonts w:eastAsia="Times New Roman"/>
          <w:color w:val="000000"/>
          <w:sz w:val="24"/>
          <w:szCs w:val="24"/>
          <w:lang w:eastAsia="de-DE"/>
        </w:rPr>
        <w:t xml:space="preserve">typically through external audits </w:t>
      </w:r>
      <w:r w:rsidR="00383792">
        <w:rPr>
          <w:rFonts w:eastAsia="Times New Roman"/>
          <w:color w:val="000000"/>
          <w:sz w:val="24"/>
          <w:szCs w:val="24"/>
          <w:lang w:eastAsia="de-DE"/>
        </w:rPr>
        <w:t>and are therefore of high quality</w:t>
      </w:r>
      <w:r w:rsidRPr="00724A3A">
        <w:rPr>
          <w:rFonts w:eastAsia="Times New Roman"/>
          <w:color w:val="000000"/>
          <w:sz w:val="24"/>
          <w:szCs w:val="24"/>
          <w:lang w:eastAsia="de-DE"/>
        </w:rPr>
        <w:t xml:space="preserve">. Timeliness and Punctuality (Principle 13) </w:t>
      </w:r>
      <w:r w:rsidR="00383792">
        <w:rPr>
          <w:rFonts w:eastAsia="Times New Roman"/>
          <w:color w:val="000000"/>
          <w:sz w:val="24"/>
          <w:szCs w:val="24"/>
          <w:lang w:eastAsia="de-DE"/>
        </w:rPr>
        <w:t>usually is addressed by corporate reports</w:t>
      </w:r>
      <w:r w:rsidR="00FB3E0D">
        <w:rPr>
          <w:rFonts w:eastAsia="Times New Roman"/>
          <w:color w:val="000000"/>
          <w:sz w:val="24"/>
          <w:szCs w:val="24"/>
          <w:lang w:eastAsia="de-DE"/>
        </w:rPr>
        <w:t xml:space="preserve">. Timeliness becomes important </w:t>
      </w:r>
      <w:r w:rsidR="00383792">
        <w:rPr>
          <w:rFonts w:eastAsia="Times New Roman"/>
          <w:color w:val="000000"/>
          <w:sz w:val="24"/>
          <w:szCs w:val="24"/>
          <w:lang w:eastAsia="de-DE"/>
        </w:rPr>
        <w:t xml:space="preserve">when </w:t>
      </w:r>
      <w:r w:rsidR="00FB3E0D">
        <w:rPr>
          <w:rFonts w:eastAsia="Times New Roman"/>
          <w:color w:val="000000"/>
          <w:sz w:val="24"/>
          <w:szCs w:val="24"/>
          <w:lang w:eastAsia="de-DE"/>
        </w:rPr>
        <w:t xml:space="preserve">e.g. </w:t>
      </w:r>
      <w:r w:rsidRPr="00724A3A">
        <w:rPr>
          <w:rFonts w:eastAsia="Times New Roman"/>
          <w:color w:val="000000"/>
          <w:sz w:val="24"/>
          <w:szCs w:val="24"/>
          <w:lang w:eastAsia="de-DE"/>
        </w:rPr>
        <w:t xml:space="preserve">profitability aggregates </w:t>
      </w:r>
      <w:r w:rsidR="00FB3E0D">
        <w:rPr>
          <w:rFonts w:eastAsia="Times New Roman"/>
          <w:color w:val="000000"/>
          <w:sz w:val="24"/>
          <w:szCs w:val="24"/>
          <w:lang w:eastAsia="de-DE"/>
        </w:rPr>
        <w:t xml:space="preserve">based on </w:t>
      </w:r>
      <w:r w:rsidRPr="00724A3A">
        <w:rPr>
          <w:rFonts w:eastAsia="Times New Roman"/>
          <w:color w:val="000000"/>
          <w:sz w:val="24"/>
          <w:szCs w:val="24"/>
          <w:lang w:eastAsia="de-DE"/>
        </w:rPr>
        <w:t xml:space="preserve">income statement data </w:t>
      </w:r>
      <w:r w:rsidR="00FB3E0D">
        <w:rPr>
          <w:rFonts w:eastAsia="Times New Roman"/>
          <w:color w:val="000000"/>
          <w:sz w:val="24"/>
          <w:szCs w:val="24"/>
          <w:lang w:eastAsia="de-DE"/>
        </w:rPr>
        <w:t xml:space="preserve">enter </w:t>
      </w:r>
      <w:r w:rsidR="00383792">
        <w:rPr>
          <w:rFonts w:eastAsia="Times New Roman"/>
          <w:color w:val="000000"/>
          <w:sz w:val="24"/>
          <w:szCs w:val="24"/>
          <w:lang w:eastAsia="de-DE"/>
        </w:rPr>
        <w:t xml:space="preserve">specific parts of </w:t>
      </w:r>
      <w:r w:rsidRPr="00724A3A">
        <w:rPr>
          <w:rFonts w:eastAsia="Times New Roman"/>
          <w:color w:val="000000"/>
          <w:sz w:val="24"/>
          <w:szCs w:val="24"/>
          <w:lang w:eastAsia="de-DE"/>
        </w:rPr>
        <w:t xml:space="preserve">national accounts. Coherence and Comparability (Principle 14) </w:t>
      </w:r>
      <w:r w:rsidR="00383792">
        <w:rPr>
          <w:rFonts w:eastAsia="Times New Roman"/>
          <w:color w:val="000000"/>
          <w:sz w:val="24"/>
          <w:szCs w:val="24"/>
          <w:lang w:eastAsia="de-DE"/>
        </w:rPr>
        <w:t xml:space="preserve">is usually also given by corporate reports, when required </w:t>
      </w:r>
      <w:r w:rsidRPr="00724A3A">
        <w:rPr>
          <w:rFonts w:eastAsia="Times New Roman"/>
          <w:color w:val="000000"/>
          <w:sz w:val="24"/>
          <w:szCs w:val="24"/>
          <w:lang w:eastAsia="de-DE"/>
        </w:rPr>
        <w:t xml:space="preserve">data that </w:t>
      </w:r>
      <w:r w:rsidR="00383792">
        <w:rPr>
          <w:rFonts w:eastAsia="Times New Roman"/>
          <w:color w:val="000000"/>
          <w:sz w:val="24"/>
          <w:szCs w:val="24"/>
          <w:lang w:eastAsia="de-DE"/>
        </w:rPr>
        <w:t xml:space="preserve">needs to be </w:t>
      </w:r>
      <w:r w:rsidRPr="00724A3A">
        <w:rPr>
          <w:rFonts w:eastAsia="Times New Roman"/>
          <w:color w:val="000000"/>
          <w:sz w:val="24"/>
          <w:szCs w:val="24"/>
          <w:lang w:eastAsia="de-DE"/>
        </w:rPr>
        <w:t>consistent across different companies but also stable over time.</w:t>
      </w:r>
    </w:p>
    <w:p w14:paraId="26F71930" w14:textId="1C08A47F" w:rsidR="00067EED" w:rsidRDefault="00067EED" w:rsidP="00724A3A">
      <w:pPr>
        <w:spacing w:before="100" w:beforeAutospacing="1" w:after="100" w:afterAutospacing="1" w:line="240" w:lineRule="auto"/>
        <w:jc w:val="left"/>
        <w:rPr>
          <w:rFonts w:eastAsia="Times New Roman"/>
          <w:color w:val="000000"/>
          <w:sz w:val="24"/>
          <w:szCs w:val="24"/>
          <w:lang w:eastAsia="de-DE"/>
        </w:rPr>
      </w:pPr>
      <w:r>
        <w:rPr>
          <w:rFonts w:eastAsia="Times New Roman"/>
          <w:color w:val="000000"/>
          <w:sz w:val="24"/>
          <w:szCs w:val="24"/>
          <w:lang w:eastAsia="de-DE"/>
        </w:rPr>
        <w:t xml:space="preserve">Sustainability reporting </w:t>
      </w:r>
      <w:r w:rsidR="00AB0E0D">
        <w:rPr>
          <w:rFonts w:eastAsia="Times New Roman"/>
          <w:color w:val="000000"/>
          <w:sz w:val="24"/>
          <w:szCs w:val="24"/>
          <w:lang w:eastAsia="de-DE"/>
        </w:rPr>
        <w:t>a</w:t>
      </w:r>
      <w:r>
        <w:rPr>
          <w:rFonts w:eastAsia="Times New Roman"/>
          <w:color w:val="000000"/>
          <w:sz w:val="24"/>
          <w:szCs w:val="24"/>
          <w:lang w:eastAsia="de-DE"/>
        </w:rPr>
        <w:t>ffects the ESS and the ESCB in different ways:</w:t>
      </w:r>
    </w:p>
    <w:p w14:paraId="63910889" w14:textId="7F3B74A7" w:rsidR="00FB3E0D" w:rsidRPr="00777E4B" w:rsidRDefault="00FB3E0D" w:rsidP="00C27B87">
      <w:pPr>
        <w:pStyle w:val="Listenabsatz"/>
        <w:numPr>
          <w:ilvl w:val="0"/>
          <w:numId w:val="39"/>
        </w:numPr>
        <w:spacing w:before="100" w:beforeAutospacing="1" w:after="100" w:afterAutospacing="1" w:line="240" w:lineRule="auto"/>
        <w:jc w:val="left"/>
        <w:rPr>
          <w:rFonts w:eastAsia="Times New Roman"/>
          <w:color w:val="000000"/>
          <w:sz w:val="24"/>
          <w:szCs w:val="24"/>
          <w:lang w:eastAsia="de-DE"/>
        </w:rPr>
      </w:pPr>
      <w:r w:rsidRPr="00777E4B">
        <w:rPr>
          <w:rFonts w:eastAsia="Times New Roman"/>
          <w:color w:val="000000"/>
          <w:sz w:val="24"/>
          <w:szCs w:val="24"/>
          <w:lang w:eastAsia="de-DE"/>
        </w:rPr>
        <w:lastRenderedPageBreak/>
        <w:t>Within the ESS</w:t>
      </w:r>
      <w:r w:rsidR="00BC4F91" w:rsidRPr="00777E4B">
        <w:rPr>
          <w:rFonts w:eastAsia="Times New Roman"/>
          <w:color w:val="000000"/>
          <w:sz w:val="24"/>
          <w:szCs w:val="24"/>
          <w:lang w:eastAsia="de-DE"/>
        </w:rPr>
        <w:t>,</w:t>
      </w:r>
      <w:r w:rsidRPr="00777E4B">
        <w:rPr>
          <w:rFonts w:eastAsia="Times New Roman"/>
          <w:color w:val="000000"/>
          <w:sz w:val="24"/>
          <w:szCs w:val="24"/>
          <w:lang w:eastAsia="de-DE"/>
        </w:rPr>
        <w:t xml:space="preserve"> </w:t>
      </w:r>
      <w:r w:rsidR="00383792" w:rsidRPr="00777E4B">
        <w:rPr>
          <w:rFonts w:eastAsia="Times New Roman"/>
          <w:color w:val="000000"/>
          <w:sz w:val="24"/>
          <w:szCs w:val="24"/>
          <w:lang w:eastAsia="de-DE"/>
        </w:rPr>
        <w:t xml:space="preserve">granular </w:t>
      </w:r>
      <w:r w:rsidR="007805D1" w:rsidRPr="00777E4B">
        <w:rPr>
          <w:rFonts w:eastAsia="Times New Roman"/>
          <w:color w:val="000000"/>
          <w:sz w:val="24"/>
          <w:szCs w:val="24"/>
          <w:lang w:eastAsia="de-DE"/>
        </w:rPr>
        <w:t xml:space="preserve">data </w:t>
      </w:r>
      <w:r w:rsidR="00B64077" w:rsidRPr="00777E4B">
        <w:rPr>
          <w:rFonts w:eastAsia="Times New Roman"/>
          <w:color w:val="000000"/>
          <w:sz w:val="24"/>
          <w:szCs w:val="24"/>
          <w:lang w:eastAsia="de-DE"/>
        </w:rPr>
        <w:t xml:space="preserve">from corporate sustainability reports </w:t>
      </w:r>
      <w:r w:rsidR="007805D1" w:rsidRPr="00777E4B">
        <w:rPr>
          <w:rFonts w:eastAsia="Times New Roman"/>
          <w:color w:val="000000"/>
          <w:sz w:val="24"/>
          <w:szCs w:val="24"/>
          <w:lang w:eastAsia="de-DE"/>
        </w:rPr>
        <w:t xml:space="preserve">would support </w:t>
      </w:r>
      <w:r w:rsidR="00B64077" w:rsidRPr="00777E4B">
        <w:rPr>
          <w:rFonts w:eastAsia="Times New Roman"/>
          <w:color w:val="000000"/>
          <w:sz w:val="24"/>
          <w:szCs w:val="24"/>
          <w:lang w:eastAsia="de-DE"/>
        </w:rPr>
        <w:t xml:space="preserve">the compiling </w:t>
      </w:r>
      <w:r w:rsidR="00EC508E" w:rsidRPr="00777E4B">
        <w:rPr>
          <w:rFonts w:eastAsia="Times New Roman"/>
          <w:color w:val="000000"/>
          <w:sz w:val="24"/>
          <w:szCs w:val="24"/>
          <w:lang w:eastAsia="de-DE"/>
        </w:rPr>
        <w:t>e.g.</w:t>
      </w:r>
      <w:r w:rsidR="00383792" w:rsidRPr="00777E4B">
        <w:rPr>
          <w:rFonts w:eastAsia="Times New Roman"/>
          <w:color w:val="000000"/>
          <w:sz w:val="24"/>
          <w:szCs w:val="24"/>
          <w:lang w:eastAsia="de-DE"/>
        </w:rPr>
        <w:t xml:space="preserve"> </w:t>
      </w:r>
      <w:r w:rsidR="00B64077" w:rsidRPr="00777E4B">
        <w:rPr>
          <w:rFonts w:eastAsia="Times New Roman"/>
          <w:color w:val="000000"/>
          <w:sz w:val="24"/>
          <w:szCs w:val="24"/>
          <w:lang w:eastAsia="de-DE"/>
        </w:rPr>
        <w:t xml:space="preserve">of </w:t>
      </w:r>
      <w:r w:rsidR="00383792" w:rsidRPr="00777E4B">
        <w:rPr>
          <w:rFonts w:eastAsia="Times New Roman"/>
          <w:color w:val="000000"/>
          <w:sz w:val="24"/>
          <w:szCs w:val="24"/>
          <w:lang w:eastAsia="de-DE"/>
        </w:rPr>
        <w:t>emission statistics and other environmental statistics. Those statistics serve the public as a whole.</w:t>
      </w:r>
    </w:p>
    <w:p w14:paraId="6692BEAA" w14:textId="285E9696" w:rsidR="00FB3E0D" w:rsidRPr="00777E4B" w:rsidRDefault="00383792" w:rsidP="00C27B87">
      <w:pPr>
        <w:pStyle w:val="Listenabsatz"/>
        <w:numPr>
          <w:ilvl w:val="0"/>
          <w:numId w:val="39"/>
        </w:numPr>
        <w:spacing w:before="100" w:beforeAutospacing="1" w:after="100" w:afterAutospacing="1" w:line="240" w:lineRule="auto"/>
        <w:jc w:val="left"/>
        <w:rPr>
          <w:rFonts w:eastAsia="Times New Roman"/>
          <w:color w:val="000000"/>
          <w:sz w:val="24"/>
          <w:szCs w:val="24"/>
          <w:lang w:eastAsia="de-DE"/>
        </w:rPr>
      </w:pPr>
      <w:r w:rsidRPr="00777E4B">
        <w:rPr>
          <w:rFonts w:eastAsia="Times New Roman"/>
          <w:color w:val="000000"/>
          <w:sz w:val="24"/>
          <w:szCs w:val="24"/>
          <w:lang w:eastAsia="de-DE"/>
        </w:rPr>
        <w:t xml:space="preserve">Within the </w:t>
      </w:r>
      <w:r w:rsidR="00EC508E" w:rsidRPr="00777E4B">
        <w:rPr>
          <w:rFonts w:eastAsia="Times New Roman"/>
          <w:color w:val="000000"/>
          <w:sz w:val="24"/>
          <w:szCs w:val="24"/>
          <w:lang w:eastAsia="de-DE"/>
        </w:rPr>
        <w:t>ESCB,</w:t>
      </w:r>
      <w:r w:rsidRPr="00777E4B">
        <w:rPr>
          <w:rFonts w:eastAsia="Times New Roman"/>
          <w:color w:val="000000"/>
          <w:sz w:val="24"/>
          <w:szCs w:val="24"/>
          <w:lang w:eastAsia="de-DE"/>
        </w:rPr>
        <w:t xml:space="preserve"> corporate sustainable data </w:t>
      </w:r>
      <w:r w:rsidR="007805D1" w:rsidRPr="00777E4B">
        <w:rPr>
          <w:rFonts w:eastAsia="Times New Roman"/>
          <w:color w:val="000000"/>
          <w:sz w:val="24"/>
          <w:szCs w:val="24"/>
          <w:lang w:eastAsia="de-DE"/>
        </w:rPr>
        <w:t xml:space="preserve">is used </w:t>
      </w:r>
      <w:r w:rsidRPr="00777E4B">
        <w:rPr>
          <w:rFonts w:eastAsia="Times New Roman"/>
          <w:color w:val="000000"/>
          <w:sz w:val="24"/>
          <w:szCs w:val="24"/>
          <w:lang w:eastAsia="de-DE"/>
        </w:rPr>
        <w:t xml:space="preserve">in climate change indicators in monetary policy </w:t>
      </w:r>
      <w:r w:rsidR="005D54BB" w:rsidRPr="00777E4B">
        <w:rPr>
          <w:rFonts w:eastAsia="Times New Roman"/>
          <w:color w:val="000000"/>
          <w:sz w:val="24"/>
          <w:szCs w:val="24"/>
          <w:lang w:eastAsia="de-DE"/>
        </w:rPr>
        <w:t xml:space="preserve">and financial stability </w:t>
      </w:r>
      <w:r w:rsidRPr="00777E4B">
        <w:rPr>
          <w:rFonts w:eastAsia="Times New Roman"/>
          <w:color w:val="000000"/>
          <w:sz w:val="24"/>
          <w:szCs w:val="24"/>
          <w:lang w:eastAsia="de-DE"/>
        </w:rPr>
        <w:t xml:space="preserve">within their </w:t>
      </w:r>
      <w:r w:rsidR="005D54BB" w:rsidRPr="00777E4B">
        <w:rPr>
          <w:rFonts w:eastAsia="Times New Roman"/>
          <w:color w:val="000000"/>
          <w:sz w:val="24"/>
          <w:szCs w:val="24"/>
          <w:lang w:eastAsia="de-DE"/>
        </w:rPr>
        <w:t xml:space="preserve">primary </w:t>
      </w:r>
      <w:r w:rsidRPr="00777E4B">
        <w:rPr>
          <w:rFonts w:eastAsia="Times New Roman"/>
          <w:color w:val="000000"/>
          <w:sz w:val="24"/>
          <w:szCs w:val="24"/>
          <w:lang w:eastAsia="de-DE"/>
        </w:rPr>
        <w:t>mandate of price stability</w:t>
      </w:r>
      <w:r w:rsidR="005D54BB" w:rsidRPr="00777E4B">
        <w:rPr>
          <w:rFonts w:eastAsia="Times New Roman"/>
          <w:color w:val="000000"/>
          <w:sz w:val="24"/>
          <w:szCs w:val="24"/>
          <w:lang w:eastAsia="de-DE"/>
        </w:rPr>
        <w:t>, as well as its secondary mandate of supporting the general economic policies in the European Union</w:t>
      </w:r>
      <w:r w:rsidRPr="00777E4B">
        <w:rPr>
          <w:rFonts w:eastAsia="Times New Roman"/>
          <w:color w:val="000000"/>
          <w:sz w:val="24"/>
          <w:szCs w:val="24"/>
          <w:lang w:eastAsia="de-DE"/>
        </w:rPr>
        <w:t xml:space="preserve">. Climate change imposes stability risks mainly through two channels: physical risks related to extreme weather events that can destroy assets and infrastructure, and transition risks arising from increased investment needs </w:t>
      </w:r>
      <w:r w:rsidR="00887ACA" w:rsidRPr="00777E4B">
        <w:rPr>
          <w:rFonts w:eastAsia="Times New Roman"/>
          <w:color w:val="000000"/>
          <w:sz w:val="24"/>
          <w:szCs w:val="24"/>
          <w:lang w:eastAsia="de-DE"/>
        </w:rPr>
        <w:t xml:space="preserve">on the path </w:t>
      </w:r>
      <w:r w:rsidRPr="00777E4B">
        <w:rPr>
          <w:rFonts w:eastAsia="Times New Roman"/>
          <w:color w:val="000000"/>
          <w:sz w:val="24"/>
          <w:szCs w:val="24"/>
          <w:lang w:eastAsia="de-DE"/>
        </w:rPr>
        <w:t xml:space="preserve">to </w:t>
      </w:r>
      <w:r w:rsidR="00DF23DB" w:rsidRPr="00777E4B">
        <w:rPr>
          <w:rFonts w:eastAsia="Times New Roman"/>
          <w:color w:val="000000"/>
          <w:sz w:val="24"/>
          <w:szCs w:val="24"/>
          <w:lang w:eastAsia="de-DE"/>
        </w:rPr>
        <w:t>dec</w:t>
      </w:r>
      <w:r w:rsidR="00CC6F2A" w:rsidRPr="00777E4B">
        <w:rPr>
          <w:rFonts w:eastAsia="Times New Roman"/>
          <w:color w:val="000000"/>
          <w:sz w:val="24"/>
          <w:szCs w:val="24"/>
          <w:lang w:eastAsia="de-DE"/>
        </w:rPr>
        <w:t>a</w:t>
      </w:r>
      <w:r w:rsidR="00DF23DB" w:rsidRPr="00777E4B">
        <w:rPr>
          <w:rFonts w:eastAsia="Times New Roman"/>
          <w:color w:val="000000"/>
          <w:sz w:val="24"/>
          <w:szCs w:val="24"/>
          <w:lang w:eastAsia="de-DE"/>
        </w:rPr>
        <w:t>rb</w:t>
      </w:r>
      <w:r w:rsidR="00CC6F2A" w:rsidRPr="00777E4B">
        <w:rPr>
          <w:rFonts w:eastAsia="Times New Roman"/>
          <w:color w:val="000000"/>
          <w:sz w:val="24"/>
          <w:szCs w:val="24"/>
          <w:lang w:eastAsia="de-DE"/>
        </w:rPr>
        <w:t>o</w:t>
      </w:r>
      <w:r w:rsidR="00DF23DB" w:rsidRPr="00777E4B">
        <w:rPr>
          <w:rFonts w:eastAsia="Times New Roman"/>
          <w:color w:val="000000"/>
          <w:sz w:val="24"/>
          <w:szCs w:val="24"/>
          <w:lang w:eastAsia="de-DE"/>
        </w:rPr>
        <w:t>ni</w:t>
      </w:r>
      <w:r w:rsidR="00887ACA" w:rsidRPr="00777E4B">
        <w:rPr>
          <w:rFonts w:eastAsia="Times New Roman"/>
          <w:color w:val="000000"/>
          <w:sz w:val="24"/>
          <w:szCs w:val="24"/>
          <w:lang w:eastAsia="de-DE"/>
        </w:rPr>
        <w:t>s</w:t>
      </w:r>
      <w:r w:rsidR="00DF23DB" w:rsidRPr="00777E4B">
        <w:rPr>
          <w:rFonts w:eastAsia="Times New Roman"/>
          <w:color w:val="000000"/>
          <w:sz w:val="24"/>
          <w:szCs w:val="24"/>
          <w:lang w:eastAsia="de-DE"/>
        </w:rPr>
        <w:t xml:space="preserve">ation, e.g. </w:t>
      </w:r>
      <w:r w:rsidR="00887ACA" w:rsidRPr="00777E4B">
        <w:rPr>
          <w:rFonts w:eastAsia="Times New Roman"/>
          <w:color w:val="000000"/>
          <w:sz w:val="24"/>
          <w:szCs w:val="24"/>
          <w:lang w:eastAsia="de-DE"/>
        </w:rPr>
        <w:t xml:space="preserve">for </w:t>
      </w:r>
      <w:r w:rsidRPr="00777E4B">
        <w:rPr>
          <w:rFonts w:eastAsia="Times New Roman"/>
          <w:color w:val="000000"/>
          <w:sz w:val="24"/>
          <w:szCs w:val="24"/>
          <w:lang w:eastAsia="de-DE"/>
        </w:rPr>
        <w:t>production processes</w:t>
      </w:r>
      <w:r w:rsidR="00DF23DB" w:rsidRPr="00777E4B">
        <w:rPr>
          <w:rFonts w:eastAsia="Times New Roman"/>
          <w:color w:val="000000"/>
          <w:sz w:val="24"/>
          <w:szCs w:val="24"/>
          <w:lang w:eastAsia="de-DE"/>
        </w:rPr>
        <w:t xml:space="preserve"> or </w:t>
      </w:r>
      <w:r w:rsidR="00887ACA" w:rsidRPr="00777E4B">
        <w:rPr>
          <w:rFonts w:eastAsia="Times New Roman"/>
          <w:color w:val="000000"/>
          <w:sz w:val="24"/>
          <w:szCs w:val="24"/>
          <w:lang w:eastAsia="de-DE"/>
        </w:rPr>
        <w:t xml:space="preserve">to </w:t>
      </w:r>
      <w:r w:rsidR="005D54BB" w:rsidRPr="00777E4B">
        <w:rPr>
          <w:rFonts w:eastAsia="Times New Roman"/>
          <w:color w:val="000000"/>
          <w:sz w:val="24"/>
          <w:szCs w:val="24"/>
          <w:lang w:eastAsia="de-DE"/>
        </w:rPr>
        <w:t>improve building energy performance</w:t>
      </w:r>
      <w:r w:rsidRPr="00777E4B">
        <w:rPr>
          <w:rFonts w:eastAsia="Times New Roman"/>
          <w:color w:val="000000"/>
          <w:sz w:val="24"/>
          <w:szCs w:val="24"/>
          <w:lang w:eastAsia="de-DE"/>
        </w:rPr>
        <w:t xml:space="preserve">. Beyond this, there is </w:t>
      </w:r>
      <w:r w:rsidR="005D54BB" w:rsidRPr="00777E4B">
        <w:rPr>
          <w:rFonts w:eastAsia="Times New Roman"/>
          <w:color w:val="000000"/>
          <w:sz w:val="24"/>
          <w:szCs w:val="24"/>
          <w:lang w:eastAsia="de-DE"/>
        </w:rPr>
        <w:t xml:space="preserve">a </w:t>
      </w:r>
      <w:r w:rsidRPr="00777E4B">
        <w:rPr>
          <w:rFonts w:eastAsia="Times New Roman"/>
          <w:color w:val="000000"/>
          <w:sz w:val="24"/>
          <w:szCs w:val="24"/>
          <w:lang w:eastAsia="de-DE"/>
        </w:rPr>
        <w:t>biodiversity loss</w:t>
      </w:r>
      <w:r w:rsidR="00DF23DB" w:rsidRPr="00777E4B">
        <w:rPr>
          <w:rFonts w:eastAsia="Times New Roman"/>
          <w:color w:val="000000"/>
          <w:sz w:val="24"/>
          <w:szCs w:val="24"/>
          <w:lang w:eastAsia="de-DE"/>
        </w:rPr>
        <w:t>, e.g. 75% of corporate bank loans in the euro area are allocated to Non-Financial Co</w:t>
      </w:r>
      <w:r w:rsidR="00CC6F2A" w:rsidRPr="00777E4B">
        <w:rPr>
          <w:rFonts w:eastAsia="Times New Roman"/>
          <w:color w:val="000000"/>
          <w:sz w:val="24"/>
          <w:szCs w:val="24"/>
          <w:lang w:eastAsia="de-DE"/>
        </w:rPr>
        <w:t>r</w:t>
      </w:r>
      <w:r w:rsidR="00DF23DB" w:rsidRPr="00777E4B">
        <w:rPr>
          <w:rFonts w:eastAsia="Times New Roman"/>
          <w:color w:val="000000"/>
          <w:sz w:val="24"/>
          <w:szCs w:val="24"/>
          <w:lang w:eastAsia="de-DE"/>
        </w:rPr>
        <w:t>por</w:t>
      </w:r>
      <w:r w:rsidR="00887ACA" w:rsidRPr="00777E4B">
        <w:rPr>
          <w:rFonts w:eastAsia="Times New Roman"/>
          <w:color w:val="000000"/>
          <w:sz w:val="24"/>
          <w:szCs w:val="24"/>
          <w:lang w:eastAsia="de-DE"/>
        </w:rPr>
        <w:t>at</w:t>
      </w:r>
      <w:r w:rsidR="00DF23DB" w:rsidRPr="00777E4B">
        <w:rPr>
          <w:rFonts w:eastAsia="Times New Roman"/>
          <w:color w:val="000000"/>
          <w:sz w:val="24"/>
          <w:szCs w:val="24"/>
          <w:lang w:eastAsia="de-DE"/>
        </w:rPr>
        <w:t>es with high ecosystem dependencies, exposing banks to substantial nature-related financial risk</w:t>
      </w:r>
      <w:r w:rsidRPr="00777E4B">
        <w:rPr>
          <w:rFonts w:eastAsia="Times New Roman"/>
          <w:color w:val="000000"/>
          <w:sz w:val="24"/>
          <w:szCs w:val="24"/>
          <w:lang w:eastAsia="de-DE"/>
        </w:rPr>
        <w:t>. Thus climate change and nature degradation affect a central bank’s core tasks. Similar reasons apply for banking supervision</w:t>
      </w:r>
      <w:r w:rsidR="005D54BB" w:rsidRPr="00777E4B">
        <w:rPr>
          <w:rFonts w:eastAsia="Times New Roman"/>
          <w:color w:val="000000"/>
          <w:sz w:val="24"/>
          <w:szCs w:val="24"/>
          <w:lang w:eastAsia="de-DE"/>
        </w:rPr>
        <w:t xml:space="preserve"> for </w:t>
      </w:r>
      <w:r w:rsidR="00DF23DB" w:rsidRPr="00777E4B">
        <w:rPr>
          <w:rFonts w:eastAsia="Times New Roman"/>
          <w:color w:val="000000"/>
          <w:sz w:val="24"/>
          <w:szCs w:val="24"/>
          <w:lang w:eastAsia="de-DE"/>
        </w:rPr>
        <w:t xml:space="preserve">supervised </w:t>
      </w:r>
      <w:r w:rsidR="005D54BB" w:rsidRPr="00777E4B">
        <w:rPr>
          <w:rFonts w:eastAsia="Times New Roman"/>
          <w:color w:val="000000"/>
          <w:sz w:val="24"/>
          <w:szCs w:val="24"/>
          <w:lang w:eastAsia="de-DE"/>
        </w:rPr>
        <w:t>banks’ risk asse</w:t>
      </w:r>
      <w:r w:rsidR="00CC6F2A" w:rsidRPr="00777E4B">
        <w:rPr>
          <w:rFonts w:eastAsia="Times New Roman"/>
          <w:color w:val="000000"/>
          <w:sz w:val="24"/>
          <w:szCs w:val="24"/>
          <w:lang w:eastAsia="de-DE"/>
        </w:rPr>
        <w:t>ss</w:t>
      </w:r>
      <w:r w:rsidR="005D54BB" w:rsidRPr="00777E4B">
        <w:rPr>
          <w:rFonts w:eastAsia="Times New Roman"/>
          <w:color w:val="000000"/>
          <w:sz w:val="24"/>
          <w:szCs w:val="24"/>
          <w:lang w:eastAsia="de-DE"/>
        </w:rPr>
        <w:t>ments.</w:t>
      </w:r>
      <w:r w:rsidRPr="00777E4B">
        <w:rPr>
          <w:rFonts w:eastAsia="Times New Roman"/>
          <w:color w:val="000000"/>
          <w:sz w:val="24"/>
          <w:szCs w:val="24"/>
          <w:lang w:eastAsia="de-DE"/>
        </w:rPr>
        <w:t xml:space="preserve"> </w:t>
      </w:r>
    </w:p>
    <w:p w14:paraId="2BB28EC5" w14:textId="5757E09E" w:rsidR="00383792" w:rsidRPr="00724A3A" w:rsidRDefault="00067EED" w:rsidP="00724A3A">
      <w:pPr>
        <w:spacing w:before="100" w:beforeAutospacing="1" w:after="100" w:afterAutospacing="1" w:line="240" w:lineRule="auto"/>
        <w:jc w:val="left"/>
        <w:rPr>
          <w:rFonts w:eastAsia="Times New Roman"/>
          <w:color w:val="000000"/>
          <w:sz w:val="24"/>
          <w:szCs w:val="24"/>
          <w:lang w:eastAsia="de-DE"/>
        </w:rPr>
      </w:pPr>
      <w:r>
        <w:rPr>
          <w:rFonts w:eastAsia="Times New Roman"/>
          <w:color w:val="000000"/>
          <w:sz w:val="24"/>
          <w:szCs w:val="24"/>
          <w:lang w:eastAsia="de-DE"/>
        </w:rPr>
        <w:t>For both, the ESS and ESCB</w:t>
      </w:r>
      <w:r w:rsidR="00383792" w:rsidRPr="00383792">
        <w:rPr>
          <w:rFonts w:eastAsia="Times New Roman"/>
          <w:color w:val="000000"/>
          <w:sz w:val="24"/>
          <w:szCs w:val="24"/>
          <w:lang w:eastAsia="de-DE"/>
        </w:rPr>
        <w:t xml:space="preserve">, reliable and timely </w:t>
      </w:r>
      <w:r w:rsidR="00FE0CFB">
        <w:rPr>
          <w:rFonts w:eastAsia="Times New Roman"/>
          <w:color w:val="000000"/>
          <w:sz w:val="24"/>
          <w:szCs w:val="24"/>
          <w:lang w:eastAsia="de-DE"/>
        </w:rPr>
        <w:t xml:space="preserve">environment and </w:t>
      </w:r>
      <w:r w:rsidR="00383792" w:rsidRPr="00383792">
        <w:rPr>
          <w:rFonts w:eastAsia="Times New Roman"/>
          <w:color w:val="000000"/>
          <w:sz w:val="24"/>
          <w:szCs w:val="24"/>
          <w:lang w:eastAsia="de-DE"/>
        </w:rPr>
        <w:t>climate data is needed</w:t>
      </w:r>
      <w:r w:rsidR="00FE0CFB">
        <w:rPr>
          <w:rFonts w:eastAsia="Times New Roman"/>
          <w:color w:val="000000"/>
          <w:sz w:val="24"/>
          <w:szCs w:val="24"/>
          <w:lang w:eastAsia="de-DE"/>
        </w:rPr>
        <w:t xml:space="preserve"> for statistics</w:t>
      </w:r>
      <w:r w:rsidR="00383792" w:rsidRPr="00383792">
        <w:rPr>
          <w:rFonts w:eastAsia="Times New Roman"/>
          <w:color w:val="000000"/>
          <w:sz w:val="24"/>
          <w:szCs w:val="24"/>
          <w:lang w:eastAsia="de-DE"/>
        </w:rPr>
        <w:t>, financial and non-financial at both aggregated and micro level.</w:t>
      </w:r>
    </w:p>
    <w:p w14:paraId="2918E87A" w14:textId="77777777" w:rsidR="00FB3E0D" w:rsidRDefault="00FB3E0D" w:rsidP="00724A3A">
      <w:pPr>
        <w:spacing w:after="0" w:line="240" w:lineRule="auto"/>
        <w:jc w:val="left"/>
        <w:rPr>
          <w:rFonts w:eastAsia="Times New Roman"/>
          <w:color w:val="000000"/>
          <w:sz w:val="24"/>
          <w:szCs w:val="24"/>
          <w:lang w:eastAsia="de-DE"/>
        </w:rPr>
      </w:pPr>
    </w:p>
    <w:p w14:paraId="38DE8B31" w14:textId="692C54A0" w:rsidR="00724A3A" w:rsidRPr="00724A3A" w:rsidRDefault="007805D1" w:rsidP="00724A3A">
      <w:pPr>
        <w:spacing w:after="0" w:line="240" w:lineRule="auto"/>
        <w:jc w:val="left"/>
        <w:rPr>
          <w:rFonts w:eastAsia="Times New Roman"/>
          <w:color w:val="000000"/>
          <w:sz w:val="24"/>
          <w:szCs w:val="24"/>
          <w:lang w:eastAsia="de-DE"/>
        </w:rPr>
      </w:pPr>
      <w:r w:rsidRPr="007805D1">
        <w:rPr>
          <w:rFonts w:eastAsia="Times New Roman"/>
          <w:color w:val="000000"/>
          <w:sz w:val="24"/>
          <w:szCs w:val="24"/>
          <w:lang w:eastAsia="de-DE"/>
        </w:rPr>
        <w:t>Re</w:t>
      </w:r>
      <w:r>
        <w:rPr>
          <w:rFonts w:eastAsia="Times New Roman"/>
          <w:color w:val="000000"/>
          <w:sz w:val="24"/>
          <w:szCs w:val="24"/>
          <w:lang w:eastAsia="de-DE"/>
        </w:rPr>
        <w:t>p</w:t>
      </w:r>
      <w:r w:rsidRPr="007805D1">
        <w:rPr>
          <w:rFonts w:eastAsia="Times New Roman"/>
          <w:color w:val="000000"/>
          <w:sz w:val="24"/>
          <w:szCs w:val="24"/>
          <w:lang w:eastAsia="de-DE"/>
        </w:rPr>
        <w:t xml:space="preserve">orting, independent whether public or as statistical obligation, has also a cost perspective by enterprise. In this </w:t>
      </w:r>
      <w:r w:rsidR="00EC508E" w:rsidRPr="007805D1">
        <w:rPr>
          <w:rFonts w:eastAsia="Times New Roman"/>
          <w:color w:val="000000"/>
          <w:sz w:val="24"/>
          <w:szCs w:val="24"/>
          <w:lang w:eastAsia="de-DE"/>
        </w:rPr>
        <w:t>regard,</w:t>
      </w:r>
      <w:r w:rsidRPr="007805D1">
        <w:rPr>
          <w:rFonts w:eastAsia="Times New Roman"/>
          <w:color w:val="000000"/>
          <w:sz w:val="24"/>
          <w:szCs w:val="24"/>
          <w:lang w:eastAsia="de-DE"/>
        </w:rPr>
        <w:t xml:space="preserve"> reporting burden </w:t>
      </w:r>
      <w:r w:rsidR="00FB3E0D">
        <w:rPr>
          <w:rFonts w:eastAsia="Times New Roman"/>
          <w:color w:val="000000"/>
          <w:sz w:val="24"/>
          <w:szCs w:val="24"/>
          <w:lang w:eastAsia="de-DE"/>
        </w:rPr>
        <w:t xml:space="preserve">of reporters </w:t>
      </w:r>
      <w:r w:rsidRPr="007805D1">
        <w:rPr>
          <w:rFonts w:eastAsia="Times New Roman"/>
          <w:color w:val="000000"/>
          <w:sz w:val="24"/>
          <w:szCs w:val="24"/>
          <w:lang w:eastAsia="de-DE"/>
        </w:rPr>
        <w:t xml:space="preserve">should be </w:t>
      </w:r>
      <w:r w:rsidR="00294DEA">
        <w:rPr>
          <w:rFonts w:eastAsia="Times New Roman"/>
          <w:color w:val="000000"/>
          <w:sz w:val="24"/>
          <w:szCs w:val="24"/>
          <w:lang w:eastAsia="de-DE"/>
        </w:rPr>
        <w:t>taken into account</w:t>
      </w:r>
      <w:r w:rsidR="00FB3E0D">
        <w:rPr>
          <w:rFonts w:eastAsia="Times New Roman"/>
          <w:color w:val="000000"/>
          <w:sz w:val="24"/>
          <w:szCs w:val="24"/>
          <w:lang w:eastAsia="de-DE"/>
        </w:rPr>
        <w:t>. B</w:t>
      </w:r>
      <w:r w:rsidRPr="007805D1">
        <w:rPr>
          <w:rFonts w:eastAsia="Times New Roman"/>
          <w:color w:val="000000"/>
          <w:sz w:val="24"/>
          <w:szCs w:val="24"/>
          <w:lang w:eastAsia="de-DE"/>
        </w:rPr>
        <w:t xml:space="preserve">ased on </w:t>
      </w:r>
      <w:r w:rsidR="00FE0CFB">
        <w:rPr>
          <w:rFonts w:eastAsia="Times New Roman"/>
          <w:color w:val="000000"/>
          <w:sz w:val="24"/>
          <w:szCs w:val="24"/>
          <w:lang w:eastAsia="de-DE"/>
        </w:rPr>
        <w:t xml:space="preserve">statistical </w:t>
      </w:r>
      <w:r w:rsidR="00B64077">
        <w:rPr>
          <w:rFonts w:eastAsia="Times New Roman"/>
          <w:color w:val="000000"/>
          <w:sz w:val="24"/>
          <w:szCs w:val="24"/>
          <w:lang w:eastAsia="de-DE"/>
        </w:rPr>
        <w:t xml:space="preserve">reporting </w:t>
      </w:r>
      <w:r w:rsidRPr="007805D1">
        <w:rPr>
          <w:rFonts w:eastAsia="Times New Roman"/>
          <w:color w:val="000000"/>
          <w:sz w:val="24"/>
          <w:szCs w:val="24"/>
          <w:lang w:eastAsia="de-DE"/>
        </w:rPr>
        <w:t>experience</w:t>
      </w:r>
      <w:r w:rsidR="00FB3E0D">
        <w:rPr>
          <w:rFonts w:eastAsia="Times New Roman"/>
          <w:color w:val="000000"/>
          <w:sz w:val="24"/>
          <w:szCs w:val="24"/>
          <w:lang w:eastAsia="de-DE"/>
        </w:rPr>
        <w:t>,</w:t>
      </w:r>
      <w:r w:rsidRPr="007805D1">
        <w:rPr>
          <w:rFonts w:eastAsia="Times New Roman"/>
          <w:color w:val="000000"/>
          <w:sz w:val="24"/>
          <w:szCs w:val="24"/>
          <w:lang w:eastAsia="de-DE"/>
        </w:rPr>
        <w:t xml:space="preserve"> some answers imply as well considerations on </w:t>
      </w:r>
      <w:r w:rsidR="00B64077">
        <w:rPr>
          <w:rFonts w:eastAsia="Times New Roman"/>
          <w:color w:val="000000"/>
          <w:sz w:val="24"/>
          <w:szCs w:val="24"/>
          <w:lang w:eastAsia="de-DE"/>
        </w:rPr>
        <w:t xml:space="preserve">the </w:t>
      </w:r>
      <w:r w:rsidRPr="007805D1">
        <w:rPr>
          <w:rFonts w:eastAsia="Times New Roman"/>
          <w:color w:val="000000"/>
          <w:sz w:val="24"/>
          <w:szCs w:val="24"/>
          <w:lang w:eastAsia="de-DE"/>
        </w:rPr>
        <w:t xml:space="preserve">burden by companies </w:t>
      </w:r>
      <w:r w:rsidR="00B64077" w:rsidRPr="007805D1">
        <w:rPr>
          <w:rFonts w:eastAsia="Times New Roman"/>
          <w:color w:val="000000"/>
          <w:sz w:val="24"/>
          <w:szCs w:val="24"/>
          <w:lang w:eastAsia="de-DE"/>
        </w:rPr>
        <w:t xml:space="preserve">marking up </w:t>
      </w:r>
      <w:r w:rsidRPr="007805D1">
        <w:rPr>
          <w:rFonts w:eastAsia="Times New Roman"/>
          <w:color w:val="000000"/>
          <w:sz w:val="24"/>
          <w:szCs w:val="24"/>
          <w:lang w:eastAsia="de-DE"/>
        </w:rPr>
        <w:t>sustainability data</w:t>
      </w:r>
      <w:r w:rsidR="008969EC">
        <w:rPr>
          <w:rFonts w:eastAsia="Times New Roman"/>
          <w:color w:val="000000"/>
          <w:sz w:val="24"/>
          <w:szCs w:val="24"/>
          <w:lang w:eastAsia="de-DE"/>
        </w:rPr>
        <w:t xml:space="preserve"> and </w:t>
      </w:r>
      <w:r w:rsidR="00B64077">
        <w:rPr>
          <w:rFonts w:eastAsia="Times New Roman"/>
          <w:color w:val="000000"/>
          <w:sz w:val="24"/>
          <w:szCs w:val="24"/>
          <w:lang w:eastAsia="de-DE"/>
        </w:rPr>
        <w:t xml:space="preserve">whether an alleviation </w:t>
      </w:r>
      <w:r w:rsidR="00B81B52">
        <w:rPr>
          <w:rFonts w:eastAsia="Times New Roman"/>
          <w:color w:val="000000"/>
          <w:sz w:val="24"/>
          <w:szCs w:val="24"/>
          <w:lang w:eastAsia="de-DE"/>
        </w:rPr>
        <w:t xml:space="preserve">is envisaged </w:t>
      </w:r>
      <w:r w:rsidR="008969EC">
        <w:rPr>
          <w:rFonts w:eastAsia="Times New Roman"/>
          <w:color w:val="000000"/>
          <w:sz w:val="24"/>
          <w:szCs w:val="24"/>
          <w:lang w:eastAsia="de-DE"/>
        </w:rPr>
        <w:t xml:space="preserve">from </w:t>
      </w:r>
      <w:r w:rsidR="00FE0CFB">
        <w:rPr>
          <w:rFonts w:eastAsia="Times New Roman"/>
          <w:color w:val="000000"/>
          <w:sz w:val="24"/>
          <w:szCs w:val="24"/>
          <w:lang w:eastAsia="de-DE"/>
        </w:rPr>
        <w:t xml:space="preserve">a statistical aggregation </w:t>
      </w:r>
      <w:r w:rsidR="008969EC">
        <w:rPr>
          <w:rFonts w:eastAsia="Times New Roman"/>
          <w:color w:val="000000"/>
          <w:sz w:val="24"/>
          <w:szCs w:val="24"/>
          <w:lang w:eastAsia="de-DE"/>
        </w:rPr>
        <w:t>perspective</w:t>
      </w:r>
      <w:r w:rsidRPr="007805D1">
        <w:rPr>
          <w:rFonts w:eastAsia="Times New Roman"/>
          <w:color w:val="000000"/>
          <w:sz w:val="24"/>
          <w:szCs w:val="24"/>
          <w:lang w:eastAsia="de-DE"/>
        </w:rPr>
        <w:t>.</w:t>
      </w:r>
    </w:p>
    <w:p w14:paraId="415E63AD" w14:textId="77777777" w:rsidR="00724A3A" w:rsidRPr="008969EC" w:rsidRDefault="00724A3A" w:rsidP="008969EC">
      <w:pPr>
        <w:spacing w:after="0" w:line="240" w:lineRule="auto"/>
        <w:jc w:val="left"/>
        <w:rPr>
          <w:rFonts w:eastAsia="Times New Roman"/>
          <w:color w:val="000000"/>
          <w:sz w:val="24"/>
          <w:szCs w:val="24"/>
          <w:lang w:eastAsia="de-DE"/>
        </w:rPr>
      </w:pPr>
    </w:p>
    <w:p w14:paraId="4F05839D" w14:textId="2558A4D1" w:rsidR="00D443D8" w:rsidRDefault="00FB3E0D" w:rsidP="008969EC">
      <w:pPr>
        <w:spacing w:after="0" w:line="240" w:lineRule="auto"/>
        <w:jc w:val="left"/>
        <w:rPr>
          <w:rFonts w:eastAsia="Times New Roman"/>
          <w:color w:val="000000"/>
          <w:sz w:val="24"/>
          <w:szCs w:val="24"/>
          <w:lang w:eastAsia="de-DE"/>
        </w:rPr>
      </w:pPr>
      <w:bookmarkStart w:id="8" w:name="_Hlk191981842"/>
      <w:r>
        <w:rPr>
          <w:rFonts w:eastAsia="Times New Roman"/>
          <w:color w:val="000000"/>
          <w:sz w:val="24"/>
          <w:szCs w:val="24"/>
          <w:lang w:eastAsia="de-DE"/>
        </w:rPr>
        <w:t>T</w:t>
      </w:r>
      <w:r w:rsidR="006E7DEB" w:rsidRPr="008969EC">
        <w:rPr>
          <w:rFonts w:eastAsia="Times New Roman"/>
          <w:color w:val="000000"/>
          <w:sz w:val="24"/>
          <w:szCs w:val="24"/>
          <w:lang w:eastAsia="de-DE"/>
        </w:rPr>
        <w:t xml:space="preserve">he basic idea of </w:t>
      </w:r>
      <w:r w:rsidR="007D431F">
        <w:rPr>
          <w:rFonts w:eastAsia="Times New Roman"/>
          <w:color w:val="000000"/>
          <w:sz w:val="24"/>
          <w:szCs w:val="24"/>
          <w:lang w:eastAsia="de-DE"/>
        </w:rPr>
        <w:t xml:space="preserve">the European Single </w:t>
      </w:r>
      <w:r w:rsidR="00D443D8" w:rsidRPr="008969EC">
        <w:rPr>
          <w:rFonts w:eastAsia="Times New Roman"/>
          <w:color w:val="000000"/>
          <w:sz w:val="24"/>
          <w:szCs w:val="24"/>
          <w:lang w:eastAsia="de-DE"/>
        </w:rPr>
        <w:t>E</w:t>
      </w:r>
      <w:r w:rsidR="007D431F">
        <w:rPr>
          <w:rFonts w:eastAsia="Times New Roman"/>
          <w:color w:val="000000"/>
          <w:sz w:val="24"/>
          <w:szCs w:val="24"/>
          <w:lang w:eastAsia="de-DE"/>
        </w:rPr>
        <w:t>lectronic Format (ESEF)</w:t>
      </w:r>
      <w:r w:rsidR="006E7DEB" w:rsidRPr="008969EC">
        <w:rPr>
          <w:rFonts w:eastAsia="Times New Roman"/>
          <w:color w:val="000000"/>
          <w:sz w:val="24"/>
          <w:szCs w:val="24"/>
          <w:lang w:eastAsia="de-DE"/>
        </w:rPr>
        <w:t xml:space="preserve">, providing a way of structured, digital reporting which allows </w:t>
      </w:r>
      <w:r w:rsidR="00C45128" w:rsidRPr="008969EC">
        <w:rPr>
          <w:rFonts w:eastAsia="Times New Roman"/>
          <w:color w:val="000000"/>
          <w:sz w:val="24"/>
          <w:szCs w:val="24"/>
          <w:lang w:eastAsia="de-DE"/>
        </w:rPr>
        <w:t>extracting</w:t>
      </w:r>
      <w:r w:rsidR="006E7DEB" w:rsidRPr="008969EC">
        <w:rPr>
          <w:rFonts w:eastAsia="Times New Roman"/>
          <w:color w:val="000000"/>
          <w:sz w:val="24"/>
          <w:szCs w:val="24"/>
          <w:lang w:eastAsia="de-DE"/>
        </w:rPr>
        <w:t xml:space="preserve"> specific </w:t>
      </w:r>
      <w:r w:rsidR="00EB36E4">
        <w:rPr>
          <w:rFonts w:eastAsia="Times New Roman"/>
          <w:color w:val="000000"/>
          <w:sz w:val="24"/>
          <w:szCs w:val="24"/>
          <w:lang w:eastAsia="de-DE"/>
        </w:rPr>
        <w:t>data point</w:t>
      </w:r>
      <w:r w:rsidR="006E7DEB" w:rsidRPr="008969EC">
        <w:rPr>
          <w:rFonts w:eastAsia="Times New Roman"/>
          <w:color w:val="000000"/>
          <w:sz w:val="24"/>
          <w:szCs w:val="24"/>
          <w:lang w:eastAsia="de-DE"/>
        </w:rPr>
        <w:t xml:space="preserve">s directly from a reporting </w:t>
      </w:r>
      <w:r w:rsidR="00294DEA">
        <w:rPr>
          <w:rFonts w:eastAsia="Times New Roman"/>
          <w:color w:val="000000"/>
          <w:sz w:val="24"/>
          <w:szCs w:val="24"/>
          <w:lang w:eastAsia="de-DE"/>
        </w:rPr>
        <w:t xml:space="preserve">is </w:t>
      </w:r>
      <w:r w:rsidR="002C0930">
        <w:rPr>
          <w:rFonts w:eastAsia="Times New Roman"/>
          <w:color w:val="000000"/>
          <w:sz w:val="24"/>
          <w:szCs w:val="24"/>
          <w:lang w:eastAsia="de-DE"/>
        </w:rPr>
        <w:t xml:space="preserve">very helpful for </w:t>
      </w:r>
      <w:r w:rsidR="00294DEA">
        <w:rPr>
          <w:rFonts w:eastAsia="Times New Roman"/>
          <w:color w:val="000000"/>
          <w:sz w:val="24"/>
          <w:szCs w:val="24"/>
          <w:lang w:eastAsia="de-DE"/>
        </w:rPr>
        <w:t xml:space="preserve">the compilation of </w:t>
      </w:r>
      <w:r w:rsidR="002C0930">
        <w:rPr>
          <w:rFonts w:eastAsia="Times New Roman"/>
          <w:color w:val="000000"/>
          <w:sz w:val="24"/>
          <w:szCs w:val="24"/>
          <w:lang w:eastAsia="de-DE"/>
        </w:rPr>
        <w:t>statistics</w:t>
      </w:r>
      <w:r w:rsidR="00FE0CFB">
        <w:rPr>
          <w:rFonts w:eastAsia="Times New Roman"/>
          <w:color w:val="000000"/>
          <w:sz w:val="24"/>
          <w:szCs w:val="24"/>
          <w:lang w:eastAsia="de-DE"/>
        </w:rPr>
        <w:t>.</w:t>
      </w:r>
      <w:r w:rsidR="002C0930">
        <w:rPr>
          <w:rFonts w:eastAsia="Times New Roman"/>
          <w:color w:val="000000"/>
          <w:sz w:val="24"/>
          <w:szCs w:val="24"/>
          <w:lang w:eastAsia="de-DE"/>
        </w:rPr>
        <w:t xml:space="preserve"> </w:t>
      </w:r>
      <w:r w:rsidR="00F036E0" w:rsidRPr="008969EC">
        <w:rPr>
          <w:rFonts w:eastAsia="Times New Roman"/>
          <w:color w:val="000000"/>
          <w:sz w:val="24"/>
          <w:szCs w:val="24"/>
          <w:lang w:eastAsia="de-DE"/>
        </w:rPr>
        <w:t xml:space="preserve">Similar techniques are used for statistical reporting. </w:t>
      </w:r>
      <w:r w:rsidR="008969EC">
        <w:rPr>
          <w:rFonts w:eastAsia="Times New Roman"/>
          <w:color w:val="000000"/>
          <w:sz w:val="24"/>
          <w:szCs w:val="24"/>
          <w:lang w:eastAsia="de-DE"/>
        </w:rPr>
        <w:t xml:space="preserve">Digital structured reporting </w:t>
      </w:r>
      <w:r w:rsidR="00D443D8" w:rsidRPr="008969EC">
        <w:rPr>
          <w:rFonts w:eastAsia="Times New Roman"/>
          <w:color w:val="000000"/>
          <w:sz w:val="24"/>
          <w:szCs w:val="24"/>
          <w:lang w:eastAsia="de-DE"/>
        </w:rPr>
        <w:t xml:space="preserve">improves transparency and comparability of </w:t>
      </w:r>
      <w:r w:rsidR="006E7DEB" w:rsidRPr="008969EC">
        <w:rPr>
          <w:rFonts w:eastAsia="Times New Roman"/>
          <w:color w:val="000000"/>
          <w:sz w:val="24"/>
          <w:szCs w:val="24"/>
          <w:lang w:eastAsia="de-DE"/>
        </w:rPr>
        <w:t xml:space="preserve">corporate </w:t>
      </w:r>
      <w:r w:rsidR="00D443D8" w:rsidRPr="008969EC">
        <w:rPr>
          <w:rFonts w:eastAsia="Times New Roman"/>
          <w:color w:val="000000"/>
          <w:sz w:val="24"/>
          <w:szCs w:val="24"/>
          <w:lang w:eastAsia="de-DE"/>
        </w:rPr>
        <w:t xml:space="preserve">reports across the EU, making it easier </w:t>
      </w:r>
      <w:r w:rsidR="00F036E0" w:rsidRPr="008969EC">
        <w:rPr>
          <w:rFonts w:eastAsia="Times New Roman"/>
          <w:color w:val="000000"/>
          <w:sz w:val="24"/>
          <w:szCs w:val="24"/>
          <w:lang w:eastAsia="de-DE"/>
        </w:rPr>
        <w:t xml:space="preserve">and faster </w:t>
      </w:r>
      <w:r w:rsidR="00D443D8" w:rsidRPr="008969EC">
        <w:rPr>
          <w:rFonts w:eastAsia="Times New Roman"/>
          <w:color w:val="000000"/>
          <w:sz w:val="24"/>
          <w:szCs w:val="24"/>
          <w:lang w:eastAsia="de-DE"/>
        </w:rPr>
        <w:t xml:space="preserve">for </w:t>
      </w:r>
      <w:r w:rsidR="006E7DEB" w:rsidRPr="008969EC">
        <w:rPr>
          <w:rFonts w:eastAsia="Times New Roman"/>
          <w:color w:val="000000"/>
          <w:sz w:val="24"/>
          <w:szCs w:val="24"/>
          <w:lang w:eastAsia="de-DE"/>
        </w:rPr>
        <w:t xml:space="preserve">stakeholders (among </w:t>
      </w:r>
      <w:r w:rsidR="00D443D8" w:rsidRPr="008969EC">
        <w:rPr>
          <w:rFonts w:eastAsia="Times New Roman"/>
          <w:color w:val="000000"/>
          <w:sz w:val="24"/>
          <w:szCs w:val="24"/>
          <w:lang w:eastAsia="de-DE"/>
        </w:rPr>
        <w:t>investors</w:t>
      </w:r>
      <w:r w:rsidR="006E7DEB" w:rsidRPr="008969EC">
        <w:rPr>
          <w:rFonts w:eastAsia="Times New Roman"/>
          <w:color w:val="000000"/>
          <w:sz w:val="24"/>
          <w:szCs w:val="24"/>
          <w:lang w:eastAsia="de-DE"/>
        </w:rPr>
        <w:t>, other users, but also authorities</w:t>
      </w:r>
      <w:r w:rsidR="00D443D8" w:rsidRPr="008969EC">
        <w:rPr>
          <w:rFonts w:eastAsia="Times New Roman"/>
          <w:color w:val="000000"/>
          <w:sz w:val="24"/>
          <w:szCs w:val="24"/>
          <w:lang w:eastAsia="de-DE"/>
        </w:rPr>
        <w:t xml:space="preserve"> </w:t>
      </w:r>
      <w:r w:rsidR="006E7DEB" w:rsidRPr="008969EC">
        <w:rPr>
          <w:rFonts w:eastAsia="Times New Roman"/>
          <w:color w:val="000000"/>
          <w:sz w:val="24"/>
          <w:szCs w:val="24"/>
          <w:lang w:eastAsia="de-DE"/>
        </w:rPr>
        <w:t xml:space="preserve">or </w:t>
      </w:r>
      <w:r w:rsidR="00D443D8" w:rsidRPr="008969EC">
        <w:rPr>
          <w:rFonts w:eastAsia="Times New Roman"/>
          <w:color w:val="000000"/>
          <w:sz w:val="24"/>
          <w:szCs w:val="24"/>
          <w:lang w:eastAsia="de-DE"/>
        </w:rPr>
        <w:t>regulators</w:t>
      </w:r>
      <w:r w:rsidR="006E7DEB" w:rsidRPr="008969EC">
        <w:rPr>
          <w:rFonts w:eastAsia="Times New Roman"/>
          <w:color w:val="000000"/>
          <w:sz w:val="24"/>
          <w:szCs w:val="24"/>
          <w:lang w:eastAsia="de-DE"/>
        </w:rPr>
        <w:t>)</w:t>
      </w:r>
      <w:r w:rsidR="00D443D8" w:rsidRPr="008969EC">
        <w:rPr>
          <w:rFonts w:eastAsia="Times New Roman"/>
          <w:color w:val="000000"/>
          <w:sz w:val="24"/>
          <w:szCs w:val="24"/>
          <w:lang w:eastAsia="de-DE"/>
        </w:rPr>
        <w:t xml:space="preserve"> to </w:t>
      </w:r>
      <w:r w:rsidR="00C45128" w:rsidRPr="008969EC">
        <w:rPr>
          <w:rFonts w:eastAsia="Times New Roman"/>
          <w:color w:val="000000"/>
          <w:sz w:val="24"/>
          <w:szCs w:val="24"/>
          <w:lang w:eastAsia="de-DE"/>
        </w:rPr>
        <w:t>analyse</w:t>
      </w:r>
      <w:r w:rsidR="00D443D8" w:rsidRPr="008969EC">
        <w:rPr>
          <w:rFonts w:eastAsia="Times New Roman"/>
          <w:color w:val="000000"/>
          <w:sz w:val="24"/>
          <w:szCs w:val="24"/>
          <w:lang w:eastAsia="de-DE"/>
        </w:rPr>
        <w:t xml:space="preserve"> financial </w:t>
      </w:r>
      <w:r w:rsidR="006E7DEB" w:rsidRPr="008969EC">
        <w:rPr>
          <w:rFonts w:eastAsia="Times New Roman"/>
          <w:color w:val="000000"/>
          <w:sz w:val="24"/>
          <w:szCs w:val="24"/>
          <w:lang w:eastAsia="de-DE"/>
        </w:rPr>
        <w:t xml:space="preserve">and similar </w:t>
      </w:r>
      <w:r w:rsidR="00D443D8" w:rsidRPr="008969EC">
        <w:rPr>
          <w:rFonts w:eastAsia="Times New Roman"/>
          <w:color w:val="000000"/>
          <w:sz w:val="24"/>
          <w:szCs w:val="24"/>
          <w:lang w:eastAsia="de-DE"/>
        </w:rPr>
        <w:t xml:space="preserve">data. </w:t>
      </w:r>
      <w:r w:rsidR="00C45128" w:rsidRPr="008969EC">
        <w:rPr>
          <w:rFonts w:eastAsia="Times New Roman"/>
          <w:color w:val="000000"/>
          <w:sz w:val="24"/>
          <w:szCs w:val="24"/>
          <w:lang w:eastAsia="de-DE"/>
        </w:rPr>
        <w:t>Thus,</w:t>
      </w:r>
      <w:r w:rsidR="00F036E0" w:rsidRPr="008969EC">
        <w:rPr>
          <w:rFonts w:eastAsia="Times New Roman"/>
          <w:color w:val="000000"/>
          <w:sz w:val="24"/>
          <w:szCs w:val="24"/>
          <w:lang w:eastAsia="de-DE"/>
        </w:rPr>
        <w:t xml:space="preserve"> </w:t>
      </w:r>
      <w:r w:rsidR="00D443D8" w:rsidRPr="008969EC">
        <w:rPr>
          <w:rFonts w:eastAsia="Times New Roman"/>
          <w:color w:val="000000"/>
          <w:sz w:val="24"/>
          <w:szCs w:val="24"/>
          <w:lang w:eastAsia="de-DE"/>
        </w:rPr>
        <w:t xml:space="preserve">ESEF </w:t>
      </w:r>
      <w:r w:rsidR="006E7DEB" w:rsidRPr="008969EC">
        <w:rPr>
          <w:rFonts w:eastAsia="Times New Roman"/>
          <w:color w:val="000000"/>
          <w:sz w:val="24"/>
          <w:szCs w:val="24"/>
          <w:lang w:eastAsia="de-DE"/>
        </w:rPr>
        <w:t xml:space="preserve">improves the </w:t>
      </w:r>
      <w:r w:rsidR="00C45128" w:rsidRPr="008969EC">
        <w:rPr>
          <w:rFonts w:eastAsia="Times New Roman"/>
          <w:color w:val="000000"/>
          <w:sz w:val="24"/>
          <w:szCs w:val="24"/>
          <w:lang w:eastAsia="de-DE"/>
        </w:rPr>
        <w:t>accessibility</w:t>
      </w:r>
      <w:r w:rsidR="006E7DEB" w:rsidRPr="008969EC">
        <w:rPr>
          <w:rFonts w:eastAsia="Times New Roman"/>
          <w:color w:val="000000"/>
          <w:sz w:val="24"/>
          <w:szCs w:val="24"/>
          <w:lang w:eastAsia="de-DE"/>
        </w:rPr>
        <w:t xml:space="preserve"> of granular data embedded in corporate reports. Digital formats</w:t>
      </w:r>
      <w:r w:rsidR="008969EC">
        <w:rPr>
          <w:rFonts w:eastAsia="Times New Roman"/>
          <w:color w:val="000000"/>
          <w:sz w:val="24"/>
          <w:szCs w:val="24"/>
          <w:lang w:eastAsia="de-DE"/>
        </w:rPr>
        <w:t xml:space="preserve">, particularly with the </w:t>
      </w:r>
      <w:r w:rsidR="00966796">
        <w:rPr>
          <w:rFonts w:eastAsia="Times New Roman"/>
          <w:color w:val="000000"/>
          <w:sz w:val="24"/>
          <w:szCs w:val="24"/>
          <w:lang w:eastAsia="de-DE"/>
        </w:rPr>
        <w:t xml:space="preserve">presence </w:t>
      </w:r>
      <w:r w:rsidR="008969EC">
        <w:rPr>
          <w:rFonts w:eastAsia="Times New Roman"/>
          <w:color w:val="000000"/>
          <w:sz w:val="24"/>
          <w:szCs w:val="24"/>
          <w:lang w:eastAsia="de-DE"/>
        </w:rPr>
        <w:t xml:space="preserve">of an XBRL </w:t>
      </w:r>
      <w:r w:rsidR="00C45128">
        <w:rPr>
          <w:rFonts w:eastAsia="Times New Roman"/>
          <w:color w:val="000000"/>
          <w:sz w:val="24"/>
          <w:szCs w:val="24"/>
          <w:lang w:eastAsia="de-DE"/>
        </w:rPr>
        <w:t>taxonomy</w:t>
      </w:r>
      <w:r w:rsidR="007D431F">
        <w:rPr>
          <w:rFonts w:eastAsia="Times New Roman"/>
          <w:color w:val="000000"/>
          <w:sz w:val="24"/>
          <w:szCs w:val="24"/>
          <w:lang w:eastAsia="de-DE"/>
        </w:rPr>
        <w:t xml:space="preserve"> (eXtensible </w:t>
      </w:r>
      <w:r w:rsidR="004807EC">
        <w:rPr>
          <w:rFonts w:eastAsia="Times New Roman"/>
          <w:color w:val="000000"/>
          <w:sz w:val="24"/>
          <w:szCs w:val="24"/>
          <w:lang w:eastAsia="de-DE"/>
        </w:rPr>
        <w:t>Business</w:t>
      </w:r>
      <w:r w:rsidR="007D431F">
        <w:rPr>
          <w:rFonts w:eastAsia="Times New Roman"/>
          <w:color w:val="000000"/>
          <w:sz w:val="24"/>
          <w:szCs w:val="24"/>
          <w:lang w:eastAsia="de-DE"/>
        </w:rPr>
        <w:t xml:space="preserve"> Reporting Language)</w:t>
      </w:r>
      <w:r w:rsidR="008969EC">
        <w:rPr>
          <w:rFonts w:eastAsia="Times New Roman"/>
          <w:color w:val="000000"/>
          <w:sz w:val="24"/>
          <w:szCs w:val="24"/>
          <w:lang w:eastAsia="de-DE"/>
        </w:rPr>
        <w:t>,</w:t>
      </w:r>
      <w:r w:rsidR="006E7DEB" w:rsidRPr="008969EC">
        <w:rPr>
          <w:rFonts w:eastAsia="Times New Roman"/>
          <w:color w:val="000000"/>
          <w:sz w:val="24"/>
          <w:szCs w:val="24"/>
          <w:lang w:eastAsia="de-DE"/>
        </w:rPr>
        <w:t xml:space="preserve"> also </w:t>
      </w:r>
      <w:r w:rsidR="00D443D8" w:rsidRPr="008969EC">
        <w:rPr>
          <w:rFonts w:eastAsia="Times New Roman"/>
          <w:color w:val="000000"/>
          <w:sz w:val="24"/>
          <w:szCs w:val="24"/>
          <w:lang w:eastAsia="de-DE"/>
        </w:rPr>
        <w:t>help companies to comply with EU regulations</w:t>
      </w:r>
      <w:r w:rsidR="00F036E0" w:rsidRPr="008969EC">
        <w:rPr>
          <w:rFonts w:eastAsia="Times New Roman"/>
          <w:color w:val="000000"/>
          <w:sz w:val="24"/>
          <w:szCs w:val="24"/>
          <w:lang w:eastAsia="de-DE"/>
        </w:rPr>
        <w:t xml:space="preserve"> in better understanding what is expected</w:t>
      </w:r>
      <w:r w:rsidR="008969EC">
        <w:rPr>
          <w:rFonts w:eastAsia="Times New Roman"/>
          <w:color w:val="000000"/>
          <w:sz w:val="24"/>
          <w:szCs w:val="24"/>
          <w:lang w:eastAsia="de-DE"/>
        </w:rPr>
        <w:t xml:space="preserve"> by the</w:t>
      </w:r>
      <w:r w:rsidR="00966796">
        <w:rPr>
          <w:rFonts w:eastAsia="Times New Roman"/>
          <w:color w:val="000000"/>
          <w:sz w:val="24"/>
          <w:szCs w:val="24"/>
          <w:lang w:eastAsia="de-DE"/>
        </w:rPr>
        <w:t xml:space="preserve"> </w:t>
      </w:r>
      <w:r w:rsidR="008969EC">
        <w:rPr>
          <w:rFonts w:eastAsia="Times New Roman"/>
          <w:color w:val="000000"/>
          <w:sz w:val="24"/>
          <w:szCs w:val="24"/>
          <w:lang w:eastAsia="de-DE"/>
        </w:rPr>
        <w:t>regulation</w:t>
      </w:r>
      <w:r w:rsidR="00966796">
        <w:rPr>
          <w:rFonts w:eastAsia="Times New Roman"/>
          <w:color w:val="000000"/>
          <w:sz w:val="24"/>
          <w:szCs w:val="24"/>
          <w:lang w:eastAsia="de-DE"/>
        </w:rPr>
        <w:t>s</w:t>
      </w:r>
      <w:r w:rsidR="00D443D8" w:rsidRPr="008969EC">
        <w:rPr>
          <w:rFonts w:eastAsia="Times New Roman"/>
          <w:color w:val="000000"/>
          <w:sz w:val="24"/>
          <w:szCs w:val="24"/>
          <w:lang w:eastAsia="de-DE"/>
        </w:rPr>
        <w:t xml:space="preserve">. </w:t>
      </w:r>
      <w:r w:rsidR="00F036E0" w:rsidRPr="008969EC">
        <w:rPr>
          <w:rFonts w:eastAsia="Times New Roman"/>
          <w:color w:val="000000"/>
          <w:sz w:val="24"/>
          <w:szCs w:val="24"/>
          <w:lang w:eastAsia="de-DE"/>
        </w:rPr>
        <w:t xml:space="preserve">In this line of </w:t>
      </w:r>
      <w:r w:rsidR="00C45128" w:rsidRPr="008969EC">
        <w:rPr>
          <w:rFonts w:eastAsia="Times New Roman"/>
          <w:color w:val="000000"/>
          <w:sz w:val="24"/>
          <w:szCs w:val="24"/>
          <w:lang w:eastAsia="de-DE"/>
        </w:rPr>
        <w:t>reasoning,</w:t>
      </w:r>
      <w:r w:rsidR="00F036E0" w:rsidRPr="008969EC">
        <w:rPr>
          <w:rFonts w:eastAsia="Times New Roman"/>
          <w:color w:val="000000"/>
          <w:sz w:val="24"/>
          <w:szCs w:val="24"/>
          <w:lang w:eastAsia="de-DE"/>
        </w:rPr>
        <w:t xml:space="preserve"> </w:t>
      </w:r>
      <w:r w:rsidR="00D443D8" w:rsidRPr="008969EC">
        <w:rPr>
          <w:rFonts w:eastAsia="Times New Roman"/>
          <w:color w:val="000000"/>
          <w:sz w:val="24"/>
          <w:szCs w:val="24"/>
          <w:lang w:eastAsia="de-DE"/>
        </w:rPr>
        <w:t xml:space="preserve">ESEF represents a step forward modernizing EU </w:t>
      </w:r>
      <w:r w:rsidR="00F036E0" w:rsidRPr="008969EC">
        <w:rPr>
          <w:rFonts w:eastAsia="Times New Roman"/>
          <w:color w:val="000000"/>
          <w:sz w:val="24"/>
          <w:szCs w:val="24"/>
          <w:lang w:eastAsia="de-DE"/>
        </w:rPr>
        <w:t xml:space="preserve">corporate </w:t>
      </w:r>
      <w:r w:rsidR="00D443D8" w:rsidRPr="008969EC">
        <w:rPr>
          <w:rFonts w:eastAsia="Times New Roman"/>
          <w:color w:val="000000"/>
          <w:sz w:val="24"/>
          <w:szCs w:val="24"/>
          <w:lang w:eastAsia="de-DE"/>
        </w:rPr>
        <w:t>reporting</w:t>
      </w:r>
      <w:r w:rsidR="00FE0CFB">
        <w:rPr>
          <w:rFonts w:eastAsia="Times New Roman"/>
          <w:color w:val="000000"/>
          <w:sz w:val="24"/>
          <w:szCs w:val="24"/>
          <w:lang w:eastAsia="de-DE"/>
        </w:rPr>
        <w:t xml:space="preserve"> and </w:t>
      </w:r>
      <w:r w:rsidR="002C0930">
        <w:rPr>
          <w:rFonts w:eastAsia="Times New Roman"/>
          <w:color w:val="000000"/>
          <w:sz w:val="24"/>
          <w:szCs w:val="24"/>
          <w:lang w:eastAsia="de-DE"/>
        </w:rPr>
        <w:t xml:space="preserve">statistics </w:t>
      </w:r>
      <w:r w:rsidR="00FE0CFB">
        <w:rPr>
          <w:rFonts w:eastAsia="Times New Roman"/>
          <w:color w:val="000000"/>
          <w:sz w:val="24"/>
          <w:szCs w:val="24"/>
          <w:lang w:eastAsia="de-DE"/>
        </w:rPr>
        <w:t>w</w:t>
      </w:r>
      <w:r w:rsidR="002C0930">
        <w:rPr>
          <w:rFonts w:eastAsia="Times New Roman"/>
          <w:color w:val="000000"/>
          <w:sz w:val="24"/>
          <w:szCs w:val="24"/>
          <w:lang w:eastAsia="de-DE"/>
        </w:rPr>
        <w:t xml:space="preserve">ould benefit from </w:t>
      </w:r>
      <w:r w:rsidR="00FE0CFB">
        <w:rPr>
          <w:rFonts w:eastAsia="Times New Roman"/>
          <w:color w:val="000000"/>
          <w:sz w:val="24"/>
          <w:szCs w:val="24"/>
          <w:lang w:eastAsia="de-DE"/>
        </w:rPr>
        <w:t>this digitalisation.</w:t>
      </w:r>
    </w:p>
    <w:bookmarkEnd w:id="8"/>
    <w:p w14:paraId="08246A69" w14:textId="2C33F3EC" w:rsidR="00966796" w:rsidRDefault="00966796" w:rsidP="008969EC">
      <w:pPr>
        <w:spacing w:after="0" w:line="240" w:lineRule="auto"/>
        <w:jc w:val="left"/>
        <w:rPr>
          <w:rFonts w:eastAsia="Times New Roman"/>
          <w:color w:val="000000"/>
          <w:sz w:val="24"/>
          <w:szCs w:val="24"/>
          <w:lang w:eastAsia="de-DE"/>
        </w:rPr>
      </w:pPr>
    </w:p>
    <w:p w14:paraId="6021647F" w14:textId="53826D6A" w:rsidR="00FE0CFB" w:rsidRDefault="00FE0CFB" w:rsidP="008969EC">
      <w:pPr>
        <w:spacing w:after="0" w:line="240" w:lineRule="auto"/>
        <w:jc w:val="left"/>
        <w:rPr>
          <w:rFonts w:eastAsia="Times New Roman"/>
          <w:color w:val="000000"/>
          <w:sz w:val="24"/>
          <w:szCs w:val="24"/>
          <w:lang w:eastAsia="de-DE"/>
        </w:rPr>
      </w:pPr>
    </w:p>
    <w:p w14:paraId="4DAC58F1" w14:textId="77777777" w:rsidR="00FE0CFB" w:rsidRPr="008969EC" w:rsidRDefault="00FE0CFB" w:rsidP="008969EC">
      <w:pPr>
        <w:spacing w:after="0" w:line="240" w:lineRule="auto"/>
        <w:jc w:val="left"/>
        <w:rPr>
          <w:rFonts w:eastAsia="Times New Roman"/>
          <w:color w:val="000000"/>
          <w:sz w:val="24"/>
          <w:szCs w:val="24"/>
          <w:lang w:eastAsia="de-DE"/>
        </w:rPr>
      </w:pPr>
    </w:p>
    <w:p w14:paraId="796358AC" w14:textId="79665054" w:rsidR="00AE6DEC" w:rsidRDefault="00FA5982" w:rsidP="00966796">
      <w:pPr>
        <w:spacing w:after="0" w:line="240" w:lineRule="auto"/>
        <w:jc w:val="left"/>
        <w:rPr>
          <w:rFonts w:eastAsia="Times New Roman"/>
          <w:color w:val="000000"/>
          <w:sz w:val="24"/>
          <w:szCs w:val="24"/>
          <w:lang w:eastAsia="de-DE"/>
        </w:rPr>
      </w:pPr>
      <w:r w:rsidRPr="00966796">
        <w:rPr>
          <w:rFonts w:eastAsia="Times New Roman"/>
          <w:color w:val="000000"/>
          <w:sz w:val="24"/>
          <w:szCs w:val="24"/>
          <w:lang w:eastAsia="de-DE"/>
        </w:rPr>
        <w:t xml:space="preserve">Based on </w:t>
      </w:r>
      <w:r w:rsidR="00FE0CFB">
        <w:rPr>
          <w:rFonts w:eastAsia="Times New Roman"/>
          <w:color w:val="000000"/>
          <w:sz w:val="24"/>
          <w:szCs w:val="24"/>
          <w:lang w:eastAsia="de-DE"/>
        </w:rPr>
        <w:t xml:space="preserve">statistical </w:t>
      </w:r>
      <w:r w:rsidRPr="00966796">
        <w:rPr>
          <w:rFonts w:eastAsia="Times New Roman"/>
          <w:color w:val="000000"/>
          <w:sz w:val="24"/>
          <w:szCs w:val="24"/>
          <w:lang w:eastAsia="de-DE"/>
        </w:rPr>
        <w:t xml:space="preserve">experience </w:t>
      </w:r>
      <w:r w:rsidR="00966796">
        <w:rPr>
          <w:rFonts w:eastAsia="Times New Roman"/>
          <w:color w:val="000000"/>
          <w:sz w:val="24"/>
          <w:szCs w:val="24"/>
          <w:lang w:eastAsia="de-DE"/>
        </w:rPr>
        <w:t xml:space="preserve">using </w:t>
      </w:r>
      <w:r w:rsidRPr="00966796">
        <w:rPr>
          <w:rFonts w:eastAsia="Times New Roman"/>
          <w:color w:val="000000"/>
          <w:sz w:val="24"/>
          <w:szCs w:val="24"/>
          <w:lang w:eastAsia="de-DE"/>
        </w:rPr>
        <w:t>corporate data</w:t>
      </w:r>
      <w:r w:rsidR="00FE0CFB">
        <w:rPr>
          <w:rFonts w:eastAsia="Times New Roman"/>
          <w:color w:val="000000"/>
          <w:sz w:val="24"/>
          <w:szCs w:val="24"/>
          <w:lang w:eastAsia="de-DE"/>
        </w:rPr>
        <w:t>,</w:t>
      </w:r>
      <w:r w:rsidRPr="00966796">
        <w:rPr>
          <w:rFonts w:eastAsia="Times New Roman"/>
          <w:color w:val="000000"/>
          <w:sz w:val="24"/>
          <w:szCs w:val="24"/>
          <w:lang w:eastAsia="de-DE"/>
        </w:rPr>
        <w:t xml:space="preserve"> </w:t>
      </w:r>
      <w:r w:rsidR="00495CD2" w:rsidRPr="00966796">
        <w:rPr>
          <w:rFonts w:eastAsia="Times New Roman"/>
          <w:color w:val="000000"/>
          <w:sz w:val="24"/>
          <w:szCs w:val="24"/>
          <w:lang w:eastAsia="de-DE"/>
        </w:rPr>
        <w:t xml:space="preserve">the assessment framework </w:t>
      </w:r>
      <w:r w:rsidR="00FE0CFB">
        <w:rPr>
          <w:rFonts w:eastAsia="Times New Roman"/>
          <w:color w:val="000000"/>
          <w:sz w:val="24"/>
          <w:szCs w:val="24"/>
          <w:lang w:eastAsia="de-DE"/>
        </w:rPr>
        <w:t xml:space="preserve">underlined in the consultation paper is supported. </w:t>
      </w:r>
      <w:r w:rsidR="00C45128" w:rsidRPr="00966796">
        <w:rPr>
          <w:rFonts w:eastAsia="Times New Roman"/>
          <w:color w:val="000000"/>
          <w:sz w:val="24"/>
          <w:szCs w:val="24"/>
          <w:lang w:eastAsia="de-DE"/>
        </w:rPr>
        <w:t>However,</w:t>
      </w:r>
      <w:r w:rsidRPr="00966796">
        <w:rPr>
          <w:rFonts w:eastAsia="Times New Roman"/>
          <w:color w:val="000000"/>
          <w:sz w:val="24"/>
          <w:szCs w:val="24"/>
          <w:lang w:eastAsia="de-DE"/>
        </w:rPr>
        <w:t xml:space="preserve"> </w:t>
      </w:r>
      <w:r w:rsidR="00495CD2" w:rsidRPr="00966796">
        <w:rPr>
          <w:rFonts w:eastAsia="Times New Roman"/>
          <w:color w:val="000000"/>
          <w:sz w:val="24"/>
          <w:szCs w:val="24"/>
          <w:lang w:eastAsia="de-DE"/>
        </w:rPr>
        <w:t xml:space="preserve">specific </w:t>
      </w:r>
      <w:r w:rsidRPr="00966796">
        <w:rPr>
          <w:rFonts w:eastAsia="Times New Roman"/>
          <w:color w:val="000000"/>
          <w:sz w:val="24"/>
          <w:szCs w:val="24"/>
          <w:lang w:eastAsia="de-DE"/>
        </w:rPr>
        <w:t xml:space="preserve">considerations </w:t>
      </w:r>
      <w:r w:rsidR="00954272" w:rsidRPr="00966796">
        <w:rPr>
          <w:rFonts w:eastAsia="Times New Roman"/>
          <w:color w:val="000000"/>
          <w:sz w:val="24"/>
          <w:szCs w:val="24"/>
          <w:lang w:eastAsia="de-DE"/>
        </w:rPr>
        <w:t xml:space="preserve">in </w:t>
      </w:r>
      <w:r w:rsidR="009E74CE" w:rsidRPr="00966796">
        <w:rPr>
          <w:rFonts w:eastAsia="Times New Roman"/>
          <w:color w:val="000000"/>
          <w:sz w:val="24"/>
          <w:szCs w:val="24"/>
          <w:lang w:eastAsia="de-DE"/>
        </w:rPr>
        <w:t xml:space="preserve">this and </w:t>
      </w:r>
      <w:r w:rsidR="00954272" w:rsidRPr="00966796">
        <w:rPr>
          <w:rFonts w:eastAsia="Times New Roman"/>
          <w:color w:val="000000"/>
          <w:sz w:val="24"/>
          <w:szCs w:val="24"/>
          <w:lang w:eastAsia="de-DE"/>
        </w:rPr>
        <w:t xml:space="preserve">the following </w:t>
      </w:r>
      <w:r w:rsidR="009E74CE" w:rsidRPr="00966796">
        <w:rPr>
          <w:rFonts w:eastAsia="Times New Roman"/>
          <w:color w:val="000000"/>
          <w:sz w:val="24"/>
          <w:szCs w:val="24"/>
          <w:lang w:eastAsia="de-DE"/>
        </w:rPr>
        <w:t xml:space="preserve">answers </w:t>
      </w:r>
      <w:r w:rsidRPr="00966796">
        <w:rPr>
          <w:rFonts w:eastAsia="Times New Roman"/>
          <w:color w:val="000000"/>
          <w:sz w:val="24"/>
          <w:szCs w:val="24"/>
          <w:lang w:eastAsia="de-DE"/>
        </w:rPr>
        <w:t xml:space="preserve">towards </w:t>
      </w:r>
      <w:r w:rsidR="00495CD2" w:rsidRPr="00966796">
        <w:rPr>
          <w:rFonts w:eastAsia="Times New Roman"/>
          <w:color w:val="000000"/>
          <w:sz w:val="24"/>
          <w:szCs w:val="24"/>
          <w:lang w:eastAsia="de-DE"/>
        </w:rPr>
        <w:t>a successful implementation of digitalis</w:t>
      </w:r>
      <w:r w:rsidR="00966796" w:rsidRPr="00966796">
        <w:rPr>
          <w:rFonts w:eastAsia="Times New Roman"/>
          <w:color w:val="000000"/>
          <w:sz w:val="24"/>
          <w:szCs w:val="24"/>
          <w:lang w:eastAsia="de-DE"/>
        </w:rPr>
        <w:t xml:space="preserve">ed ESRS and </w:t>
      </w:r>
      <w:r w:rsidR="00966796">
        <w:rPr>
          <w:rFonts w:eastAsia="Times New Roman"/>
          <w:color w:val="000000"/>
          <w:sz w:val="24"/>
          <w:szCs w:val="24"/>
          <w:lang w:eastAsia="de-DE"/>
        </w:rPr>
        <w:t xml:space="preserve">Article 8 </w:t>
      </w:r>
      <w:r w:rsidR="00966796" w:rsidRPr="00966796">
        <w:rPr>
          <w:rFonts w:eastAsia="Times New Roman"/>
          <w:color w:val="000000"/>
          <w:sz w:val="24"/>
          <w:szCs w:val="24"/>
          <w:lang w:eastAsia="de-DE"/>
        </w:rPr>
        <w:t>reporting</w:t>
      </w:r>
      <w:r w:rsidR="00FE0CFB">
        <w:rPr>
          <w:rFonts w:eastAsia="Times New Roman"/>
          <w:color w:val="000000"/>
          <w:sz w:val="24"/>
          <w:szCs w:val="24"/>
          <w:lang w:eastAsia="de-DE"/>
        </w:rPr>
        <w:t xml:space="preserve"> will be given.</w:t>
      </w:r>
    </w:p>
    <w:p w14:paraId="0BFC0092" w14:textId="5DAE8B72" w:rsidR="00966796" w:rsidRDefault="00966796" w:rsidP="00966796">
      <w:pPr>
        <w:spacing w:after="0" w:line="240" w:lineRule="auto"/>
        <w:jc w:val="left"/>
        <w:rPr>
          <w:rFonts w:eastAsia="Times New Roman"/>
          <w:color w:val="000000"/>
          <w:sz w:val="24"/>
          <w:szCs w:val="24"/>
          <w:lang w:eastAsia="de-DE"/>
        </w:rPr>
      </w:pPr>
    </w:p>
    <w:p w14:paraId="175CA8C9" w14:textId="31AFEE01" w:rsidR="00AE6DEC" w:rsidRDefault="00495CD2" w:rsidP="00966796">
      <w:pPr>
        <w:spacing w:after="0" w:line="240" w:lineRule="auto"/>
        <w:jc w:val="left"/>
        <w:rPr>
          <w:rFonts w:eastAsia="Times New Roman"/>
          <w:color w:val="000000"/>
          <w:sz w:val="24"/>
          <w:szCs w:val="24"/>
          <w:lang w:eastAsia="de-DE"/>
        </w:rPr>
      </w:pPr>
      <w:r w:rsidRPr="00966796">
        <w:rPr>
          <w:rFonts w:eastAsia="Times New Roman"/>
          <w:color w:val="000000"/>
          <w:sz w:val="24"/>
          <w:szCs w:val="24"/>
          <w:lang w:eastAsia="de-DE"/>
        </w:rPr>
        <w:t xml:space="preserve">Particularly, </w:t>
      </w:r>
      <w:r w:rsidR="00954272" w:rsidRPr="00966796">
        <w:rPr>
          <w:rFonts w:eastAsia="Times New Roman"/>
          <w:color w:val="000000"/>
          <w:sz w:val="24"/>
          <w:szCs w:val="24"/>
          <w:lang w:eastAsia="de-DE"/>
        </w:rPr>
        <w:t xml:space="preserve">ESMA’s evaluation how different types of disclosure and </w:t>
      </w:r>
      <w:r w:rsidR="00EB36E4">
        <w:rPr>
          <w:rFonts w:eastAsia="Times New Roman"/>
          <w:color w:val="000000"/>
          <w:sz w:val="24"/>
          <w:szCs w:val="24"/>
          <w:lang w:eastAsia="de-DE"/>
        </w:rPr>
        <w:t>data point</w:t>
      </w:r>
      <w:r w:rsidR="00954272" w:rsidRPr="00966796">
        <w:rPr>
          <w:rFonts w:eastAsia="Times New Roman"/>
          <w:color w:val="000000"/>
          <w:sz w:val="24"/>
          <w:szCs w:val="24"/>
          <w:lang w:eastAsia="de-DE"/>
        </w:rPr>
        <w:t xml:space="preserve">s contribute to the usability and comparability of sustainability information </w:t>
      </w:r>
      <w:r w:rsidR="007A4559">
        <w:rPr>
          <w:rFonts w:eastAsia="Times New Roman"/>
          <w:color w:val="000000"/>
          <w:sz w:val="24"/>
          <w:szCs w:val="24"/>
          <w:lang w:eastAsia="de-DE"/>
        </w:rPr>
        <w:t xml:space="preserve">is supported </w:t>
      </w:r>
      <w:r w:rsidR="00954272" w:rsidRPr="00966796">
        <w:rPr>
          <w:rFonts w:eastAsia="Times New Roman"/>
          <w:color w:val="000000"/>
          <w:sz w:val="24"/>
          <w:szCs w:val="24"/>
          <w:lang w:eastAsia="de-DE"/>
        </w:rPr>
        <w:t>(</w:t>
      </w:r>
      <w:r w:rsidR="007A4559">
        <w:rPr>
          <w:rFonts w:eastAsia="Times New Roman"/>
          <w:color w:val="000000"/>
          <w:sz w:val="24"/>
          <w:szCs w:val="24"/>
          <w:lang w:eastAsia="de-DE"/>
        </w:rPr>
        <w:t xml:space="preserve">see </w:t>
      </w:r>
      <w:r w:rsidR="00954272" w:rsidRPr="00966796">
        <w:rPr>
          <w:rFonts w:eastAsia="Times New Roman"/>
          <w:color w:val="000000"/>
          <w:sz w:val="24"/>
          <w:szCs w:val="24"/>
          <w:lang w:eastAsia="de-DE"/>
        </w:rPr>
        <w:t>chapter 3.3.2.2</w:t>
      </w:r>
      <w:r w:rsidR="00AE6DEC" w:rsidRPr="00966796">
        <w:rPr>
          <w:rFonts w:eastAsia="Times New Roman"/>
          <w:color w:val="000000"/>
          <w:sz w:val="24"/>
          <w:szCs w:val="24"/>
          <w:lang w:eastAsia="de-DE"/>
        </w:rPr>
        <w:t>)</w:t>
      </w:r>
      <w:r w:rsidR="00954272" w:rsidRPr="00966796">
        <w:rPr>
          <w:rFonts w:eastAsia="Times New Roman"/>
          <w:color w:val="000000"/>
          <w:sz w:val="24"/>
          <w:szCs w:val="24"/>
          <w:lang w:eastAsia="de-DE"/>
        </w:rPr>
        <w:t xml:space="preserve">. </w:t>
      </w:r>
      <w:r w:rsidR="004807EC">
        <w:rPr>
          <w:rFonts w:eastAsia="Times New Roman"/>
          <w:color w:val="000000"/>
          <w:sz w:val="24"/>
          <w:szCs w:val="24"/>
          <w:lang w:eastAsia="de-DE"/>
        </w:rPr>
        <w:t>Further,</w:t>
      </w:r>
      <w:r w:rsidR="007A4559">
        <w:rPr>
          <w:rFonts w:eastAsia="Times New Roman"/>
          <w:color w:val="000000"/>
          <w:sz w:val="24"/>
          <w:szCs w:val="24"/>
          <w:lang w:eastAsia="de-DE"/>
        </w:rPr>
        <w:t xml:space="preserve"> </w:t>
      </w:r>
      <w:r w:rsidR="00FA5982" w:rsidRPr="00966796">
        <w:rPr>
          <w:rFonts w:eastAsia="Times New Roman"/>
          <w:color w:val="000000"/>
          <w:sz w:val="24"/>
          <w:szCs w:val="24"/>
          <w:lang w:eastAsia="de-DE"/>
        </w:rPr>
        <w:t xml:space="preserve">the marking up of numerical data is </w:t>
      </w:r>
      <w:r w:rsidR="007A4559">
        <w:rPr>
          <w:rFonts w:eastAsia="Times New Roman"/>
          <w:color w:val="000000"/>
          <w:sz w:val="24"/>
          <w:szCs w:val="24"/>
          <w:lang w:eastAsia="de-DE"/>
        </w:rPr>
        <w:t xml:space="preserve">considered </w:t>
      </w:r>
      <w:r w:rsidR="00FA5982" w:rsidRPr="00966796">
        <w:rPr>
          <w:rFonts w:eastAsia="Times New Roman"/>
          <w:color w:val="000000"/>
          <w:sz w:val="24"/>
          <w:szCs w:val="24"/>
          <w:lang w:eastAsia="de-DE"/>
        </w:rPr>
        <w:t>most useful</w:t>
      </w:r>
      <w:r w:rsidR="007A4559">
        <w:rPr>
          <w:rFonts w:eastAsia="Times New Roman"/>
          <w:color w:val="000000"/>
          <w:sz w:val="24"/>
          <w:szCs w:val="24"/>
          <w:lang w:eastAsia="de-DE"/>
        </w:rPr>
        <w:t xml:space="preserve"> for statistical purposes. I</w:t>
      </w:r>
      <w:r w:rsidR="00966796" w:rsidRPr="00966796">
        <w:rPr>
          <w:rFonts w:eastAsia="Times New Roman"/>
          <w:color w:val="000000"/>
          <w:sz w:val="24"/>
          <w:szCs w:val="24"/>
          <w:lang w:eastAsia="de-DE"/>
        </w:rPr>
        <w:t xml:space="preserve">n </w:t>
      </w:r>
      <w:r w:rsidR="00B81B52" w:rsidRPr="00966796">
        <w:rPr>
          <w:rFonts w:eastAsia="Times New Roman"/>
          <w:color w:val="000000"/>
          <w:sz w:val="24"/>
          <w:szCs w:val="24"/>
          <w:lang w:eastAsia="de-DE"/>
        </w:rPr>
        <w:t>contrast,</w:t>
      </w:r>
      <w:r w:rsidR="00966796" w:rsidRPr="00966796">
        <w:rPr>
          <w:rFonts w:eastAsia="Times New Roman"/>
          <w:color w:val="000000"/>
          <w:sz w:val="24"/>
          <w:szCs w:val="24"/>
          <w:lang w:eastAsia="de-DE"/>
        </w:rPr>
        <w:t xml:space="preserve"> the marking up of long narrative text is less </w:t>
      </w:r>
      <w:r w:rsidR="00966796" w:rsidRPr="00966796">
        <w:rPr>
          <w:rFonts w:eastAsia="Times New Roman"/>
          <w:color w:val="000000"/>
          <w:sz w:val="24"/>
          <w:szCs w:val="24"/>
          <w:lang w:eastAsia="de-DE"/>
        </w:rPr>
        <w:lastRenderedPageBreak/>
        <w:t xml:space="preserve">useful </w:t>
      </w:r>
      <w:r w:rsidR="00FE0CFB">
        <w:rPr>
          <w:rFonts w:eastAsia="Times New Roman"/>
          <w:color w:val="000000"/>
          <w:sz w:val="24"/>
          <w:szCs w:val="24"/>
          <w:lang w:eastAsia="de-DE"/>
        </w:rPr>
        <w:t>s</w:t>
      </w:r>
      <w:r w:rsidR="002C0930">
        <w:rPr>
          <w:rFonts w:eastAsia="Times New Roman"/>
          <w:color w:val="000000"/>
          <w:sz w:val="24"/>
          <w:szCs w:val="24"/>
          <w:lang w:eastAsia="de-DE"/>
        </w:rPr>
        <w:t xml:space="preserve">ince it is </w:t>
      </w:r>
      <w:r w:rsidR="00B64077">
        <w:rPr>
          <w:rFonts w:eastAsia="Times New Roman"/>
          <w:color w:val="000000"/>
          <w:sz w:val="24"/>
          <w:szCs w:val="24"/>
          <w:lang w:eastAsia="de-DE"/>
        </w:rPr>
        <w:t xml:space="preserve">still </w:t>
      </w:r>
      <w:r w:rsidR="00887ACA">
        <w:rPr>
          <w:rFonts w:eastAsia="Times New Roman"/>
          <w:color w:val="000000"/>
          <w:sz w:val="24"/>
          <w:szCs w:val="24"/>
          <w:lang w:eastAsia="de-DE"/>
        </w:rPr>
        <w:t xml:space="preserve">necessary </w:t>
      </w:r>
      <w:r w:rsidR="002C0930">
        <w:rPr>
          <w:rFonts w:eastAsia="Times New Roman"/>
          <w:color w:val="000000"/>
          <w:sz w:val="24"/>
          <w:szCs w:val="24"/>
          <w:lang w:eastAsia="de-DE"/>
        </w:rPr>
        <w:t xml:space="preserve">to filter out </w:t>
      </w:r>
      <w:r w:rsidR="00FE0CFB">
        <w:rPr>
          <w:rFonts w:eastAsia="Times New Roman"/>
          <w:color w:val="000000"/>
          <w:sz w:val="24"/>
          <w:szCs w:val="24"/>
          <w:lang w:eastAsia="de-DE"/>
        </w:rPr>
        <w:t xml:space="preserve">the respective information of </w:t>
      </w:r>
      <w:r w:rsidR="00B64077">
        <w:rPr>
          <w:rFonts w:eastAsia="Times New Roman"/>
          <w:color w:val="000000"/>
          <w:sz w:val="24"/>
          <w:szCs w:val="24"/>
          <w:lang w:eastAsia="de-DE"/>
        </w:rPr>
        <w:t>such narrative texts.</w:t>
      </w:r>
    </w:p>
    <w:p w14:paraId="0683DA67" w14:textId="77777777" w:rsidR="00966796" w:rsidRPr="00966796" w:rsidRDefault="00966796" w:rsidP="00966796">
      <w:pPr>
        <w:spacing w:after="0" w:line="240" w:lineRule="auto"/>
        <w:jc w:val="left"/>
        <w:rPr>
          <w:rFonts w:eastAsia="Times New Roman"/>
          <w:color w:val="000000"/>
          <w:sz w:val="24"/>
          <w:szCs w:val="24"/>
          <w:lang w:eastAsia="de-DE"/>
        </w:rPr>
      </w:pPr>
    </w:p>
    <w:p w14:paraId="62DA87EA" w14:textId="021D75AF" w:rsidR="00AE6DEC" w:rsidRDefault="00954272" w:rsidP="00966796">
      <w:pPr>
        <w:spacing w:after="0" w:line="240" w:lineRule="auto"/>
        <w:jc w:val="left"/>
        <w:rPr>
          <w:rFonts w:eastAsia="Times New Roman"/>
          <w:color w:val="000000"/>
          <w:sz w:val="24"/>
          <w:szCs w:val="24"/>
          <w:lang w:eastAsia="de-DE"/>
        </w:rPr>
      </w:pPr>
      <w:r w:rsidRPr="00966796">
        <w:rPr>
          <w:rFonts w:eastAsia="Times New Roman"/>
          <w:color w:val="000000"/>
          <w:sz w:val="24"/>
          <w:szCs w:val="24"/>
          <w:lang w:eastAsia="de-DE"/>
        </w:rPr>
        <w:t xml:space="preserve">In this </w:t>
      </w:r>
      <w:r w:rsidR="00C45128" w:rsidRPr="00966796">
        <w:rPr>
          <w:rFonts w:eastAsia="Times New Roman"/>
          <w:color w:val="000000"/>
          <w:sz w:val="24"/>
          <w:szCs w:val="24"/>
          <w:lang w:eastAsia="de-DE"/>
        </w:rPr>
        <w:t>line,</w:t>
      </w:r>
      <w:r w:rsidRPr="00966796">
        <w:rPr>
          <w:rFonts w:eastAsia="Times New Roman"/>
          <w:color w:val="000000"/>
          <w:sz w:val="24"/>
          <w:szCs w:val="24"/>
          <w:lang w:eastAsia="de-DE"/>
        </w:rPr>
        <w:t xml:space="preserve"> the importance of comparability</w:t>
      </w:r>
      <w:r w:rsidR="007A4559">
        <w:rPr>
          <w:rFonts w:eastAsia="Times New Roman"/>
          <w:color w:val="000000"/>
          <w:sz w:val="24"/>
          <w:szCs w:val="24"/>
          <w:lang w:eastAsia="de-DE"/>
        </w:rPr>
        <w:t xml:space="preserve"> must be emphasized</w:t>
      </w:r>
      <w:r w:rsidR="00671BE3" w:rsidRPr="00966796">
        <w:rPr>
          <w:rFonts w:eastAsia="Times New Roman"/>
          <w:color w:val="000000"/>
          <w:sz w:val="24"/>
          <w:szCs w:val="24"/>
          <w:lang w:eastAsia="de-DE"/>
        </w:rPr>
        <w:t>.</w:t>
      </w:r>
      <w:r w:rsidR="009E74CE" w:rsidRPr="00966796">
        <w:rPr>
          <w:rFonts w:eastAsia="Times New Roman"/>
          <w:color w:val="000000"/>
          <w:sz w:val="24"/>
          <w:szCs w:val="24"/>
          <w:lang w:eastAsia="de-DE"/>
        </w:rPr>
        <w:t xml:space="preserve"> Comparability is </w:t>
      </w:r>
      <w:r w:rsidR="002C0930">
        <w:rPr>
          <w:rFonts w:eastAsia="Times New Roman"/>
          <w:color w:val="000000"/>
          <w:sz w:val="24"/>
          <w:szCs w:val="24"/>
          <w:lang w:eastAsia="de-DE"/>
        </w:rPr>
        <w:t xml:space="preserve">a key quality dimension </w:t>
      </w:r>
      <w:r w:rsidR="00B64077">
        <w:rPr>
          <w:rFonts w:eastAsia="Times New Roman"/>
          <w:color w:val="000000"/>
          <w:sz w:val="24"/>
          <w:szCs w:val="24"/>
          <w:lang w:eastAsia="de-DE"/>
        </w:rPr>
        <w:t xml:space="preserve">for </w:t>
      </w:r>
      <w:r w:rsidR="002C0930">
        <w:rPr>
          <w:rFonts w:eastAsia="Times New Roman"/>
          <w:color w:val="000000"/>
          <w:sz w:val="24"/>
          <w:szCs w:val="24"/>
          <w:lang w:eastAsia="de-DE"/>
        </w:rPr>
        <w:t>statistics</w:t>
      </w:r>
      <w:r w:rsidR="00B64077">
        <w:rPr>
          <w:rFonts w:eastAsia="Times New Roman"/>
          <w:color w:val="000000"/>
          <w:sz w:val="24"/>
          <w:szCs w:val="24"/>
          <w:lang w:eastAsia="de-DE"/>
        </w:rPr>
        <w:t xml:space="preserve">. Further, it is </w:t>
      </w:r>
      <w:r w:rsidR="00A32144" w:rsidRPr="00966796">
        <w:rPr>
          <w:rFonts w:eastAsia="Times New Roman"/>
          <w:color w:val="000000"/>
          <w:sz w:val="24"/>
          <w:szCs w:val="24"/>
          <w:lang w:eastAsia="de-DE"/>
        </w:rPr>
        <w:t xml:space="preserve">not only </w:t>
      </w:r>
      <w:r w:rsidR="009E74CE" w:rsidRPr="00966796">
        <w:rPr>
          <w:rFonts w:eastAsia="Times New Roman"/>
          <w:color w:val="000000"/>
          <w:sz w:val="24"/>
          <w:szCs w:val="24"/>
          <w:lang w:eastAsia="de-DE"/>
        </w:rPr>
        <w:t xml:space="preserve">key in setting </w:t>
      </w:r>
      <w:r w:rsidR="00FA5982" w:rsidRPr="00966796">
        <w:rPr>
          <w:rFonts w:eastAsia="Times New Roman"/>
          <w:color w:val="000000"/>
          <w:sz w:val="24"/>
          <w:szCs w:val="24"/>
          <w:lang w:eastAsia="de-DE"/>
        </w:rPr>
        <w:t xml:space="preserve">regulations or </w:t>
      </w:r>
      <w:r w:rsidR="009E74CE" w:rsidRPr="00966796">
        <w:rPr>
          <w:rFonts w:eastAsia="Times New Roman"/>
          <w:color w:val="000000"/>
          <w:sz w:val="24"/>
          <w:szCs w:val="24"/>
          <w:lang w:eastAsia="de-DE"/>
        </w:rPr>
        <w:t>standards (</w:t>
      </w:r>
      <w:r w:rsidR="00FA5982" w:rsidRPr="00966796">
        <w:rPr>
          <w:rFonts w:eastAsia="Times New Roman"/>
          <w:color w:val="000000"/>
          <w:sz w:val="24"/>
          <w:szCs w:val="24"/>
          <w:lang w:eastAsia="de-DE"/>
        </w:rPr>
        <w:t xml:space="preserve">e.g. </w:t>
      </w:r>
      <w:r w:rsidR="009E74CE" w:rsidRPr="00966796">
        <w:rPr>
          <w:rFonts w:eastAsia="Times New Roman"/>
          <w:color w:val="000000"/>
          <w:sz w:val="24"/>
          <w:szCs w:val="24"/>
          <w:lang w:eastAsia="de-DE"/>
        </w:rPr>
        <w:t xml:space="preserve">CSRD, ESRSs) </w:t>
      </w:r>
      <w:r w:rsidR="006824A3" w:rsidRPr="00966796">
        <w:rPr>
          <w:rFonts w:eastAsia="Times New Roman"/>
          <w:color w:val="000000"/>
          <w:sz w:val="24"/>
          <w:szCs w:val="24"/>
          <w:lang w:eastAsia="de-DE"/>
        </w:rPr>
        <w:t xml:space="preserve">but also </w:t>
      </w:r>
      <w:r w:rsidR="009E74CE" w:rsidRPr="00966796">
        <w:rPr>
          <w:rFonts w:eastAsia="Times New Roman"/>
          <w:color w:val="000000"/>
          <w:sz w:val="24"/>
          <w:szCs w:val="24"/>
          <w:lang w:eastAsia="de-DE"/>
        </w:rPr>
        <w:t xml:space="preserve">for the respective rules </w:t>
      </w:r>
      <w:r w:rsidR="006824A3" w:rsidRPr="00966796">
        <w:rPr>
          <w:rFonts w:eastAsia="Times New Roman"/>
          <w:color w:val="000000"/>
          <w:sz w:val="24"/>
          <w:szCs w:val="24"/>
          <w:lang w:eastAsia="de-DE"/>
        </w:rPr>
        <w:t>in digital reports</w:t>
      </w:r>
      <w:r w:rsidR="00966796">
        <w:rPr>
          <w:rFonts w:eastAsia="Times New Roman"/>
          <w:color w:val="000000"/>
          <w:sz w:val="24"/>
          <w:szCs w:val="24"/>
          <w:lang w:eastAsia="de-DE"/>
        </w:rPr>
        <w:t xml:space="preserve">, </w:t>
      </w:r>
      <w:r w:rsidR="00583B22" w:rsidRPr="00966796">
        <w:rPr>
          <w:rFonts w:eastAsia="Times New Roman"/>
          <w:color w:val="000000"/>
          <w:sz w:val="24"/>
          <w:szCs w:val="24"/>
          <w:lang w:eastAsia="de-DE"/>
        </w:rPr>
        <w:t xml:space="preserve">more specifically in </w:t>
      </w:r>
      <w:r w:rsidR="00966796">
        <w:rPr>
          <w:rFonts w:eastAsia="Times New Roman"/>
          <w:color w:val="000000"/>
          <w:sz w:val="24"/>
          <w:szCs w:val="24"/>
          <w:lang w:eastAsia="de-DE"/>
        </w:rPr>
        <w:t xml:space="preserve">giving guidance which </w:t>
      </w:r>
      <w:r w:rsidR="00583B22" w:rsidRPr="00966796">
        <w:rPr>
          <w:rFonts w:eastAsia="Times New Roman"/>
          <w:color w:val="000000"/>
          <w:sz w:val="24"/>
          <w:szCs w:val="24"/>
          <w:lang w:eastAsia="de-DE"/>
        </w:rPr>
        <w:t xml:space="preserve">information to </w:t>
      </w:r>
      <w:r w:rsidR="00966796">
        <w:rPr>
          <w:rFonts w:eastAsia="Times New Roman"/>
          <w:color w:val="000000"/>
          <w:sz w:val="24"/>
          <w:szCs w:val="24"/>
          <w:lang w:eastAsia="de-DE"/>
        </w:rPr>
        <w:t xml:space="preserve">be marked up </w:t>
      </w:r>
      <w:r w:rsidR="00583B22" w:rsidRPr="00966796">
        <w:rPr>
          <w:rFonts w:eastAsia="Times New Roman"/>
          <w:color w:val="000000"/>
          <w:sz w:val="24"/>
          <w:szCs w:val="24"/>
          <w:lang w:eastAsia="de-DE"/>
        </w:rPr>
        <w:t xml:space="preserve">in </w:t>
      </w:r>
      <w:r w:rsidR="00966796">
        <w:rPr>
          <w:rFonts w:eastAsia="Times New Roman"/>
          <w:color w:val="000000"/>
          <w:sz w:val="24"/>
          <w:szCs w:val="24"/>
          <w:lang w:eastAsia="de-DE"/>
        </w:rPr>
        <w:t xml:space="preserve">digital </w:t>
      </w:r>
      <w:r w:rsidR="00583B22" w:rsidRPr="00966796">
        <w:rPr>
          <w:rFonts w:eastAsia="Times New Roman"/>
          <w:color w:val="000000"/>
          <w:sz w:val="24"/>
          <w:szCs w:val="24"/>
          <w:lang w:eastAsia="de-DE"/>
        </w:rPr>
        <w:t>reports</w:t>
      </w:r>
      <w:r w:rsidR="006824A3" w:rsidRPr="00966796">
        <w:rPr>
          <w:rFonts w:eastAsia="Times New Roman"/>
          <w:color w:val="000000"/>
          <w:sz w:val="24"/>
          <w:szCs w:val="24"/>
          <w:lang w:eastAsia="de-DE"/>
        </w:rPr>
        <w:t xml:space="preserve">. </w:t>
      </w:r>
      <w:bookmarkStart w:id="9" w:name="_Hlk191981867"/>
      <w:r w:rsidR="00C45128" w:rsidRPr="00966796">
        <w:rPr>
          <w:rFonts w:eastAsia="Times New Roman"/>
          <w:color w:val="000000"/>
          <w:sz w:val="24"/>
          <w:szCs w:val="24"/>
          <w:lang w:eastAsia="de-DE"/>
        </w:rPr>
        <w:t>Thus,</w:t>
      </w:r>
      <w:r w:rsidR="006824A3" w:rsidRPr="00966796">
        <w:rPr>
          <w:rFonts w:eastAsia="Times New Roman"/>
          <w:color w:val="000000"/>
          <w:sz w:val="24"/>
          <w:szCs w:val="24"/>
          <w:lang w:eastAsia="de-DE"/>
        </w:rPr>
        <w:t xml:space="preserve"> </w:t>
      </w:r>
      <w:r w:rsidR="009E74CE" w:rsidRPr="00966796">
        <w:rPr>
          <w:rFonts w:eastAsia="Times New Roman"/>
          <w:color w:val="000000"/>
          <w:sz w:val="24"/>
          <w:szCs w:val="24"/>
          <w:lang w:eastAsia="de-DE"/>
        </w:rPr>
        <w:t xml:space="preserve">the </w:t>
      </w:r>
      <w:r w:rsidR="00DC48C3" w:rsidRPr="00966796">
        <w:rPr>
          <w:rFonts w:eastAsia="Times New Roman"/>
          <w:color w:val="000000"/>
          <w:sz w:val="24"/>
          <w:szCs w:val="24"/>
          <w:lang w:eastAsia="de-DE"/>
        </w:rPr>
        <w:t xml:space="preserve">coming </w:t>
      </w:r>
      <w:r w:rsidR="00AE6DEC" w:rsidRPr="00966796">
        <w:rPr>
          <w:rFonts w:eastAsia="Times New Roman"/>
          <w:color w:val="000000"/>
          <w:sz w:val="24"/>
          <w:szCs w:val="24"/>
          <w:lang w:eastAsia="de-DE"/>
        </w:rPr>
        <w:t xml:space="preserve">revised </w:t>
      </w:r>
      <w:r w:rsidR="006824A3" w:rsidRPr="00966796">
        <w:rPr>
          <w:rFonts w:eastAsia="Times New Roman"/>
          <w:color w:val="000000"/>
          <w:sz w:val="24"/>
          <w:szCs w:val="24"/>
          <w:lang w:eastAsia="de-DE"/>
        </w:rPr>
        <w:t>ESEF regulation</w:t>
      </w:r>
      <w:r w:rsidR="00966796">
        <w:rPr>
          <w:rFonts w:eastAsia="Times New Roman"/>
          <w:color w:val="000000"/>
          <w:sz w:val="24"/>
          <w:szCs w:val="24"/>
          <w:lang w:eastAsia="de-DE"/>
        </w:rPr>
        <w:t xml:space="preserve">, which takes now </w:t>
      </w:r>
      <w:r w:rsidR="00AE6DEC" w:rsidRPr="00966796">
        <w:rPr>
          <w:rFonts w:eastAsia="Times New Roman"/>
          <w:color w:val="000000"/>
          <w:sz w:val="24"/>
          <w:szCs w:val="24"/>
          <w:lang w:eastAsia="de-DE"/>
        </w:rPr>
        <w:t>into acc</w:t>
      </w:r>
      <w:r w:rsidR="00052858" w:rsidRPr="00966796">
        <w:rPr>
          <w:rFonts w:eastAsia="Times New Roman"/>
          <w:color w:val="000000"/>
          <w:sz w:val="24"/>
          <w:szCs w:val="24"/>
          <w:lang w:eastAsia="de-DE"/>
        </w:rPr>
        <w:t>o</w:t>
      </w:r>
      <w:r w:rsidR="00AE6DEC" w:rsidRPr="00966796">
        <w:rPr>
          <w:rFonts w:eastAsia="Times New Roman"/>
          <w:color w:val="000000"/>
          <w:sz w:val="24"/>
          <w:szCs w:val="24"/>
          <w:lang w:eastAsia="de-DE"/>
        </w:rPr>
        <w:t xml:space="preserve">unt </w:t>
      </w:r>
      <w:r w:rsidR="00966796">
        <w:rPr>
          <w:rFonts w:eastAsia="Times New Roman"/>
          <w:color w:val="000000"/>
          <w:sz w:val="24"/>
          <w:szCs w:val="24"/>
          <w:lang w:eastAsia="de-DE"/>
        </w:rPr>
        <w:t xml:space="preserve">also </w:t>
      </w:r>
      <w:r w:rsidR="00AE6DEC" w:rsidRPr="00966796">
        <w:rPr>
          <w:rFonts w:eastAsia="Times New Roman"/>
          <w:color w:val="000000"/>
          <w:sz w:val="24"/>
          <w:szCs w:val="24"/>
          <w:lang w:eastAsia="de-DE"/>
        </w:rPr>
        <w:t xml:space="preserve">sustainability </w:t>
      </w:r>
      <w:r w:rsidR="00C45128" w:rsidRPr="00966796">
        <w:rPr>
          <w:rFonts w:eastAsia="Times New Roman"/>
          <w:color w:val="000000"/>
          <w:sz w:val="24"/>
          <w:szCs w:val="24"/>
          <w:lang w:eastAsia="de-DE"/>
        </w:rPr>
        <w:t>reporting</w:t>
      </w:r>
      <w:r w:rsidR="00B64077">
        <w:rPr>
          <w:rFonts w:eastAsia="Times New Roman"/>
          <w:color w:val="000000"/>
          <w:sz w:val="24"/>
          <w:szCs w:val="24"/>
          <w:lang w:eastAsia="de-DE"/>
        </w:rPr>
        <w:t>,</w:t>
      </w:r>
      <w:r w:rsidR="00AE6DEC" w:rsidRPr="00966796">
        <w:rPr>
          <w:rFonts w:eastAsia="Times New Roman"/>
          <w:color w:val="000000"/>
          <w:sz w:val="24"/>
          <w:szCs w:val="24"/>
          <w:lang w:eastAsia="de-DE"/>
        </w:rPr>
        <w:t xml:space="preserve"> </w:t>
      </w:r>
      <w:r w:rsidR="006824A3" w:rsidRPr="00966796">
        <w:rPr>
          <w:rFonts w:eastAsia="Times New Roman"/>
          <w:color w:val="000000"/>
          <w:sz w:val="24"/>
          <w:szCs w:val="24"/>
          <w:lang w:eastAsia="de-DE"/>
        </w:rPr>
        <w:t>should be targeted to comparability</w:t>
      </w:r>
      <w:r w:rsidR="00966796">
        <w:rPr>
          <w:rFonts w:eastAsia="Times New Roman"/>
          <w:color w:val="000000"/>
          <w:sz w:val="24"/>
          <w:szCs w:val="24"/>
          <w:lang w:eastAsia="de-DE"/>
        </w:rPr>
        <w:t>.</w:t>
      </w:r>
    </w:p>
    <w:bookmarkEnd w:id="9"/>
    <w:p w14:paraId="1D965434" w14:textId="2B2906CA" w:rsidR="00966796" w:rsidRDefault="00966796" w:rsidP="00966796">
      <w:pPr>
        <w:spacing w:after="0" w:line="240" w:lineRule="auto"/>
        <w:jc w:val="left"/>
        <w:rPr>
          <w:rFonts w:eastAsia="Times New Roman"/>
          <w:color w:val="000000"/>
          <w:sz w:val="24"/>
          <w:szCs w:val="24"/>
          <w:lang w:eastAsia="de-DE"/>
        </w:rPr>
      </w:pPr>
    </w:p>
    <w:p w14:paraId="69E5503C" w14:textId="4C333AA5" w:rsidR="00583B22" w:rsidRDefault="0016008C" w:rsidP="00966796">
      <w:pPr>
        <w:spacing w:after="0" w:line="240" w:lineRule="auto"/>
        <w:jc w:val="left"/>
        <w:rPr>
          <w:rFonts w:eastAsia="Times New Roman"/>
          <w:color w:val="000000"/>
          <w:sz w:val="24"/>
          <w:szCs w:val="24"/>
          <w:lang w:eastAsia="de-DE"/>
        </w:rPr>
      </w:pPr>
      <w:r w:rsidRPr="00966796">
        <w:rPr>
          <w:rFonts w:eastAsia="Times New Roman"/>
          <w:color w:val="000000"/>
          <w:sz w:val="24"/>
          <w:szCs w:val="24"/>
          <w:lang w:eastAsia="de-DE"/>
        </w:rPr>
        <w:t xml:space="preserve">Comparability is </w:t>
      </w:r>
      <w:r w:rsidR="00DC48C3" w:rsidRPr="00966796">
        <w:rPr>
          <w:rFonts w:eastAsia="Times New Roman"/>
          <w:color w:val="000000"/>
          <w:sz w:val="24"/>
          <w:szCs w:val="24"/>
          <w:lang w:eastAsia="de-DE"/>
        </w:rPr>
        <w:t xml:space="preserve">not only </w:t>
      </w:r>
      <w:r w:rsidRPr="00966796">
        <w:rPr>
          <w:rFonts w:eastAsia="Times New Roman"/>
          <w:color w:val="000000"/>
          <w:sz w:val="24"/>
          <w:szCs w:val="24"/>
          <w:lang w:eastAsia="de-DE"/>
        </w:rPr>
        <w:t xml:space="preserve">important for assessing </w:t>
      </w:r>
      <w:r w:rsidR="00AE6DEC" w:rsidRPr="00966796">
        <w:rPr>
          <w:rFonts w:eastAsia="Times New Roman"/>
          <w:color w:val="000000"/>
          <w:sz w:val="24"/>
          <w:szCs w:val="24"/>
          <w:lang w:eastAsia="de-DE"/>
        </w:rPr>
        <w:t xml:space="preserve">sustainability of a company </w:t>
      </w:r>
      <w:proofErr w:type="gramStart"/>
      <w:r w:rsidRPr="00966796">
        <w:rPr>
          <w:rFonts w:eastAsia="Times New Roman"/>
          <w:color w:val="000000"/>
          <w:sz w:val="24"/>
          <w:szCs w:val="24"/>
          <w:lang w:eastAsia="de-DE"/>
        </w:rPr>
        <w:t>vis</w:t>
      </w:r>
      <w:proofErr w:type="gramEnd"/>
      <w:r w:rsidRPr="00966796">
        <w:rPr>
          <w:rFonts w:eastAsia="Times New Roman"/>
          <w:color w:val="000000"/>
          <w:sz w:val="24"/>
          <w:szCs w:val="24"/>
          <w:lang w:eastAsia="de-DE"/>
        </w:rPr>
        <w:t xml:space="preserve"> a vis</w:t>
      </w:r>
      <w:r w:rsidR="00AE6DEC" w:rsidRPr="00966796">
        <w:rPr>
          <w:rFonts w:eastAsia="Times New Roman"/>
          <w:color w:val="000000"/>
          <w:sz w:val="24"/>
          <w:szCs w:val="24"/>
          <w:lang w:eastAsia="de-DE"/>
        </w:rPr>
        <w:t xml:space="preserve"> other companies. In addition, it is </w:t>
      </w:r>
      <w:r w:rsidR="00DC48C3" w:rsidRPr="00966796">
        <w:rPr>
          <w:rFonts w:eastAsia="Times New Roman"/>
          <w:color w:val="000000"/>
          <w:sz w:val="24"/>
          <w:szCs w:val="24"/>
          <w:lang w:eastAsia="de-DE"/>
        </w:rPr>
        <w:t xml:space="preserve">very </w:t>
      </w:r>
      <w:r w:rsidR="00AE6DEC" w:rsidRPr="00966796">
        <w:rPr>
          <w:rFonts w:eastAsia="Times New Roman"/>
          <w:color w:val="000000"/>
          <w:sz w:val="24"/>
          <w:szCs w:val="24"/>
          <w:lang w:eastAsia="de-DE"/>
        </w:rPr>
        <w:t xml:space="preserve">important </w:t>
      </w:r>
      <w:r w:rsidRPr="00966796">
        <w:rPr>
          <w:rFonts w:eastAsia="Times New Roman"/>
          <w:color w:val="000000"/>
          <w:sz w:val="24"/>
          <w:szCs w:val="24"/>
          <w:lang w:eastAsia="de-DE"/>
        </w:rPr>
        <w:t xml:space="preserve">for creating </w:t>
      </w:r>
      <w:r w:rsidR="00AE6DEC" w:rsidRPr="00966796">
        <w:rPr>
          <w:rFonts w:eastAsia="Times New Roman"/>
          <w:color w:val="000000"/>
          <w:sz w:val="24"/>
          <w:szCs w:val="24"/>
          <w:lang w:eastAsia="de-DE"/>
        </w:rPr>
        <w:t xml:space="preserve">statistical </w:t>
      </w:r>
      <w:r w:rsidRPr="00966796">
        <w:rPr>
          <w:rFonts w:eastAsia="Times New Roman"/>
          <w:color w:val="000000"/>
          <w:sz w:val="24"/>
          <w:szCs w:val="24"/>
          <w:lang w:eastAsia="de-DE"/>
        </w:rPr>
        <w:t>benchmarks to measure the transition of entities towards a more sustainable economy.</w:t>
      </w:r>
      <w:r w:rsidR="00052858" w:rsidRPr="00966796">
        <w:rPr>
          <w:rFonts w:eastAsia="Times New Roman"/>
          <w:color w:val="000000"/>
          <w:sz w:val="24"/>
          <w:szCs w:val="24"/>
          <w:lang w:eastAsia="de-DE"/>
        </w:rPr>
        <w:t xml:space="preserve"> </w:t>
      </w:r>
      <w:r w:rsidR="00C45128" w:rsidRPr="00966796">
        <w:rPr>
          <w:rFonts w:eastAsia="Times New Roman"/>
          <w:color w:val="000000"/>
          <w:sz w:val="24"/>
          <w:szCs w:val="24"/>
          <w:lang w:eastAsia="de-DE"/>
        </w:rPr>
        <w:t>Consequently,</w:t>
      </w:r>
      <w:r w:rsidR="00583B22" w:rsidRPr="00966796">
        <w:rPr>
          <w:rFonts w:eastAsia="Times New Roman"/>
          <w:color w:val="000000"/>
          <w:sz w:val="24"/>
          <w:szCs w:val="24"/>
          <w:lang w:eastAsia="de-DE"/>
        </w:rPr>
        <w:t xml:space="preserve"> c</w:t>
      </w:r>
      <w:r w:rsidR="005364B7" w:rsidRPr="00966796">
        <w:rPr>
          <w:rFonts w:eastAsia="Times New Roman"/>
          <w:color w:val="000000"/>
          <w:sz w:val="24"/>
          <w:szCs w:val="24"/>
          <w:lang w:eastAsia="de-DE"/>
        </w:rPr>
        <w:t xml:space="preserve">omparability plays a crucial role in informed decision-making. </w:t>
      </w:r>
      <w:r w:rsidR="00966796">
        <w:rPr>
          <w:rFonts w:eastAsia="Times New Roman"/>
          <w:color w:val="000000"/>
          <w:sz w:val="24"/>
          <w:szCs w:val="24"/>
          <w:lang w:eastAsia="de-DE"/>
        </w:rPr>
        <w:t>S</w:t>
      </w:r>
      <w:r w:rsidR="005364B7" w:rsidRPr="00966796">
        <w:rPr>
          <w:rFonts w:eastAsia="Times New Roman"/>
          <w:color w:val="000000"/>
          <w:sz w:val="24"/>
          <w:szCs w:val="24"/>
          <w:lang w:eastAsia="de-DE"/>
        </w:rPr>
        <w:t xml:space="preserve">takeholders can make better decisions when they have access to comparable sustainability data. </w:t>
      </w:r>
      <w:r w:rsidR="00583B22" w:rsidRPr="00966796">
        <w:rPr>
          <w:rFonts w:eastAsia="Times New Roman"/>
          <w:color w:val="000000"/>
          <w:sz w:val="24"/>
          <w:szCs w:val="24"/>
          <w:lang w:eastAsia="de-DE"/>
        </w:rPr>
        <w:t xml:space="preserve">Furthermore, it is crucial to allow for comparability over time, which is particularly relevant in the evaluation of the realisation of sustainability targets. </w:t>
      </w:r>
      <w:r w:rsidR="00C45128">
        <w:rPr>
          <w:rFonts w:eastAsia="Times New Roman"/>
          <w:color w:val="000000"/>
          <w:sz w:val="24"/>
          <w:szCs w:val="24"/>
          <w:lang w:eastAsia="de-DE"/>
        </w:rPr>
        <w:t>Consequently,</w:t>
      </w:r>
      <w:r w:rsidR="00D56D4A">
        <w:rPr>
          <w:rFonts w:eastAsia="Times New Roman"/>
          <w:color w:val="000000"/>
          <w:sz w:val="24"/>
          <w:szCs w:val="24"/>
          <w:lang w:eastAsia="de-DE"/>
        </w:rPr>
        <w:t xml:space="preserve"> </w:t>
      </w:r>
      <w:r w:rsidR="00583B22" w:rsidRPr="00966796">
        <w:rPr>
          <w:rFonts w:eastAsia="Times New Roman"/>
          <w:color w:val="000000"/>
          <w:sz w:val="24"/>
          <w:szCs w:val="24"/>
          <w:lang w:eastAsia="de-DE"/>
        </w:rPr>
        <w:t>ESEF regulation should safeguard consistent marking up over time.</w:t>
      </w:r>
    </w:p>
    <w:p w14:paraId="5884DCA9" w14:textId="77777777" w:rsidR="00D56D4A" w:rsidRPr="00966796" w:rsidRDefault="00D56D4A" w:rsidP="00966796">
      <w:pPr>
        <w:spacing w:after="0" w:line="240" w:lineRule="auto"/>
        <w:jc w:val="left"/>
        <w:rPr>
          <w:rFonts w:eastAsia="Times New Roman"/>
          <w:color w:val="000000"/>
          <w:sz w:val="24"/>
          <w:szCs w:val="24"/>
          <w:lang w:eastAsia="de-DE"/>
        </w:rPr>
      </w:pPr>
    </w:p>
    <w:p w14:paraId="5D9ECC9E" w14:textId="757A54AC" w:rsidR="00D56D4A" w:rsidRPr="00D56D4A" w:rsidRDefault="007A4559" w:rsidP="00D56D4A">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Accordingly, </w:t>
      </w:r>
      <w:r w:rsidR="00D56D4A" w:rsidRPr="00D56D4A">
        <w:rPr>
          <w:rFonts w:eastAsia="Times New Roman"/>
          <w:color w:val="000000"/>
          <w:sz w:val="24"/>
          <w:szCs w:val="24"/>
          <w:lang w:eastAsia="de-DE"/>
        </w:rPr>
        <w:t xml:space="preserve">minimizing the use of extensions in </w:t>
      </w:r>
      <w:r w:rsidR="00D56D4A">
        <w:rPr>
          <w:rFonts w:eastAsia="Times New Roman"/>
          <w:color w:val="000000"/>
          <w:sz w:val="24"/>
          <w:szCs w:val="24"/>
          <w:lang w:eastAsia="de-DE"/>
        </w:rPr>
        <w:t xml:space="preserve">digital </w:t>
      </w:r>
      <w:r w:rsidR="00D56D4A" w:rsidRPr="00D56D4A">
        <w:rPr>
          <w:rFonts w:eastAsia="Times New Roman"/>
          <w:color w:val="000000"/>
          <w:sz w:val="24"/>
          <w:szCs w:val="24"/>
          <w:lang w:eastAsia="de-DE"/>
        </w:rPr>
        <w:t xml:space="preserve">reporting </w:t>
      </w:r>
      <w:r>
        <w:rPr>
          <w:rFonts w:eastAsia="Times New Roman"/>
          <w:color w:val="000000"/>
          <w:sz w:val="24"/>
          <w:szCs w:val="24"/>
          <w:lang w:eastAsia="de-DE"/>
        </w:rPr>
        <w:t xml:space="preserve">is important </w:t>
      </w:r>
      <w:r w:rsidR="00D56D4A" w:rsidRPr="00D56D4A">
        <w:rPr>
          <w:rFonts w:eastAsia="Times New Roman"/>
          <w:color w:val="000000"/>
          <w:sz w:val="24"/>
          <w:szCs w:val="24"/>
          <w:lang w:eastAsia="de-DE"/>
        </w:rPr>
        <w:t xml:space="preserve">as they </w:t>
      </w:r>
      <w:r w:rsidR="00D56D4A">
        <w:rPr>
          <w:rFonts w:eastAsia="Times New Roman"/>
          <w:color w:val="000000"/>
          <w:sz w:val="24"/>
          <w:szCs w:val="24"/>
          <w:lang w:eastAsia="de-DE"/>
        </w:rPr>
        <w:t xml:space="preserve">usually </w:t>
      </w:r>
      <w:r w:rsidR="00D56D4A" w:rsidRPr="00D56D4A">
        <w:rPr>
          <w:rFonts w:eastAsia="Times New Roman"/>
          <w:color w:val="000000"/>
          <w:sz w:val="24"/>
          <w:szCs w:val="24"/>
          <w:lang w:eastAsia="de-DE"/>
        </w:rPr>
        <w:t xml:space="preserve">hinder comparability. This is especially true when extensions are </w:t>
      </w:r>
      <w:r w:rsidR="00D56D4A">
        <w:rPr>
          <w:rFonts w:eastAsia="Times New Roman"/>
          <w:color w:val="000000"/>
          <w:sz w:val="24"/>
          <w:szCs w:val="24"/>
          <w:lang w:eastAsia="de-DE"/>
        </w:rPr>
        <w:t xml:space="preserve">practically </w:t>
      </w:r>
      <w:r w:rsidR="00D56D4A" w:rsidRPr="00D56D4A">
        <w:rPr>
          <w:rFonts w:eastAsia="Times New Roman"/>
          <w:color w:val="000000"/>
          <w:sz w:val="24"/>
          <w:szCs w:val="24"/>
          <w:lang w:eastAsia="de-DE"/>
        </w:rPr>
        <w:t>identical to existing taxonomy elements. Instead, entities should utilize available concepts and clarify any specific details in their narrative reports.</w:t>
      </w:r>
    </w:p>
    <w:p w14:paraId="301CB17A" w14:textId="77777777" w:rsidR="00D56D4A" w:rsidRPr="00D56D4A" w:rsidRDefault="00D56D4A" w:rsidP="00D56D4A">
      <w:pPr>
        <w:spacing w:after="0" w:line="240" w:lineRule="auto"/>
        <w:jc w:val="left"/>
        <w:rPr>
          <w:rFonts w:eastAsia="Times New Roman"/>
          <w:color w:val="000000"/>
          <w:sz w:val="24"/>
          <w:szCs w:val="24"/>
          <w:lang w:eastAsia="de-DE"/>
        </w:rPr>
      </w:pPr>
    </w:p>
    <w:p w14:paraId="57D15442" w14:textId="710F4C55" w:rsidR="00D56D4A" w:rsidRPr="00D56D4A" w:rsidRDefault="00D56D4A" w:rsidP="00D56D4A">
      <w:pPr>
        <w:spacing w:after="0" w:line="240" w:lineRule="auto"/>
        <w:jc w:val="left"/>
        <w:rPr>
          <w:rFonts w:eastAsia="Times New Roman"/>
          <w:color w:val="000000"/>
          <w:sz w:val="24"/>
          <w:szCs w:val="24"/>
          <w:lang w:eastAsia="de-DE"/>
        </w:rPr>
      </w:pPr>
      <w:r w:rsidRPr="00D56D4A">
        <w:rPr>
          <w:rFonts w:eastAsia="Times New Roman"/>
          <w:color w:val="000000"/>
          <w:sz w:val="24"/>
          <w:szCs w:val="24"/>
          <w:lang w:eastAsia="de-DE"/>
        </w:rPr>
        <w:t xml:space="preserve">Additionally, it is crucial that metrics such as GHG emissions adhere to </w:t>
      </w:r>
      <w:r>
        <w:rPr>
          <w:rFonts w:eastAsia="Times New Roman"/>
          <w:color w:val="000000"/>
          <w:sz w:val="24"/>
          <w:szCs w:val="24"/>
          <w:lang w:eastAsia="de-DE"/>
        </w:rPr>
        <w:t>pre-</w:t>
      </w:r>
      <w:r w:rsidRPr="00D56D4A">
        <w:rPr>
          <w:rFonts w:eastAsia="Times New Roman"/>
          <w:color w:val="000000"/>
          <w:sz w:val="24"/>
          <w:szCs w:val="24"/>
          <w:lang w:eastAsia="de-DE"/>
        </w:rPr>
        <w:t>specified units without deviation to maintain consistency across taxonomy elements. Using varied units can complicate the comparison of data.</w:t>
      </w:r>
    </w:p>
    <w:p w14:paraId="149A57FF" w14:textId="77777777" w:rsidR="00D56D4A" w:rsidRPr="00D56D4A" w:rsidRDefault="00D56D4A" w:rsidP="00D56D4A">
      <w:pPr>
        <w:spacing w:after="0" w:line="240" w:lineRule="auto"/>
        <w:jc w:val="left"/>
        <w:rPr>
          <w:rFonts w:eastAsia="Times New Roman"/>
          <w:color w:val="000000"/>
          <w:sz w:val="24"/>
          <w:szCs w:val="24"/>
          <w:lang w:eastAsia="de-DE"/>
        </w:rPr>
      </w:pPr>
    </w:p>
    <w:p w14:paraId="4B65BC29" w14:textId="563966A3" w:rsidR="00127F84" w:rsidRPr="00D56D4A" w:rsidRDefault="00B64077" w:rsidP="00B64077">
      <w:pPr>
        <w:spacing w:after="0" w:line="240" w:lineRule="auto"/>
        <w:jc w:val="left"/>
        <w:rPr>
          <w:rFonts w:eastAsia="Times New Roman"/>
          <w:color w:val="000000"/>
          <w:sz w:val="24"/>
          <w:szCs w:val="24"/>
          <w:lang w:eastAsia="de-DE"/>
        </w:rPr>
      </w:pPr>
      <w:r>
        <w:rPr>
          <w:rFonts w:eastAsia="Times New Roman"/>
          <w:color w:val="000000"/>
          <w:sz w:val="24"/>
          <w:szCs w:val="24"/>
          <w:lang w:eastAsia="de-DE"/>
        </w:rPr>
        <w:t>T</w:t>
      </w:r>
      <w:r w:rsidR="00D56D4A">
        <w:rPr>
          <w:rFonts w:eastAsia="Times New Roman"/>
          <w:color w:val="000000"/>
          <w:sz w:val="24"/>
          <w:szCs w:val="24"/>
          <w:lang w:eastAsia="de-DE"/>
        </w:rPr>
        <w:t>imely marking up of disclosures is essential</w:t>
      </w:r>
      <w:r w:rsidR="002C0930">
        <w:rPr>
          <w:rFonts w:eastAsia="Times New Roman"/>
          <w:color w:val="000000"/>
          <w:sz w:val="24"/>
          <w:szCs w:val="24"/>
          <w:lang w:eastAsia="de-DE"/>
        </w:rPr>
        <w:t xml:space="preserve"> for providing timely statistics</w:t>
      </w:r>
      <w:r w:rsidR="00D56D4A" w:rsidRPr="00D56D4A">
        <w:rPr>
          <w:rFonts w:eastAsia="Times New Roman"/>
          <w:color w:val="000000"/>
          <w:sz w:val="24"/>
          <w:szCs w:val="24"/>
          <w:lang w:eastAsia="de-DE"/>
        </w:rPr>
        <w:t>. Th</w:t>
      </w:r>
      <w:r>
        <w:rPr>
          <w:rFonts w:eastAsia="Times New Roman"/>
          <w:color w:val="000000"/>
          <w:sz w:val="24"/>
          <w:szCs w:val="24"/>
          <w:lang w:eastAsia="de-DE"/>
        </w:rPr>
        <w:t>u</w:t>
      </w:r>
      <w:r w:rsidR="00D56D4A" w:rsidRPr="00D56D4A">
        <w:rPr>
          <w:rFonts w:eastAsia="Times New Roman"/>
          <w:color w:val="000000"/>
          <w:sz w:val="24"/>
          <w:szCs w:val="24"/>
          <w:lang w:eastAsia="de-DE"/>
        </w:rPr>
        <w:t>s</w:t>
      </w:r>
      <w:r>
        <w:rPr>
          <w:rFonts w:eastAsia="Times New Roman"/>
          <w:color w:val="000000"/>
          <w:sz w:val="24"/>
          <w:szCs w:val="24"/>
          <w:lang w:eastAsia="de-DE"/>
        </w:rPr>
        <w:t xml:space="preserve">, </w:t>
      </w:r>
      <w:r w:rsidR="00D56D4A" w:rsidRPr="00D56D4A">
        <w:rPr>
          <w:rFonts w:eastAsia="Times New Roman"/>
          <w:color w:val="000000"/>
          <w:sz w:val="24"/>
          <w:szCs w:val="24"/>
          <w:lang w:eastAsia="de-DE"/>
        </w:rPr>
        <w:t xml:space="preserve">marked-up information should be accessible not only at the time of </w:t>
      </w:r>
      <w:r w:rsidR="00D56D4A">
        <w:rPr>
          <w:rFonts w:eastAsia="Times New Roman"/>
          <w:color w:val="000000"/>
          <w:sz w:val="24"/>
          <w:szCs w:val="24"/>
          <w:lang w:eastAsia="de-DE"/>
        </w:rPr>
        <w:t xml:space="preserve">public </w:t>
      </w:r>
      <w:r w:rsidR="00D56D4A" w:rsidRPr="00D56D4A">
        <w:rPr>
          <w:rFonts w:eastAsia="Times New Roman"/>
          <w:color w:val="000000"/>
          <w:sz w:val="24"/>
          <w:szCs w:val="24"/>
          <w:lang w:eastAsia="de-DE"/>
        </w:rPr>
        <w:t>publication</w:t>
      </w:r>
      <w:r w:rsidR="00D56D4A">
        <w:rPr>
          <w:rFonts w:eastAsia="Times New Roman"/>
          <w:color w:val="000000"/>
          <w:sz w:val="24"/>
          <w:szCs w:val="24"/>
          <w:lang w:eastAsia="de-DE"/>
        </w:rPr>
        <w:t xml:space="preserve"> </w:t>
      </w:r>
      <w:r w:rsidR="00D56D4A" w:rsidRPr="00D56D4A">
        <w:rPr>
          <w:rFonts w:eastAsia="Times New Roman"/>
          <w:color w:val="000000"/>
          <w:sz w:val="24"/>
          <w:szCs w:val="24"/>
          <w:lang w:eastAsia="de-DE"/>
        </w:rPr>
        <w:t xml:space="preserve">—which is often delayed </w:t>
      </w:r>
      <w:r>
        <w:rPr>
          <w:rFonts w:eastAsia="Times New Roman"/>
          <w:color w:val="000000"/>
          <w:sz w:val="24"/>
          <w:szCs w:val="24"/>
          <w:lang w:eastAsia="de-DE"/>
        </w:rPr>
        <w:t xml:space="preserve">towards </w:t>
      </w:r>
      <w:r w:rsidR="00D56D4A" w:rsidRPr="00D56D4A">
        <w:rPr>
          <w:rFonts w:eastAsia="Times New Roman"/>
          <w:color w:val="000000"/>
          <w:sz w:val="24"/>
          <w:szCs w:val="24"/>
          <w:lang w:eastAsia="de-DE"/>
        </w:rPr>
        <w:t xml:space="preserve">the end of </w:t>
      </w:r>
      <w:r>
        <w:rPr>
          <w:rFonts w:eastAsia="Times New Roman"/>
          <w:color w:val="000000"/>
          <w:sz w:val="24"/>
          <w:szCs w:val="24"/>
          <w:lang w:eastAsia="de-DE"/>
        </w:rPr>
        <w:t xml:space="preserve">reporting </w:t>
      </w:r>
      <w:r w:rsidR="00D56D4A" w:rsidRPr="00D56D4A">
        <w:rPr>
          <w:rFonts w:eastAsia="Times New Roman"/>
          <w:color w:val="000000"/>
          <w:sz w:val="24"/>
          <w:szCs w:val="24"/>
          <w:lang w:eastAsia="de-DE"/>
        </w:rPr>
        <w:t>deadlines</w:t>
      </w:r>
      <w:r w:rsidR="00D56D4A">
        <w:rPr>
          <w:rFonts w:eastAsia="Times New Roman"/>
          <w:color w:val="000000"/>
          <w:sz w:val="24"/>
          <w:szCs w:val="24"/>
          <w:lang w:eastAsia="de-DE"/>
        </w:rPr>
        <w:t xml:space="preserve"> </w:t>
      </w:r>
      <w:r w:rsidR="00D56D4A" w:rsidRPr="00D56D4A">
        <w:rPr>
          <w:rFonts w:eastAsia="Times New Roman"/>
          <w:color w:val="000000"/>
          <w:sz w:val="24"/>
          <w:szCs w:val="24"/>
          <w:lang w:eastAsia="de-DE"/>
        </w:rPr>
        <w:t>—</w:t>
      </w:r>
      <w:r w:rsidR="00D56D4A">
        <w:rPr>
          <w:rFonts w:eastAsia="Times New Roman"/>
          <w:color w:val="000000"/>
          <w:sz w:val="24"/>
          <w:szCs w:val="24"/>
          <w:lang w:eastAsia="de-DE"/>
        </w:rPr>
        <w:t xml:space="preserve"> </w:t>
      </w:r>
      <w:r w:rsidR="00D56D4A" w:rsidRPr="00D56D4A">
        <w:rPr>
          <w:rFonts w:eastAsia="Times New Roman"/>
          <w:color w:val="000000"/>
          <w:sz w:val="24"/>
          <w:szCs w:val="24"/>
          <w:lang w:eastAsia="de-DE"/>
        </w:rPr>
        <w:t xml:space="preserve">but also earlier for users </w:t>
      </w:r>
      <w:r>
        <w:rPr>
          <w:rFonts w:eastAsia="Times New Roman"/>
          <w:color w:val="000000"/>
          <w:sz w:val="24"/>
          <w:szCs w:val="24"/>
          <w:lang w:eastAsia="de-DE"/>
        </w:rPr>
        <w:t xml:space="preserve">having </w:t>
      </w:r>
      <w:r w:rsidR="00D56D4A" w:rsidRPr="00D56D4A">
        <w:rPr>
          <w:rFonts w:eastAsia="Times New Roman"/>
          <w:color w:val="000000"/>
          <w:sz w:val="24"/>
          <w:szCs w:val="24"/>
          <w:lang w:eastAsia="de-DE"/>
        </w:rPr>
        <w:t xml:space="preserve">specific </w:t>
      </w:r>
      <w:r w:rsidR="00D56D4A">
        <w:rPr>
          <w:rFonts w:eastAsia="Times New Roman"/>
          <w:color w:val="000000"/>
          <w:sz w:val="24"/>
          <w:szCs w:val="24"/>
          <w:lang w:eastAsia="de-DE"/>
        </w:rPr>
        <w:t xml:space="preserve">bilateral </w:t>
      </w:r>
      <w:r w:rsidR="00D56D4A" w:rsidRPr="00D56D4A">
        <w:rPr>
          <w:rFonts w:eastAsia="Times New Roman"/>
          <w:color w:val="000000"/>
          <w:sz w:val="24"/>
          <w:szCs w:val="24"/>
          <w:lang w:eastAsia="de-DE"/>
        </w:rPr>
        <w:t>agreements</w:t>
      </w:r>
      <w:r w:rsidR="00D56D4A">
        <w:rPr>
          <w:rFonts w:eastAsia="Times New Roman"/>
          <w:color w:val="000000"/>
          <w:sz w:val="24"/>
          <w:szCs w:val="24"/>
          <w:lang w:eastAsia="de-DE"/>
        </w:rPr>
        <w:t xml:space="preserve"> with entities</w:t>
      </w:r>
      <w:r w:rsidR="00D56D4A" w:rsidRPr="00D56D4A">
        <w:rPr>
          <w:rFonts w:eastAsia="Times New Roman"/>
          <w:color w:val="000000"/>
          <w:sz w:val="24"/>
          <w:szCs w:val="24"/>
          <w:lang w:eastAsia="de-DE"/>
        </w:rPr>
        <w:t xml:space="preserve">. Delayed availability of marked-up information could lead users to seek alternative sources, as noted in paragraph 62 of the consultation paper. </w:t>
      </w:r>
      <w:r>
        <w:rPr>
          <w:rFonts w:eastAsia="Times New Roman"/>
          <w:color w:val="000000"/>
          <w:sz w:val="24"/>
          <w:szCs w:val="24"/>
          <w:lang w:eastAsia="de-DE"/>
        </w:rPr>
        <w:t xml:space="preserve">Further, missing data result </w:t>
      </w:r>
      <w:r w:rsidR="002C0930">
        <w:rPr>
          <w:rFonts w:eastAsia="Times New Roman"/>
          <w:color w:val="000000"/>
          <w:sz w:val="24"/>
          <w:szCs w:val="24"/>
          <w:lang w:eastAsia="de-DE"/>
        </w:rPr>
        <w:t xml:space="preserve">in lack of information </w:t>
      </w:r>
      <w:r>
        <w:rPr>
          <w:rFonts w:eastAsia="Times New Roman"/>
          <w:color w:val="000000"/>
          <w:sz w:val="24"/>
          <w:szCs w:val="24"/>
          <w:lang w:eastAsia="de-DE"/>
        </w:rPr>
        <w:t xml:space="preserve">for </w:t>
      </w:r>
      <w:r w:rsidR="00B81B52">
        <w:rPr>
          <w:rFonts w:eastAsia="Times New Roman"/>
          <w:color w:val="000000"/>
          <w:sz w:val="24"/>
          <w:szCs w:val="24"/>
          <w:lang w:eastAsia="de-DE"/>
        </w:rPr>
        <w:t>statistics;</w:t>
      </w:r>
      <w:r>
        <w:rPr>
          <w:rFonts w:eastAsia="Times New Roman"/>
          <w:color w:val="000000"/>
          <w:sz w:val="24"/>
          <w:szCs w:val="24"/>
          <w:lang w:eastAsia="de-DE"/>
        </w:rPr>
        <w:t xml:space="preserve"> </w:t>
      </w:r>
      <w:r w:rsidR="00B81B52">
        <w:rPr>
          <w:rFonts w:eastAsia="Times New Roman"/>
          <w:color w:val="000000"/>
          <w:sz w:val="24"/>
          <w:szCs w:val="24"/>
          <w:lang w:eastAsia="de-DE"/>
        </w:rPr>
        <w:t>consequently,</w:t>
      </w:r>
      <w:r>
        <w:rPr>
          <w:rFonts w:eastAsia="Times New Roman"/>
          <w:color w:val="000000"/>
          <w:sz w:val="24"/>
          <w:szCs w:val="24"/>
          <w:lang w:eastAsia="de-DE"/>
        </w:rPr>
        <w:t xml:space="preserve"> estimates for </w:t>
      </w:r>
      <w:r w:rsidR="002C0930">
        <w:rPr>
          <w:rFonts w:eastAsia="Times New Roman"/>
          <w:color w:val="000000"/>
          <w:sz w:val="24"/>
          <w:szCs w:val="24"/>
          <w:lang w:eastAsia="de-DE"/>
        </w:rPr>
        <w:t xml:space="preserve">such </w:t>
      </w:r>
      <w:r w:rsidR="00887ACA">
        <w:rPr>
          <w:rFonts w:eastAsia="Times New Roman"/>
          <w:color w:val="000000"/>
          <w:sz w:val="24"/>
          <w:szCs w:val="24"/>
          <w:lang w:eastAsia="de-DE"/>
        </w:rPr>
        <w:t xml:space="preserve">missing information </w:t>
      </w:r>
      <w:r w:rsidR="002C0930">
        <w:rPr>
          <w:rFonts w:eastAsia="Times New Roman"/>
          <w:color w:val="000000"/>
          <w:sz w:val="24"/>
          <w:szCs w:val="24"/>
          <w:lang w:eastAsia="de-DE"/>
        </w:rPr>
        <w:t xml:space="preserve">need to be </w:t>
      </w:r>
      <w:r>
        <w:rPr>
          <w:rFonts w:eastAsia="Times New Roman"/>
          <w:color w:val="000000"/>
          <w:sz w:val="24"/>
          <w:szCs w:val="24"/>
          <w:lang w:eastAsia="de-DE"/>
        </w:rPr>
        <w:t xml:space="preserve">made, being then </w:t>
      </w:r>
      <w:r w:rsidR="002C0930">
        <w:rPr>
          <w:rFonts w:eastAsia="Times New Roman"/>
          <w:color w:val="000000"/>
          <w:sz w:val="24"/>
          <w:szCs w:val="24"/>
          <w:lang w:eastAsia="de-DE"/>
        </w:rPr>
        <w:t xml:space="preserve">replaced </w:t>
      </w:r>
      <w:r>
        <w:rPr>
          <w:rFonts w:eastAsia="Times New Roman"/>
          <w:color w:val="000000"/>
          <w:sz w:val="24"/>
          <w:szCs w:val="24"/>
          <w:lang w:eastAsia="de-DE"/>
        </w:rPr>
        <w:t xml:space="preserve">by </w:t>
      </w:r>
      <w:r w:rsidR="002C0930">
        <w:rPr>
          <w:rFonts w:eastAsia="Times New Roman"/>
          <w:color w:val="000000"/>
          <w:sz w:val="24"/>
          <w:szCs w:val="24"/>
          <w:lang w:eastAsia="de-DE"/>
        </w:rPr>
        <w:t xml:space="preserve">revisions </w:t>
      </w:r>
      <w:r>
        <w:rPr>
          <w:rFonts w:eastAsia="Times New Roman"/>
          <w:color w:val="000000"/>
          <w:sz w:val="24"/>
          <w:szCs w:val="24"/>
          <w:lang w:eastAsia="de-DE"/>
        </w:rPr>
        <w:t xml:space="preserve">based on late incoming data. This all leads to </w:t>
      </w:r>
      <w:r w:rsidR="00B81B52">
        <w:rPr>
          <w:rFonts w:eastAsia="Times New Roman"/>
          <w:color w:val="000000"/>
          <w:sz w:val="24"/>
          <w:szCs w:val="24"/>
          <w:lang w:eastAsia="de-DE"/>
        </w:rPr>
        <w:t>uncertainty</w:t>
      </w:r>
      <w:r>
        <w:rPr>
          <w:rFonts w:eastAsia="Times New Roman"/>
          <w:color w:val="000000"/>
          <w:sz w:val="24"/>
          <w:szCs w:val="24"/>
          <w:lang w:eastAsia="de-DE"/>
        </w:rPr>
        <w:t>. Thus, t</w:t>
      </w:r>
      <w:r w:rsidR="00D56D4A" w:rsidRPr="00D56D4A">
        <w:rPr>
          <w:rFonts w:eastAsia="Times New Roman"/>
          <w:color w:val="000000"/>
          <w:sz w:val="24"/>
          <w:szCs w:val="24"/>
          <w:lang w:eastAsia="de-DE"/>
        </w:rPr>
        <w:t>o facilitate timely marking</w:t>
      </w:r>
      <w:r>
        <w:rPr>
          <w:rFonts w:eastAsia="Times New Roman"/>
          <w:color w:val="000000"/>
          <w:sz w:val="24"/>
          <w:szCs w:val="24"/>
          <w:lang w:eastAsia="de-DE"/>
        </w:rPr>
        <w:t xml:space="preserve"> up</w:t>
      </w:r>
      <w:r w:rsidR="00D56D4A" w:rsidRPr="00D56D4A">
        <w:rPr>
          <w:rFonts w:eastAsia="Times New Roman"/>
          <w:color w:val="000000"/>
          <w:sz w:val="24"/>
          <w:szCs w:val="24"/>
          <w:lang w:eastAsia="de-DE"/>
        </w:rPr>
        <w:t xml:space="preserve">, the tagging process should be kept straightforward, particularly for </w:t>
      </w:r>
      <w:r w:rsidR="000219CF">
        <w:rPr>
          <w:rFonts w:eastAsia="Times New Roman"/>
          <w:color w:val="000000"/>
          <w:sz w:val="24"/>
          <w:szCs w:val="24"/>
          <w:lang w:eastAsia="de-DE"/>
        </w:rPr>
        <w:t xml:space="preserve">those </w:t>
      </w:r>
      <w:r w:rsidR="00D56D4A" w:rsidRPr="00D56D4A">
        <w:rPr>
          <w:rFonts w:eastAsia="Times New Roman"/>
          <w:color w:val="000000"/>
          <w:sz w:val="24"/>
          <w:szCs w:val="24"/>
          <w:lang w:eastAsia="de-DE"/>
        </w:rPr>
        <w:t>entities under the CSRD scope</w:t>
      </w:r>
      <w:r w:rsidR="00AA1A6C">
        <w:rPr>
          <w:rFonts w:eastAsia="Times New Roman"/>
          <w:color w:val="000000"/>
          <w:sz w:val="24"/>
          <w:szCs w:val="24"/>
          <w:lang w:eastAsia="de-DE"/>
        </w:rPr>
        <w:t xml:space="preserve"> </w:t>
      </w:r>
      <w:r w:rsidR="000219CF">
        <w:rPr>
          <w:rFonts w:eastAsia="Times New Roman"/>
          <w:color w:val="000000"/>
          <w:sz w:val="24"/>
          <w:szCs w:val="24"/>
          <w:lang w:eastAsia="de-DE"/>
        </w:rPr>
        <w:t>with no tagging experience so far</w:t>
      </w:r>
      <w:r w:rsidR="00D56D4A" w:rsidRPr="00D56D4A">
        <w:rPr>
          <w:rFonts w:eastAsia="Times New Roman"/>
          <w:color w:val="000000"/>
          <w:sz w:val="24"/>
          <w:szCs w:val="24"/>
          <w:lang w:eastAsia="de-DE"/>
        </w:rPr>
        <w:t>.</w:t>
      </w:r>
    </w:p>
    <w:p w14:paraId="2F4CF223" w14:textId="77777777" w:rsidR="006824A3" w:rsidRPr="00495CD2" w:rsidRDefault="006824A3" w:rsidP="00495CD2">
      <w:pPr>
        <w:pStyle w:val="Listenabsatz"/>
        <w:spacing w:after="0"/>
        <w:ind w:left="0"/>
        <w:contextualSpacing w:val="0"/>
        <w:rPr>
          <w:sz w:val="20"/>
          <w:szCs w:val="18"/>
        </w:rPr>
      </w:pP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4E15550C" w14:textId="77777777" w:rsidR="00FD7218" w:rsidRPr="00B81B52" w:rsidRDefault="00FD7218" w:rsidP="00B81B52">
      <w:pPr>
        <w:spacing w:after="0" w:line="240" w:lineRule="auto"/>
        <w:jc w:val="left"/>
        <w:rPr>
          <w:rFonts w:eastAsia="Times New Roman"/>
          <w:color w:val="000000"/>
          <w:sz w:val="24"/>
          <w:szCs w:val="24"/>
          <w:lang w:eastAsia="de-DE"/>
        </w:rPr>
      </w:pPr>
      <w:permStart w:id="731332295" w:edGrp="everyone"/>
    </w:p>
    <w:p w14:paraId="544B36E5" w14:textId="1FB7A6F8" w:rsidR="00CD7CC4" w:rsidRDefault="00B81B52" w:rsidP="00B81B52">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A </w:t>
      </w:r>
      <w:r w:rsidR="00C135B4" w:rsidRPr="00B81B52">
        <w:rPr>
          <w:rFonts w:eastAsia="Times New Roman"/>
          <w:color w:val="000000"/>
          <w:sz w:val="24"/>
          <w:szCs w:val="24"/>
          <w:lang w:eastAsia="de-DE"/>
        </w:rPr>
        <w:t>p</w:t>
      </w:r>
      <w:r w:rsidR="004F25D3" w:rsidRPr="00B81B52">
        <w:rPr>
          <w:rFonts w:eastAsia="Times New Roman"/>
          <w:color w:val="000000"/>
          <w:sz w:val="24"/>
          <w:szCs w:val="24"/>
          <w:lang w:eastAsia="de-DE"/>
        </w:rPr>
        <w:t>h</w:t>
      </w:r>
      <w:r w:rsidR="00C135B4" w:rsidRPr="00B81B52">
        <w:rPr>
          <w:rFonts w:eastAsia="Times New Roman"/>
          <w:color w:val="000000"/>
          <w:sz w:val="24"/>
          <w:szCs w:val="24"/>
          <w:lang w:eastAsia="de-DE"/>
        </w:rPr>
        <w:t xml:space="preserve">ased </w:t>
      </w:r>
      <w:r w:rsidR="00C45128" w:rsidRPr="00B81B52">
        <w:rPr>
          <w:rFonts w:eastAsia="Times New Roman"/>
          <w:color w:val="000000"/>
          <w:sz w:val="24"/>
          <w:szCs w:val="24"/>
          <w:lang w:eastAsia="de-DE"/>
        </w:rPr>
        <w:t xml:space="preserve">approach </w:t>
      </w:r>
      <w:r>
        <w:rPr>
          <w:rFonts w:eastAsia="Times New Roman"/>
          <w:color w:val="000000"/>
          <w:sz w:val="24"/>
          <w:szCs w:val="24"/>
          <w:lang w:eastAsia="de-DE"/>
        </w:rPr>
        <w:t xml:space="preserve">including </w:t>
      </w:r>
      <w:r w:rsidR="00C135B4" w:rsidRPr="00B81B52">
        <w:rPr>
          <w:rFonts w:eastAsia="Times New Roman"/>
          <w:color w:val="000000"/>
          <w:sz w:val="24"/>
          <w:szCs w:val="24"/>
          <w:lang w:eastAsia="de-DE"/>
        </w:rPr>
        <w:t>more than two stages</w:t>
      </w:r>
      <w:r>
        <w:rPr>
          <w:rFonts w:eastAsia="Times New Roman"/>
          <w:color w:val="000000"/>
          <w:sz w:val="24"/>
          <w:szCs w:val="24"/>
          <w:lang w:eastAsia="de-DE"/>
        </w:rPr>
        <w:t xml:space="preserve"> is supported</w:t>
      </w:r>
      <w:r w:rsidR="00CD7CC4">
        <w:rPr>
          <w:rFonts w:eastAsia="Times New Roman"/>
          <w:color w:val="000000"/>
          <w:sz w:val="24"/>
          <w:szCs w:val="24"/>
          <w:lang w:eastAsia="de-DE"/>
        </w:rPr>
        <w:t>, as long as the most important data points which are used for statistical purposes are included (see question 4)</w:t>
      </w:r>
      <w:r w:rsidR="00C135B4" w:rsidRPr="00B81B52">
        <w:rPr>
          <w:rFonts w:eastAsia="Times New Roman"/>
          <w:color w:val="000000"/>
          <w:sz w:val="24"/>
          <w:szCs w:val="24"/>
          <w:lang w:eastAsia="de-DE"/>
        </w:rPr>
        <w:t xml:space="preserve">. </w:t>
      </w:r>
      <w:r w:rsidR="00CD7CC4">
        <w:rPr>
          <w:rFonts w:eastAsia="Times New Roman"/>
          <w:color w:val="000000"/>
          <w:sz w:val="24"/>
          <w:szCs w:val="24"/>
          <w:lang w:eastAsia="de-DE"/>
        </w:rPr>
        <w:t xml:space="preserve">This is the case in the proposal of the consultation paper. </w:t>
      </w:r>
    </w:p>
    <w:p w14:paraId="784C0CB9" w14:textId="638D493D" w:rsidR="00210435" w:rsidRPr="00B81B52" w:rsidRDefault="00E77136" w:rsidP="00B81B52">
      <w:pPr>
        <w:spacing w:after="0" w:line="240" w:lineRule="auto"/>
        <w:jc w:val="left"/>
        <w:rPr>
          <w:rFonts w:eastAsia="Times New Roman"/>
          <w:color w:val="000000"/>
          <w:sz w:val="24"/>
          <w:szCs w:val="24"/>
          <w:lang w:eastAsia="de-DE"/>
        </w:rPr>
      </w:pPr>
      <w:r>
        <w:rPr>
          <w:rFonts w:eastAsia="Times New Roman"/>
          <w:color w:val="000000"/>
          <w:sz w:val="24"/>
          <w:szCs w:val="24"/>
          <w:lang w:eastAsia="de-DE"/>
        </w:rPr>
        <w:lastRenderedPageBreak/>
        <w:t xml:space="preserve">To ease the transition in marking up sustainability information, the first phase </w:t>
      </w:r>
      <w:r w:rsidR="00CD7CC4">
        <w:rPr>
          <w:rFonts w:eastAsia="Times New Roman"/>
          <w:color w:val="000000"/>
          <w:sz w:val="24"/>
          <w:szCs w:val="24"/>
          <w:lang w:eastAsia="de-DE"/>
        </w:rPr>
        <w:t xml:space="preserve">could be </w:t>
      </w:r>
      <w:r>
        <w:rPr>
          <w:rFonts w:eastAsia="Times New Roman"/>
          <w:color w:val="000000"/>
          <w:sz w:val="24"/>
          <w:szCs w:val="24"/>
          <w:lang w:eastAsia="de-DE"/>
        </w:rPr>
        <w:t>not be too ambitious. Further</w:t>
      </w:r>
      <w:r w:rsidR="00127F84" w:rsidRPr="00B81B52">
        <w:rPr>
          <w:rFonts w:eastAsia="Times New Roman"/>
          <w:color w:val="000000"/>
          <w:sz w:val="24"/>
          <w:szCs w:val="24"/>
          <w:lang w:eastAsia="de-DE"/>
        </w:rPr>
        <w:t xml:space="preserve">, </w:t>
      </w:r>
      <w:r w:rsidR="00C135B4" w:rsidRPr="00B81B52">
        <w:rPr>
          <w:rFonts w:eastAsia="Times New Roman"/>
          <w:color w:val="000000"/>
          <w:sz w:val="24"/>
          <w:szCs w:val="24"/>
          <w:lang w:eastAsia="de-DE"/>
        </w:rPr>
        <w:t xml:space="preserve">as </w:t>
      </w:r>
      <w:r w:rsidR="00127F84" w:rsidRPr="00B81B52">
        <w:rPr>
          <w:rFonts w:eastAsia="Times New Roman"/>
          <w:color w:val="000000"/>
          <w:sz w:val="24"/>
          <w:szCs w:val="24"/>
          <w:lang w:eastAsia="de-DE"/>
        </w:rPr>
        <w:t xml:space="preserve">a review is </w:t>
      </w:r>
      <w:r w:rsidR="00B81B52">
        <w:rPr>
          <w:rFonts w:eastAsia="Times New Roman"/>
          <w:color w:val="000000"/>
          <w:sz w:val="24"/>
          <w:szCs w:val="24"/>
          <w:lang w:eastAsia="de-DE"/>
        </w:rPr>
        <w:t xml:space="preserve">proposed by ESMA supposed to </w:t>
      </w:r>
      <w:r w:rsidR="00D45B49" w:rsidRPr="00B81B52">
        <w:rPr>
          <w:rFonts w:eastAsia="Times New Roman"/>
          <w:color w:val="000000"/>
          <w:sz w:val="24"/>
          <w:szCs w:val="24"/>
          <w:lang w:eastAsia="de-DE"/>
        </w:rPr>
        <w:t xml:space="preserve">take place after the second phase, </w:t>
      </w:r>
      <w:r w:rsidR="00C135B4" w:rsidRPr="00B81B52">
        <w:rPr>
          <w:rFonts w:eastAsia="Times New Roman"/>
          <w:color w:val="000000"/>
          <w:sz w:val="24"/>
          <w:szCs w:val="24"/>
          <w:lang w:eastAsia="de-DE"/>
        </w:rPr>
        <w:t xml:space="preserve">it </w:t>
      </w:r>
      <w:r w:rsidR="00B81B52">
        <w:rPr>
          <w:rFonts w:eastAsia="Times New Roman"/>
          <w:color w:val="000000"/>
          <w:sz w:val="24"/>
          <w:szCs w:val="24"/>
          <w:lang w:eastAsia="de-DE"/>
        </w:rPr>
        <w:t>would be reasonable</w:t>
      </w:r>
      <w:r w:rsidR="00B81B52" w:rsidRPr="00B81B52">
        <w:rPr>
          <w:rFonts w:eastAsia="Times New Roman"/>
          <w:color w:val="000000"/>
          <w:sz w:val="24"/>
          <w:szCs w:val="24"/>
          <w:lang w:eastAsia="de-DE"/>
        </w:rPr>
        <w:t xml:space="preserve"> </w:t>
      </w:r>
      <w:r>
        <w:rPr>
          <w:rFonts w:eastAsia="Times New Roman"/>
          <w:color w:val="000000"/>
          <w:sz w:val="24"/>
          <w:szCs w:val="24"/>
          <w:lang w:eastAsia="de-DE"/>
        </w:rPr>
        <w:t xml:space="preserve">only outlining a third phase </w:t>
      </w:r>
      <w:r w:rsidR="000219CF">
        <w:rPr>
          <w:rFonts w:eastAsia="Times New Roman"/>
          <w:color w:val="000000"/>
          <w:sz w:val="24"/>
          <w:szCs w:val="24"/>
          <w:lang w:eastAsia="de-DE"/>
        </w:rPr>
        <w:t xml:space="preserve">now </w:t>
      </w:r>
      <w:r>
        <w:rPr>
          <w:rFonts w:eastAsia="Times New Roman"/>
          <w:color w:val="000000"/>
          <w:sz w:val="24"/>
          <w:szCs w:val="24"/>
          <w:lang w:eastAsia="de-DE"/>
        </w:rPr>
        <w:t>and determining</w:t>
      </w:r>
      <w:r w:rsidR="00C135B4" w:rsidRPr="00B81B52">
        <w:rPr>
          <w:rFonts w:eastAsia="Times New Roman"/>
          <w:color w:val="000000"/>
          <w:sz w:val="24"/>
          <w:szCs w:val="24"/>
          <w:lang w:eastAsia="de-DE"/>
        </w:rPr>
        <w:t xml:space="preserve"> the specifics </w:t>
      </w:r>
      <w:r w:rsidR="00B81B52">
        <w:rPr>
          <w:rFonts w:eastAsia="Times New Roman"/>
          <w:color w:val="000000"/>
          <w:sz w:val="24"/>
          <w:szCs w:val="24"/>
          <w:lang w:eastAsia="de-DE"/>
        </w:rPr>
        <w:t>with the results of th</w:t>
      </w:r>
      <w:r>
        <w:rPr>
          <w:rFonts w:eastAsia="Times New Roman"/>
          <w:color w:val="000000"/>
          <w:sz w:val="24"/>
          <w:szCs w:val="24"/>
          <w:lang w:eastAsia="de-DE"/>
        </w:rPr>
        <w:t>e</w:t>
      </w:r>
      <w:r w:rsidR="00C135B4" w:rsidRPr="00B81B52">
        <w:rPr>
          <w:rFonts w:eastAsia="Times New Roman"/>
          <w:color w:val="000000"/>
          <w:sz w:val="24"/>
          <w:szCs w:val="24"/>
          <w:lang w:eastAsia="de-DE"/>
        </w:rPr>
        <w:t xml:space="preserve"> review.</w:t>
      </w:r>
    </w:p>
    <w:p w14:paraId="3487238F" w14:textId="49EBA805" w:rsidR="006B5DF1" w:rsidRPr="00B81B52" w:rsidRDefault="006B5DF1" w:rsidP="00B81B52">
      <w:pPr>
        <w:spacing w:after="0" w:line="240" w:lineRule="auto"/>
        <w:jc w:val="left"/>
        <w:rPr>
          <w:rFonts w:eastAsia="Times New Roman"/>
          <w:color w:val="000000"/>
          <w:sz w:val="24"/>
          <w:szCs w:val="24"/>
          <w:lang w:eastAsia="de-DE"/>
        </w:rPr>
      </w:pP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31F4FC5D" w14:textId="77777777" w:rsidR="00F108E1" w:rsidRDefault="00F108E1" w:rsidP="00F108E1">
      <w:pPr>
        <w:spacing w:after="0" w:line="240" w:lineRule="auto"/>
        <w:jc w:val="left"/>
        <w:rPr>
          <w:rFonts w:eastAsia="Times New Roman"/>
          <w:color w:val="000000"/>
          <w:sz w:val="24"/>
          <w:szCs w:val="24"/>
          <w:lang w:eastAsia="de-DE"/>
        </w:rPr>
      </w:pPr>
      <w:permStart w:id="2077629217" w:edGrp="everyone"/>
    </w:p>
    <w:p w14:paraId="11791473" w14:textId="383E10A4" w:rsidR="004F25D3" w:rsidRPr="00F108E1" w:rsidRDefault="00F108E1" w:rsidP="00F108E1">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The additional staggered approach based on type of large undertaking is </w:t>
      </w:r>
      <w:r w:rsidR="00CD7CC4">
        <w:rPr>
          <w:rFonts w:eastAsia="Times New Roman"/>
          <w:color w:val="000000"/>
          <w:sz w:val="24"/>
          <w:szCs w:val="24"/>
          <w:lang w:eastAsia="de-DE"/>
        </w:rPr>
        <w:t xml:space="preserve">generally </w:t>
      </w:r>
      <w:r>
        <w:rPr>
          <w:rFonts w:eastAsia="Times New Roman"/>
          <w:color w:val="000000"/>
          <w:sz w:val="24"/>
          <w:szCs w:val="24"/>
          <w:lang w:eastAsia="de-DE"/>
        </w:rPr>
        <w:t>supported</w:t>
      </w:r>
      <w:r w:rsidR="002F05E2">
        <w:rPr>
          <w:rFonts w:eastAsia="Times New Roman"/>
          <w:color w:val="000000"/>
          <w:sz w:val="24"/>
          <w:szCs w:val="24"/>
          <w:lang w:eastAsia="de-DE"/>
        </w:rPr>
        <w:t xml:space="preserve"> from our experience setting statistical reporting obligations</w:t>
      </w:r>
      <w:r w:rsidR="00CD7CC4">
        <w:rPr>
          <w:rFonts w:eastAsia="Times New Roman"/>
          <w:color w:val="000000"/>
          <w:sz w:val="24"/>
          <w:szCs w:val="24"/>
          <w:lang w:eastAsia="de-DE"/>
        </w:rPr>
        <w:t>. G</w:t>
      </w:r>
      <w:r>
        <w:rPr>
          <w:rFonts w:eastAsia="Times New Roman"/>
          <w:color w:val="000000"/>
          <w:sz w:val="24"/>
          <w:szCs w:val="24"/>
          <w:lang w:eastAsia="de-DE"/>
        </w:rPr>
        <w:t>iving entities</w:t>
      </w:r>
      <w:r w:rsidR="00CD7CC4">
        <w:rPr>
          <w:rFonts w:eastAsia="Times New Roman"/>
          <w:color w:val="000000"/>
          <w:sz w:val="24"/>
          <w:szCs w:val="24"/>
          <w:lang w:eastAsia="de-DE"/>
        </w:rPr>
        <w:t xml:space="preserve"> </w:t>
      </w:r>
      <w:r>
        <w:rPr>
          <w:rFonts w:eastAsia="Times New Roman"/>
          <w:color w:val="000000"/>
          <w:sz w:val="24"/>
          <w:szCs w:val="24"/>
          <w:lang w:eastAsia="de-DE"/>
        </w:rPr>
        <w:t xml:space="preserve">not being a </w:t>
      </w:r>
      <w:r w:rsidRPr="00F108E1">
        <w:rPr>
          <w:rFonts w:eastAsia="Times New Roman"/>
          <w:color w:val="000000"/>
          <w:sz w:val="24"/>
          <w:szCs w:val="24"/>
          <w:lang w:eastAsia="de-DE"/>
        </w:rPr>
        <w:t xml:space="preserve">public interest </w:t>
      </w:r>
      <w:r>
        <w:rPr>
          <w:rFonts w:eastAsia="Times New Roman"/>
          <w:color w:val="000000"/>
          <w:sz w:val="24"/>
          <w:szCs w:val="24"/>
          <w:lang w:eastAsia="de-DE"/>
        </w:rPr>
        <w:t>entity</w:t>
      </w:r>
      <w:r w:rsidRPr="00F108E1">
        <w:rPr>
          <w:rFonts w:eastAsia="Times New Roman"/>
          <w:color w:val="000000"/>
          <w:sz w:val="24"/>
          <w:szCs w:val="24"/>
          <w:lang w:eastAsia="de-DE"/>
        </w:rPr>
        <w:t xml:space="preserve"> </w:t>
      </w:r>
      <w:r>
        <w:rPr>
          <w:rFonts w:eastAsia="Times New Roman"/>
          <w:color w:val="000000"/>
          <w:sz w:val="24"/>
          <w:szCs w:val="24"/>
          <w:lang w:eastAsia="de-DE"/>
        </w:rPr>
        <w:t>(PIE</w:t>
      </w:r>
      <w:r w:rsidR="00CD7CC4">
        <w:rPr>
          <w:rFonts w:eastAsia="Times New Roman"/>
          <w:color w:val="000000"/>
          <w:sz w:val="24"/>
          <w:szCs w:val="24"/>
          <w:lang w:eastAsia="de-DE"/>
        </w:rPr>
        <w:t>, b</w:t>
      </w:r>
      <w:r>
        <w:rPr>
          <w:rFonts w:eastAsia="Times New Roman"/>
          <w:color w:val="000000"/>
          <w:sz w:val="24"/>
          <w:szCs w:val="24"/>
          <w:lang w:eastAsia="de-DE"/>
        </w:rPr>
        <w:t>ased on the EU Accounting Directive</w:t>
      </w:r>
      <w:r w:rsidR="00CD7CC4">
        <w:rPr>
          <w:rFonts w:eastAsia="Times New Roman"/>
          <w:color w:val="000000"/>
          <w:sz w:val="24"/>
          <w:szCs w:val="24"/>
          <w:lang w:eastAsia="de-DE"/>
        </w:rPr>
        <w:t>)</w:t>
      </w:r>
      <w:r>
        <w:rPr>
          <w:rFonts w:eastAsia="Times New Roman"/>
          <w:color w:val="000000"/>
          <w:sz w:val="24"/>
          <w:szCs w:val="24"/>
          <w:lang w:eastAsia="de-DE"/>
        </w:rPr>
        <w:t xml:space="preserve"> </w:t>
      </w:r>
      <w:r w:rsidR="00CD7CC4">
        <w:rPr>
          <w:rFonts w:eastAsia="Times New Roman"/>
          <w:color w:val="000000"/>
          <w:sz w:val="24"/>
          <w:szCs w:val="24"/>
          <w:lang w:eastAsia="de-DE"/>
        </w:rPr>
        <w:t xml:space="preserve">- and thus </w:t>
      </w:r>
      <w:r w:rsidRPr="00F108E1">
        <w:rPr>
          <w:rFonts w:eastAsia="Times New Roman"/>
          <w:color w:val="000000"/>
          <w:sz w:val="24"/>
          <w:szCs w:val="24"/>
          <w:lang w:eastAsia="de-DE"/>
        </w:rPr>
        <w:t xml:space="preserve">not </w:t>
      </w:r>
      <w:r w:rsidR="00CD7CC4">
        <w:rPr>
          <w:rFonts w:eastAsia="Times New Roman"/>
          <w:color w:val="000000"/>
          <w:sz w:val="24"/>
          <w:szCs w:val="24"/>
          <w:lang w:eastAsia="de-DE"/>
        </w:rPr>
        <w:t xml:space="preserve">being </w:t>
      </w:r>
      <w:r w:rsidRPr="00F108E1">
        <w:rPr>
          <w:rFonts w:eastAsia="Times New Roman"/>
          <w:color w:val="000000"/>
          <w:sz w:val="24"/>
          <w:szCs w:val="24"/>
          <w:lang w:eastAsia="de-DE"/>
        </w:rPr>
        <w:t xml:space="preserve">accustomed </w:t>
      </w:r>
      <w:r w:rsidR="00CD7CC4" w:rsidRPr="00F108E1">
        <w:rPr>
          <w:rFonts w:eastAsia="Times New Roman"/>
          <w:color w:val="000000"/>
          <w:sz w:val="24"/>
          <w:szCs w:val="24"/>
          <w:lang w:eastAsia="de-DE"/>
        </w:rPr>
        <w:t>so far</w:t>
      </w:r>
      <w:r w:rsidR="00CD7CC4">
        <w:rPr>
          <w:rFonts w:eastAsia="Times New Roman"/>
          <w:color w:val="000000"/>
          <w:sz w:val="24"/>
          <w:szCs w:val="24"/>
          <w:lang w:eastAsia="de-DE"/>
        </w:rPr>
        <w:t xml:space="preserve"> </w:t>
      </w:r>
      <w:r w:rsidRPr="00F108E1">
        <w:rPr>
          <w:rFonts w:eastAsia="Times New Roman"/>
          <w:color w:val="000000"/>
          <w:sz w:val="24"/>
          <w:szCs w:val="24"/>
          <w:lang w:eastAsia="de-DE"/>
        </w:rPr>
        <w:t xml:space="preserve">to ESEF </w:t>
      </w:r>
      <w:r w:rsidR="00CD7CC4">
        <w:rPr>
          <w:rFonts w:eastAsia="Times New Roman"/>
          <w:color w:val="000000"/>
          <w:sz w:val="24"/>
          <w:szCs w:val="24"/>
          <w:lang w:eastAsia="de-DE"/>
        </w:rPr>
        <w:t xml:space="preserve">- </w:t>
      </w:r>
      <w:r w:rsidR="00CD7CC4" w:rsidRPr="00F108E1">
        <w:rPr>
          <w:rFonts w:eastAsia="Times New Roman"/>
          <w:color w:val="000000"/>
          <w:sz w:val="24"/>
          <w:szCs w:val="24"/>
          <w:lang w:eastAsia="de-DE"/>
        </w:rPr>
        <w:t xml:space="preserve">an additional year for implementing tagging </w:t>
      </w:r>
      <w:r w:rsidR="00CD7CC4">
        <w:rPr>
          <w:rFonts w:eastAsia="Times New Roman"/>
          <w:color w:val="000000"/>
          <w:sz w:val="24"/>
          <w:szCs w:val="24"/>
          <w:lang w:eastAsia="de-DE"/>
        </w:rPr>
        <w:t>is</w:t>
      </w:r>
      <w:r w:rsidR="00CD7CC4" w:rsidRPr="00CD7CC4">
        <w:rPr>
          <w:rFonts w:eastAsia="Times New Roman"/>
          <w:color w:val="000000"/>
          <w:sz w:val="24"/>
          <w:szCs w:val="24"/>
          <w:lang w:eastAsia="de-DE"/>
        </w:rPr>
        <w:t xml:space="preserve"> </w:t>
      </w:r>
      <w:r w:rsidR="00CD7CC4">
        <w:rPr>
          <w:rFonts w:eastAsia="Times New Roman"/>
          <w:color w:val="000000"/>
          <w:sz w:val="24"/>
          <w:szCs w:val="24"/>
          <w:lang w:eastAsia="de-DE"/>
        </w:rPr>
        <w:t xml:space="preserve">adequate considering that marking up implies some burden. </w:t>
      </w:r>
      <w:r w:rsidR="004F25D3" w:rsidRPr="00F108E1">
        <w:rPr>
          <w:rFonts w:eastAsia="Times New Roman"/>
          <w:color w:val="000000"/>
          <w:sz w:val="24"/>
          <w:szCs w:val="24"/>
          <w:lang w:eastAsia="de-DE"/>
        </w:rPr>
        <w:t xml:space="preserve">To be consistent, an additional year should be also given to unlisted </w:t>
      </w:r>
      <w:r w:rsidR="004807EC" w:rsidRPr="00F108E1">
        <w:rPr>
          <w:rFonts w:eastAsia="Times New Roman"/>
          <w:color w:val="000000"/>
          <w:sz w:val="24"/>
          <w:szCs w:val="24"/>
          <w:lang w:eastAsia="de-DE"/>
        </w:rPr>
        <w:t>PIEs,</w:t>
      </w:r>
      <w:r w:rsidR="004F25D3" w:rsidRPr="00F108E1">
        <w:rPr>
          <w:rFonts w:eastAsia="Times New Roman"/>
          <w:color w:val="000000"/>
          <w:sz w:val="24"/>
          <w:szCs w:val="24"/>
          <w:lang w:eastAsia="de-DE"/>
        </w:rPr>
        <w:t xml:space="preserve"> as they are also not </w:t>
      </w:r>
      <w:r>
        <w:rPr>
          <w:rFonts w:eastAsia="Times New Roman"/>
          <w:color w:val="000000"/>
          <w:sz w:val="24"/>
          <w:szCs w:val="24"/>
          <w:lang w:eastAsia="de-DE"/>
        </w:rPr>
        <w:t xml:space="preserve">yet </w:t>
      </w:r>
      <w:r w:rsidR="004F25D3" w:rsidRPr="00F108E1">
        <w:rPr>
          <w:rFonts w:eastAsia="Times New Roman"/>
          <w:color w:val="000000"/>
          <w:sz w:val="24"/>
          <w:szCs w:val="24"/>
          <w:lang w:eastAsia="de-DE"/>
        </w:rPr>
        <w:t>accustomed to ESEF.</w:t>
      </w:r>
    </w:p>
    <w:p w14:paraId="22A607C2" w14:textId="77777777" w:rsidR="00CD7CC4" w:rsidRDefault="00CD7CC4" w:rsidP="00F108E1">
      <w:pPr>
        <w:spacing w:after="0" w:line="240" w:lineRule="auto"/>
        <w:jc w:val="left"/>
        <w:rPr>
          <w:rFonts w:eastAsia="Times New Roman"/>
          <w:color w:val="000000"/>
          <w:sz w:val="24"/>
          <w:szCs w:val="24"/>
          <w:lang w:eastAsia="de-DE"/>
        </w:rPr>
      </w:pPr>
    </w:p>
    <w:p w14:paraId="6079B439" w14:textId="1059068F" w:rsidR="00F108E1" w:rsidRDefault="001B46E3" w:rsidP="00F108E1">
      <w:pPr>
        <w:spacing w:after="0" w:line="240" w:lineRule="auto"/>
        <w:jc w:val="left"/>
        <w:rPr>
          <w:rFonts w:eastAsia="Times New Roman"/>
          <w:color w:val="000000"/>
          <w:sz w:val="24"/>
          <w:szCs w:val="24"/>
          <w:lang w:eastAsia="de-DE"/>
        </w:rPr>
      </w:pPr>
      <w:r w:rsidRPr="00F108E1">
        <w:rPr>
          <w:rFonts w:eastAsia="Times New Roman"/>
          <w:color w:val="000000"/>
          <w:sz w:val="24"/>
          <w:szCs w:val="24"/>
          <w:lang w:eastAsia="de-DE"/>
        </w:rPr>
        <w:t>With th</w:t>
      </w:r>
      <w:r w:rsidR="00DC48C3" w:rsidRPr="00F108E1">
        <w:rPr>
          <w:rFonts w:eastAsia="Times New Roman"/>
          <w:color w:val="000000"/>
          <w:sz w:val="24"/>
          <w:szCs w:val="24"/>
          <w:lang w:eastAsia="de-DE"/>
        </w:rPr>
        <w:t>e current “</w:t>
      </w:r>
      <w:hyperlink r:id="rId29" w:history="1">
        <w:r w:rsidR="00DC48C3" w:rsidRPr="00B307E7">
          <w:rPr>
            <w:rStyle w:val="Hyperlink"/>
            <w:rFonts w:eastAsia="Times New Roman"/>
            <w:sz w:val="24"/>
            <w:szCs w:val="24"/>
            <w:lang w:eastAsia="de-DE"/>
          </w:rPr>
          <w:t>omnibus</w:t>
        </w:r>
      </w:hyperlink>
      <w:r w:rsidR="00DC48C3" w:rsidRPr="00F108E1">
        <w:rPr>
          <w:rFonts w:eastAsia="Times New Roman"/>
          <w:color w:val="000000"/>
          <w:sz w:val="24"/>
          <w:szCs w:val="24"/>
          <w:lang w:eastAsia="de-DE"/>
        </w:rPr>
        <w:t xml:space="preserve">” </w:t>
      </w:r>
      <w:r w:rsidR="00887ACA">
        <w:rPr>
          <w:rFonts w:eastAsia="Times New Roman"/>
          <w:color w:val="000000"/>
          <w:sz w:val="24"/>
          <w:szCs w:val="24"/>
          <w:lang w:eastAsia="de-DE"/>
        </w:rPr>
        <w:t>proposal</w:t>
      </w:r>
      <w:r w:rsidR="00887ACA" w:rsidRPr="00F108E1">
        <w:rPr>
          <w:rFonts w:eastAsia="Times New Roman"/>
          <w:color w:val="000000"/>
          <w:sz w:val="24"/>
          <w:szCs w:val="24"/>
          <w:lang w:eastAsia="de-DE"/>
        </w:rPr>
        <w:t xml:space="preserve"> </w:t>
      </w:r>
      <w:r w:rsidR="00F108E1">
        <w:rPr>
          <w:rFonts w:eastAsia="Times New Roman"/>
          <w:color w:val="000000"/>
          <w:sz w:val="24"/>
          <w:szCs w:val="24"/>
          <w:lang w:eastAsia="de-DE"/>
        </w:rPr>
        <w:t xml:space="preserve">at EU level </w:t>
      </w:r>
      <w:r w:rsidR="00AE39B2">
        <w:rPr>
          <w:rFonts w:eastAsia="Times New Roman"/>
          <w:color w:val="000000"/>
          <w:sz w:val="24"/>
          <w:szCs w:val="24"/>
          <w:lang w:eastAsia="de-DE"/>
        </w:rPr>
        <w:t xml:space="preserve">a reduction in scope of CSRD entities is proposed and voluntary </w:t>
      </w:r>
      <w:r w:rsidR="005863C9">
        <w:rPr>
          <w:rFonts w:eastAsia="Times New Roman"/>
          <w:color w:val="000000"/>
          <w:sz w:val="24"/>
          <w:szCs w:val="24"/>
          <w:lang w:eastAsia="de-DE"/>
        </w:rPr>
        <w:t>reporting encouraged</w:t>
      </w:r>
      <w:r w:rsidR="00AE39B2">
        <w:rPr>
          <w:rFonts w:eastAsia="Times New Roman"/>
          <w:color w:val="000000"/>
          <w:sz w:val="24"/>
          <w:szCs w:val="24"/>
          <w:lang w:eastAsia="de-DE"/>
        </w:rPr>
        <w:t xml:space="preserve"> </w:t>
      </w:r>
      <w:r w:rsidR="00DC48C3" w:rsidRPr="00F108E1">
        <w:rPr>
          <w:rFonts w:eastAsia="Times New Roman"/>
          <w:color w:val="000000"/>
          <w:sz w:val="24"/>
          <w:szCs w:val="24"/>
          <w:lang w:eastAsia="de-DE"/>
        </w:rPr>
        <w:t>[</w:t>
      </w:r>
      <w:r w:rsidR="00DF2A2E" w:rsidRPr="00F108E1">
        <w:rPr>
          <w:rFonts w:eastAsia="Times New Roman"/>
          <w:color w:val="000000"/>
          <w:sz w:val="24"/>
          <w:szCs w:val="24"/>
          <w:lang w:eastAsia="de-DE"/>
        </w:rPr>
        <w:t xml:space="preserve">see </w:t>
      </w:r>
      <w:r w:rsidR="005863C9">
        <w:t>COM(2025) 81 final</w:t>
      </w:r>
      <w:r w:rsidR="00CC6F2A">
        <w:t>,</w:t>
      </w:r>
      <w:r w:rsidR="005863C9">
        <w:t xml:space="preserve"> page 2</w:t>
      </w:r>
      <w:r w:rsidR="00CC6F2A">
        <w:t>;</w:t>
      </w:r>
      <w:r w:rsidR="005863C9">
        <w:t xml:space="preserve"> see </w:t>
      </w:r>
      <w:r w:rsidR="00AE39B2">
        <w:rPr>
          <w:rFonts w:eastAsia="Times New Roman"/>
          <w:color w:val="000000"/>
          <w:sz w:val="24"/>
          <w:szCs w:val="24"/>
          <w:lang w:eastAsia="de-DE"/>
        </w:rPr>
        <w:t xml:space="preserve">also </w:t>
      </w:r>
      <w:hyperlink r:id="rId30" w:history="1">
        <w:r w:rsidR="00F108E1">
          <w:rPr>
            <w:rStyle w:val="Hyperlink"/>
          </w:rPr>
          <w:t>10017eb1-4722-4333-add2-e0ed18105a34_en</w:t>
        </w:r>
      </w:hyperlink>
      <w:r w:rsidR="00DF2A2E" w:rsidRPr="00F108E1">
        <w:rPr>
          <w:rFonts w:eastAsia="Times New Roman"/>
          <w:color w:val="000000"/>
          <w:sz w:val="24"/>
          <w:szCs w:val="24"/>
          <w:lang w:eastAsia="de-DE"/>
        </w:rPr>
        <w:t>, page 17/18</w:t>
      </w:r>
      <w:r w:rsidR="00DC48C3" w:rsidRPr="00F108E1">
        <w:rPr>
          <w:rFonts w:eastAsia="Times New Roman"/>
          <w:color w:val="000000"/>
          <w:sz w:val="24"/>
          <w:szCs w:val="24"/>
          <w:lang w:eastAsia="de-DE"/>
        </w:rPr>
        <w:t>]</w:t>
      </w:r>
      <w:r w:rsidRPr="00F108E1">
        <w:rPr>
          <w:rFonts w:eastAsia="Times New Roman"/>
          <w:color w:val="000000"/>
          <w:sz w:val="24"/>
          <w:szCs w:val="24"/>
          <w:lang w:eastAsia="de-DE"/>
        </w:rPr>
        <w:t xml:space="preserve">. </w:t>
      </w:r>
      <w:r w:rsidR="006303F0" w:rsidRPr="00F108E1">
        <w:rPr>
          <w:rFonts w:eastAsia="Times New Roman"/>
          <w:color w:val="000000"/>
          <w:sz w:val="24"/>
          <w:szCs w:val="24"/>
          <w:lang w:eastAsia="de-DE"/>
        </w:rPr>
        <w:t>Naturally,</w:t>
      </w:r>
      <w:r w:rsidRPr="00F108E1">
        <w:rPr>
          <w:rFonts w:eastAsia="Times New Roman"/>
          <w:color w:val="000000"/>
          <w:sz w:val="24"/>
          <w:szCs w:val="24"/>
          <w:lang w:eastAsia="de-DE"/>
        </w:rPr>
        <w:t xml:space="preserve"> for smaller </w:t>
      </w:r>
      <w:r w:rsidR="005863C9">
        <w:rPr>
          <w:rFonts w:eastAsia="Times New Roman"/>
          <w:color w:val="000000"/>
          <w:sz w:val="24"/>
          <w:szCs w:val="24"/>
          <w:lang w:eastAsia="de-DE"/>
        </w:rPr>
        <w:t xml:space="preserve">entities or voluntary reporting </w:t>
      </w:r>
      <w:r w:rsidRPr="00F108E1">
        <w:rPr>
          <w:rFonts w:eastAsia="Times New Roman"/>
          <w:color w:val="000000"/>
          <w:sz w:val="24"/>
          <w:szCs w:val="24"/>
          <w:lang w:eastAsia="de-DE"/>
        </w:rPr>
        <w:t xml:space="preserve">a staggered approach could be </w:t>
      </w:r>
      <w:r w:rsidR="005863C9">
        <w:rPr>
          <w:rFonts w:eastAsia="Times New Roman"/>
          <w:color w:val="000000"/>
          <w:sz w:val="24"/>
          <w:szCs w:val="24"/>
          <w:lang w:eastAsia="de-DE"/>
        </w:rPr>
        <w:t xml:space="preserve">useful </w:t>
      </w:r>
      <w:r w:rsidR="00F108E1">
        <w:rPr>
          <w:rFonts w:eastAsia="Times New Roman"/>
          <w:color w:val="000000"/>
          <w:sz w:val="24"/>
          <w:szCs w:val="24"/>
          <w:lang w:eastAsia="de-DE"/>
        </w:rPr>
        <w:t xml:space="preserve">though keeping in mind the </w:t>
      </w:r>
      <w:r w:rsidR="004807EC">
        <w:rPr>
          <w:rFonts w:eastAsia="Times New Roman"/>
          <w:color w:val="000000"/>
          <w:sz w:val="24"/>
          <w:szCs w:val="24"/>
          <w:lang w:eastAsia="de-DE"/>
        </w:rPr>
        <w:t>availability</w:t>
      </w:r>
      <w:r w:rsidR="00F108E1">
        <w:rPr>
          <w:rFonts w:eastAsia="Times New Roman"/>
          <w:color w:val="000000"/>
          <w:sz w:val="24"/>
          <w:szCs w:val="24"/>
          <w:lang w:eastAsia="de-DE"/>
        </w:rPr>
        <w:t xml:space="preserve"> of </w:t>
      </w:r>
      <w:r w:rsidR="00F108E1" w:rsidRPr="00F108E1">
        <w:rPr>
          <w:rFonts w:eastAsia="Times New Roman"/>
          <w:color w:val="000000"/>
          <w:sz w:val="24"/>
          <w:szCs w:val="24"/>
          <w:lang w:eastAsia="de-DE"/>
        </w:rPr>
        <w:t>emission data based on ESRS E1</w:t>
      </w:r>
      <w:r w:rsidR="000B73DB" w:rsidRPr="00F108E1">
        <w:rPr>
          <w:rFonts w:eastAsia="Times New Roman"/>
          <w:color w:val="000000"/>
          <w:sz w:val="24"/>
          <w:szCs w:val="24"/>
          <w:lang w:eastAsia="de-DE"/>
        </w:rPr>
        <w:t>.</w:t>
      </w:r>
    </w:p>
    <w:p w14:paraId="096178C9" w14:textId="77777777" w:rsidR="00F108E1" w:rsidRDefault="00F108E1" w:rsidP="00F108E1">
      <w:pPr>
        <w:spacing w:after="0" w:line="240" w:lineRule="auto"/>
        <w:jc w:val="left"/>
        <w:rPr>
          <w:rFonts w:eastAsia="Times New Roman"/>
          <w:color w:val="000000"/>
          <w:sz w:val="24"/>
          <w:szCs w:val="24"/>
          <w:lang w:eastAsia="de-DE"/>
        </w:rPr>
      </w:pPr>
    </w:p>
    <w:p w14:paraId="4FE397B3" w14:textId="42D6D23C" w:rsidR="007D4F05" w:rsidRDefault="007A2E4E" w:rsidP="00F108E1">
      <w:pPr>
        <w:spacing w:after="0" w:line="240" w:lineRule="auto"/>
        <w:jc w:val="left"/>
        <w:rPr>
          <w:rFonts w:eastAsia="Times New Roman"/>
          <w:color w:val="000000"/>
          <w:sz w:val="24"/>
          <w:szCs w:val="24"/>
          <w:lang w:eastAsia="de-DE"/>
        </w:rPr>
      </w:pPr>
      <w:r>
        <w:rPr>
          <w:rFonts w:eastAsia="Times New Roman"/>
          <w:color w:val="000000"/>
          <w:sz w:val="24"/>
          <w:szCs w:val="24"/>
          <w:lang w:eastAsia="de-DE"/>
        </w:rPr>
        <w:t>I</w:t>
      </w:r>
      <w:r w:rsidR="00DC48C3" w:rsidRPr="00F108E1">
        <w:rPr>
          <w:rFonts w:eastAsia="Times New Roman"/>
          <w:color w:val="000000"/>
          <w:sz w:val="24"/>
          <w:szCs w:val="24"/>
          <w:lang w:eastAsia="de-DE"/>
        </w:rPr>
        <w:t xml:space="preserve">t </w:t>
      </w:r>
      <w:r>
        <w:rPr>
          <w:rFonts w:eastAsia="Times New Roman"/>
          <w:color w:val="000000"/>
          <w:sz w:val="24"/>
          <w:szCs w:val="24"/>
          <w:lang w:eastAsia="de-DE"/>
        </w:rPr>
        <w:t xml:space="preserve">would be </w:t>
      </w:r>
      <w:r w:rsidR="004807EC">
        <w:rPr>
          <w:rFonts w:eastAsia="Times New Roman"/>
          <w:color w:val="000000"/>
          <w:sz w:val="24"/>
          <w:szCs w:val="24"/>
          <w:lang w:eastAsia="de-DE"/>
        </w:rPr>
        <w:t>beneficial</w:t>
      </w:r>
      <w:r w:rsidR="00CD7CC4">
        <w:rPr>
          <w:rFonts w:eastAsia="Times New Roman"/>
          <w:color w:val="000000"/>
          <w:sz w:val="24"/>
          <w:szCs w:val="24"/>
          <w:lang w:eastAsia="de-DE"/>
        </w:rPr>
        <w:t xml:space="preserve"> </w:t>
      </w:r>
      <w:r w:rsidR="00DC48C3" w:rsidRPr="00F108E1">
        <w:rPr>
          <w:rFonts w:eastAsia="Times New Roman"/>
          <w:color w:val="000000"/>
          <w:sz w:val="24"/>
          <w:szCs w:val="24"/>
          <w:lang w:eastAsia="de-DE"/>
        </w:rPr>
        <w:t xml:space="preserve">if ESG tagging </w:t>
      </w:r>
      <w:r>
        <w:rPr>
          <w:rFonts w:eastAsia="Times New Roman"/>
          <w:color w:val="000000"/>
          <w:sz w:val="24"/>
          <w:szCs w:val="24"/>
          <w:lang w:eastAsia="de-DE"/>
        </w:rPr>
        <w:t xml:space="preserve">is </w:t>
      </w:r>
      <w:r w:rsidR="00DC48C3" w:rsidRPr="00F108E1">
        <w:rPr>
          <w:rFonts w:eastAsia="Times New Roman"/>
          <w:color w:val="000000"/>
          <w:sz w:val="24"/>
          <w:szCs w:val="24"/>
          <w:lang w:eastAsia="de-DE"/>
        </w:rPr>
        <w:t xml:space="preserve">rather simple in the first stage in order to gain helpful experience for an easier transition of ESG tagging </w:t>
      </w:r>
      <w:r>
        <w:rPr>
          <w:rFonts w:eastAsia="Times New Roman"/>
          <w:color w:val="000000"/>
          <w:sz w:val="24"/>
          <w:szCs w:val="24"/>
          <w:lang w:eastAsia="de-DE"/>
        </w:rPr>
        <w:t xml:space="preserve">to smaller and </w:t>
      </w:r>
      <w:r w:rsidR="00DC48C3" w:rsidRPr="00F108E1">
        <w:rPr>
          <w:rFonts w:eastAsia="Times New Roman"/>
          <w:color w:val="000000"/>
          <w:sz w:val="24"/>
          <w:szCs w:val="24"/>
          <w:lang w:eastAsia="de-DE"/>
        </w:rPr>
        <w:t xml:space="preserve">unlisted </w:t>
      </w:r>
      <w:r w:rsidR="004807EC" w:rsidRPr="00F108E1">
        <w:rPr>
          <w:rFonts w:eastAsia="Times New Roman"/>
          <w:color w:val="000000"/>
          <w:sz w:val="24"/>
          <w:szCs w:val="24"/>
          <w:lang w:eastAsia="de-DE"/>
        </w:rPr>
        <w:t>entities</w:t>
      </w:r>
      <w:r w:rsidR="00DC48C3" w:rsidRPr="00F108E1">
        <w:rPr>
          <w:rFonts w:eastAsia="Times New Roman"/>
          <w:color w:val="000000"/>
          <w:sz w:val="24"/>
          <w:szCs w:val="24"/>
          <w:lang w:eastAsia="de-DE"/>
        </w:rPr>
        <w:t>.</w:t>
      </w:r>
      <w:r w:rsidR="00EB5683" w:rsidRPr="00F108E1">
        <w:rPr>
          <w:rFonts w:eastAsia="Times New Roman"/>
          <w:color w:val="000000"/>
          <w:sz w:val="24"/>
          <w:szCs w:val="24"/>
          <w:lang w:eastAsia="de-DE"/>
        </w:rPr>
        <w:t xml:space="preserve"> </w:t>
      </w:r>
      <w:r w:rsidR="007A4559">
        <w:rPr>
          <w:rFonts w:eastAsia="Times New Roman"/>
          <w:color w:val="000000"/>
          <w:sz w:val="24"/>
          <w:szCs w:val="24"/>
          <w:lang w:eastAsia="de-DE"/>
        </w:rPr>
        <w:t xml:space="preserve">When weighing up, </w:t>
      </w:r>
      <w:r w:rsidR="008734A7" w:rsidRPr="0092688F">
        <w:rPr>
          <w:rFonts w:eastAsia="Times New Roman"/>
          <w:color w:val="000000"/>
          <w:sz w:val="24"/>
          <w:szCs w:val="24"/>
          <w:u w:val="single"/>
          <w:lang w:eastAsia="de-DE"/>
        </w:rPr>
        <w:t xml:space="preserve">“fewer tagged </w:t>
      </w:r>
      <w:r w:rsidR="00D67979" w:rsidRPr="0092688F">
        <w:rPr>
          <w:rFonts w:eastAsia="Times New Roman"/>
          <w:color w:val="000000"/>
          <w:sz w:val="24"/>
          <w:szCs w:val="24"/>
          <w:u w:val="single"/>
          <w:lang w:eastAsia="de-DE"/>
        </w:rPr>
        <w:t xml:space="preserve">and fully comparable </w:t>
      </w:r>
      <w:r w:rsidR="00EB36E4" w:rsidRPr="0092688F">
        <w:rPr>
          <w:rFonts w:eastAsia="Times New Roman"/>
          <w:color w:val="000000"/>
          <w:sz w:val="24"/>
          <w:szCs w:val="24"/>
          <w:u w:val="single"/>
          <w:lang w:eastAsia="de-DE"/>
        </w:rPr>
        <w:t>data point</w:t>
      </w:r>
      <w:r w:rsidR="008734A7" w:rsidRPr="0092688F">
        <w:rPr>
          <w:rFonts w:eastAsia="Times New Roman"/>
          <w:color w:val="000000"/>
          <w:sz w:val="24"/>
          <w:szCs w:val="24"/>
          <w:u w:val="single"/>
          <w:lang w:eastAsia="de-DE"/>
        </w:rPr>
        <w:t xml:space="preserve">s </w:t>
      </w:r>
      <w:r w:rsidRPr="0092688F">
        <w:rPr>
          <w:rFonts w:eastAsia="Times New Roman"/>
          <w:color w:val="000000"/>
          <w:sz w:val="24"/>
          <w:szCs w:val="24"/>
          <w:u w:val="single"/>
          <w:lang w:eastAsia="de-DE"/>
        </w:rPr>
        <w:t xml:space="preserve">- </w:t>
      </w:r>
      <w:r w:rsidR="004D2F0A" w:rsidRPr="0092688F">
        <w:rPr>
          <w:rFonts w:eastAsia="Times New Roman"/>
          <w:color w:val="000000"/>
          <w:sz w:val="24"/>
          <w:szCs w:val="24"/>
          <w:u w:val="single"/>
          <w:lang w:eastAsia="de-DE"/>
        </w:rPr>
        <w:t>here particularly for ESRS E1</w:t>
      </w:r>
      <w:r w:rsidRPr="0092688F">
        <w:rPr>
          <w:rFonts w:eastAsia="Times New Roman"/>
          <w:color w:val="000000"/>
          <w:sz w:val="24"/>
          <w:szCs w:val="24"/>
          <w:u w:val="single"/>
          <w:lang w:eastAsia="de-DE"/>
        </w:rPr>
        <w:t xml:space="preserve"> -</w:t>
      </w:r>
      <w:r w:rsidR="004D2F0A" w:rsidRPr="0092688F">
        <w:rPr>
          <w:rFonts w:eastAsia="Times New Roman"/>
          <w:color w:val="000000"/>
          <w:sz w:val="24"/>
          <w:szCs w:val="24"/>
          <w:u w:val="single"/>
          <w:lang w:eastAsia="de-DE"/>
        </w:rPr>
        <w:t xml:space="preserve"> </w:t>
      </w:r>
      <w:r w:rsidR="008734A7" w:rsidRPr="0092688F">
        <w:rPr>
          <w:rFonts w:eastAsia="Times New Roman"/>
          <w:color w:val="000000"/>
          <w:sz w:val="24"/>
          <w:szCs w:val="24"/>
          <w:u w:val="single"/>
          <w:lang w:eastAsia="de-DE"/>
        </w:rPr>
        <w:t>by many companies”</w:t>
      </w:r>
      <w:r w:rsidR="008734A7" w:rsidRPr="00F108E1">
        <w:rPr>
          <w:rFonts w:eastAsia="Times New Roman"/>
          <w:color w:val="000000"/>
          <w:sz w:val="24"/>
          <w:szCs w:val="24"/>
          <w:lang w:eastAsia="de-DE"/>
        </w:rPr>
        <w:t xml:space="preserve"> </w:t>
      </w:r>
      <w:r w:rsidR="007A4559">
        <w:rPr>
          <w:rFonts w:eastAsia="Times New Roman"/>
          <w:color w:val="000000"/>
          <w:sz w:val="24"/>
          <w:szCs w:val="24"/>
          <w:lang w:eastAsia="de-DE"/>
        </w:rPr>
        <w:t xml:space="preserve">are preferred </w:t>
      </w:r>
      <w:r w:rsidR="008734A7" w:rsidRPr="00F108E1">
        <w:rPr>
          <w:rFonts w:eastAsia="Times New Roman"/>
          <w:color w:val="000000"/>
          <w:sz w:val="24"/>
          <w:szCs w:val="24"/>
          <w:lang w:eastAsia="de-DE"/>
        </w:rPr>
        <w:t>in contrast to “many tagged</w:t>
      </w:r>
      <w:r w:rsidR="00D67979" w:rsidRPr="00F108E1">
        <w:rPr>
          <w:rFonts w:eastAsia="Times New Roman"/>
          <w:color w:val="000000"/>
          <w:sz w:val="24"/>
          <w:szCs w:val="24"/>
          <w:lang w:eastAsia="de-DE"/>
        </w:rPr>
        <w:t>, not entirely comparable</w:t>
      </w:r>
      <w:r w:rsidR="008734A7" w:rsidRPr="00F108E1">
        <w:rPr>
          <w:rFonts w:eastAsia="Times New Roman"/>
          <w:color w:val="000000"/>
          <w:sz w:val="24"/>
          <w:szCs w:val="24"/>
          <w:lang w:eastAsia="de-DE"/>
        </w:rPr>
        <w:t xml:space="preserve"> </w:t>
      </w:r>
      <w:r w:rsidR="00EB36E4">
        <w:rPr>
          <w:rFonts w:eastAsia="Times New Roman"/>
          <w:color w:val="000000"/>
          <w:sz w:val="24"/>
          <w:szCs w:val="24"/>
          <w:lang w:eastAsia="de-DE"/>
        </w:rPr>
        <w:t>data point</w:t>
      </w:r>
      <w:r w:rsidR="008734A7" w:rsidRPr="00F108E1">
        <w:rPr>
          <w:rFonts w:eastAsia="Times New Roman"/>
          <w:color w:val="000000"/>
          <w:sz w:val="24"/>
          <w:szCs w:val="24"/>
          <w:lang w:eastAsia="de-DE"/>
        </w:rPr>
        <w:t>s by fewer companies”.</w:t>
      </w:r>
      <w:r w:rsidR="00DF676A" w:rsidRPr="00F108E1">
        <w:rPr>
          <w:rFonts w:eastAsia="Times New Roman"/>
          <w:color w:val="000000"/>
          <w:sz w:val="24"/>
          <w:szCs w:val="24"/>
          <w:lang w:eastAsia="de-DE"/>
        </w:rPr>
        <w:t xml:space="preserve"> </w:t>
      </w:r>
      <w:r w:rsidR="00575882" w:rsidRPr="00F108E1">
        <w:rPr>
          <w:rFonts w:eastAsia="Times New Roman"/>
          <w:color w:val="000000"/>
          <w:sz w:val="24"/>
          <w:szCs w:val="24"/>
          <w:lang w:eastAsia="de-DE"/>
        </w:rPr>
        <w:t xml:space="preserve">This approach </w:t>
      </w:r>
      <w:r>
        <w:rPr>
          <w:rFonts w:eastAsia="Times New Roman"/>
          <w:color w:val="000000"/>
          <w:sz w:val="24"/>
          <w:szCs w:val="24"/>
          <w:lang w:eastAsia="de-DE"/>
        </w:rPr>
        <w:t>would ensure</w:t>
      </w:r>
      <w:r w:rsidR="00575882" w:rsidRPr="00F108E1">
        <w:rPr>
          <w:rFonts w:eastAsia="Times New Roman"/>
          <w:color w:val="000000"/>
          <w:sz w:val="24"/>
          <w:szCs w:val="24"/>
          <w:lang w:eastAsia="de-DE"/>
        </w:rPr>
        <w:t xml:space="preserve"> broad participation by requiring many companies to provide </w:t>
      </w:r>
      <w:r>
        <w:rPr>
          <w:rFonts w:eastAsia="Times New Roman"/>
          <w:color w:val="000000"/>
          <w:sz w:val="24"/>
          <w:szCs w:val="24"/>
          <w:lang w:eastAsia="de-DE"/>
        </w:rPr>
        <w:t xml:space="preserve">the most important data to be </w:t>
      </w:r>
      <w:r w:rsidR="00575882" w:rsidRPr="00F108E1">
        <w:rPr>
          <w:rFonts w:eastAsia="Times New Roman"/>
          <w:color w:val="000000"/>
          <w:sz w:val="24"/>
          <w:szCs w:val="24"/>
          <w:lang w:eastAsia="de-DE"/>
        </w:rPr>
        <w:t xml:space="preserve">tagged, offering a comprehensive market view. While less detailed, it allows for basic comparisons across numerous companies, aiding high-level analysis. It also reduces the administrative burden on companies. A balanced strategy involves mandating a core set of essential data points for all companies and encouraging more detailed tagging for larger ones. Gradually increasing the required tagged data points over time </w:t>
      </w:r>
      <w:r>
        <w:rPr>
          <w:rFonts w:eastAsia="Times New Roman"/>
          <w:color w:val="000000"/>
          <w:sz w:val="24"/>
          <w:szCs w:val="24"/>
          <w:lang w:eastAsia="de-DE"/>
        </w:rPr>
        <w:t>would help</w:t>
      </w:r>
      <w:r w:rsidR="00575882" w:rsidRPr="00F108E1">
        <w:rPr>
          <w:rFonts w:eastAsia="Times New Roman"/>
          <w:color w:val="000000"/>
          <w:sz w:val="24"/>
          <w:szCs w:val="24"/>
          <w:lang w:eastAsia="de-DE"/>
        </w:rPr>
        <w:t xml:space="preserve"> companies adapt without being overwhelmed, maximi</w:t>
      </w:r>
      <w:r w:rsidR="00BE3FE9">
        <w:rPr>
          <w:rFonts w:eastAsia="Times New Roman"/>
          <w:color w:val="000000"/>
          <w:sz w:val="24"/>
          <w:szCs w:val="24"/>
          <w:lang w:eastAsia="de-DE"/>
        </w:rPr>
        <w:t>s</w:t>
      </w:r>
      <w:r w:rsidR="00575882" w:rsidRPr="00F108E1">
        <w:rPr>
          <w:rFonts w:eastAsia="Times New Roman"/>
          <w:color w:val="000000"/>
          <w:sz w:val="24"/>
          <w:szCs w:val="24"/>
          <w:lang w:eastAsia="de-DE"/>
        </w:rPr>
        <w:t>ing the benefits of both broad coverage and detailed data.</w:t>
      </w:r>
    </w:p>
    <w:p w14:paraId="7B14D4E5" w14:textId="77777777" w:rsidR="007A2E4E" w:rsidRPr="00F108E1" w:rsidRDefault="007A2E4E" w:rsidP="00F108E1">
      <w:pPr>
        <w:spacing w:after="0" w:line="240" w:lineRule="auto"/>
        <w:jc w:val="left"/>
        <w:rPr>
          <w:rFonts w:eastAsia="Times New Roman"/>
          <w:color w:val="000000"/>
          <w:sz w:val="24"/>
          <w:szCs w:val="24"/>
          <w:lang w:eastAsia="de-DE"/>
        </w:rPr>
      </w:pP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008EA486" w14:textId="77777777" w:rsidR="0043249F" w:rsidRDefault="0043249F" w:rsidP="007D4F05">
      <w:pPr>
        <w:spacing w:after="0"/>
        <w:rPr>
          <w:sz w:val="20"/>
          <w:szCs w:val="18"/>
        </w:rPr>
      </w:pPr>
      <w:permStart w:id="91707497" w:edGrp="everyone"/>
    </w:p>
    <w:p w14:paraId="65FC6974" w14:textId="2EF62B15" w:rsidR="00326EED" w:rsidRDefault="00CC187D" w:rsidP="00CC187D">
      <w:pPr>
        <w:spacing w:after="0" w:line="240" w:lineRule="auto"/>
        <w:jc w:val="left"/>
        <w:rPr>
          <w:rFonts w:eastAsia="Times New Roman"/>
          <w:color w:val="000000"/>
          <w:sz w:val="24"/>
          <w:szCs w:val="24"/>
          <w:lang w:eastAsia="de-DE"/>
        </w:rPr>
      </w:pPr>
      <w:r>
        <w:rPr>
          <w:rFonts w:eastAsia="Times New Roman"/>
          <w:color w:val="000000"/>
          <w:sz w:val="24"/>
          <w:szCs w:val="24"/>
          <w:lang w:eastAsia="de-DE"/>
        </w:rPr>
        <w:t>S</w:t>
      </w:r>
      <w:r w:rsidR="00FE5E91" w:rsidRPr="00CC187D">
        <w:rPr>
          <w:rFonts w:eastAsia="Times New Roman"/>
          <w:color w:val="000000"/>
          <w:sz w:val="24"/>
          <w:szCs w:val="24"/>
          <w:lang w:eastAsia="de-DE"/>
        </w:rPr>
        <w:t xml:space="preserve">etting </w:t>
      </w:r>
      <w:r>
        <w:rPr>
          <w:rFonts w:eastAsia="Times New Roman"/>
          <w:color w:val="000000"/>
          <w:sz w:val="24"/>
          <w:szCs w:val="24"/>
          <w:lang w:eastAsia="de-DE"/>
        </w:rPr>
        <w:t xml:space="preserve">up </w:t>
      </w:r>
      <w:r w:rsidR="00FE5E91" w:rsidRPr="00CC187D">
        <w:rPr>
          <w:rFonts w:eastAsia="Times New Roman"/>
          <w:color w:val="000000"/>
          <w:sz w:val="24"/>
          <w:szCs w:val="24"/>
          <w:lang w:eastAsia="de-DE"/>
        </w:rPr>
        <w:t xml:space="preserve">phases </w:t>
      </w:r>
      <w:r w:rsidR="00EC03D6" w:rsidRPr="00CC187D">
        <w:rPr>
          <w:rFonts w:eastAsia="Times New Roman"/>
          <w:color w:val="000000"/>
          <w:sz w:val="24"/>
          <w:szCs w:val="24"/>
          <w:lang w:eastAsia="de-DE"/>
        </w:rPr>
        <w:t xml:space="preserve">for ESRS digital reporting </w:t>
      </w:r>
      <w:r w:rsidR="00FE5E91" w:rsidRPr="00CC187D">
        <w:rPr>
          <w:rFonts w:eastAsia="Times New Roman"/>
          <w:color w:val="000000"/>
          <w:sz w:val="24"/>
          <w:szCs w:val="24"/>
          <w:lang w:eastAsia="de-DE"/>
        </w:rPr>
        <w:t xml:space="preserve">and </w:t>
      </w:r>
      <w:r>
        <w:rPr>
          <w:rFonts w:eastAsia="Times New Roman"/>
          <w:color w:val="000000"/>
          <w:sz w:val="24"/>
          <w:szCs w:val="24"/>
          <w:lang w:eastAsia="de-DE"/>
        </w:rPr>
        <w:t xml:space="preserve">determining </w:t>
      </w:r>
      <w:r w:rsidR="00FE5E91" w:rsidRPr="00CC187D">
        <w:rPr>
          <w:rFonts w:eastAsia="Times New Roman"/>
          <w:color w:val="000000"/>
          <w:sz w:val="24"/>
          <w:szCs w:val="24"/>
          <w:lang w:eastAsia="de-DE"/>
        </w:rPr>
        <w:t xml:space="preserve">the content to be marked up in </w:t>
      </w:r>
      <w:r>
        <w:rPr>
          <w:rFonts w:eastAsia="Times New Roman"/>
          <w:color w:val="000000"/>
          <w:sz w:val="24"/>
          <w:szCs w:val="24"/>
          <w:lang w:eastAsia="de-DE"/>
        </w:rPr>
        <w:t>the first two phases is supported</w:t>
      </w:r>
      <w:r w:rsidR="00413845">
        <w:rPr>
          <w:rFonts w:eastAsia="Times New Roman"/>
          <w:color w:val="000000"/>
          <w:sz w:val="24"/>
          <w:szCs w:val="24"/>
          <w:lang w:eastAsia="de-DE"/>
        </w:rPr>
        <w:t xml:space="preserve"> from a statistical user perspective</w:t>
      </w:r>
      <w:r>
        <w:rPr>
          <w:rFonts w:eastAsia="Times New Roman"/>
          <w:color w:val="000000"/>
          <w:sz w:val="24"/>
          <w:szCs w:val="24"/>
          <w:lang w:eastAsia="de-DE"/>
        </w:rPr>
        <w:t>.</w:t>
      </w:r>
      <w:r w:rsidR="00EC03D6" w:rsidRPr="00CC187D">
        <w:rPr>
          <w:rFonts w:eastAsia="Times New Roman"/>
          <w:color w:val="000000"/>
          <w:sz w:val="24"/>
          <w:szCs w:val="24"/>
          <w:lang w:eastAsia="de-DE"/>
        </w:rPr>
        <w:t xml:space="preserve"> However, </w:t>
      </w:r>
      <w:r w:rsidR="00FE5E91" w:rsidRPr="00CC187D">
        <w:rPr>
          <w:rFonts w:eastAsia="Times New Roman"/>
          <w:color w:val="000000"/>
          <w:sz w:val="24"/>
          <w:szCs w:val="24"/>
          <w:lang w:eastAsia="de-DE"/>
        </w:rPr>
        <w:t xml:space="preserve">the </w:t>
      </w:r>
      <w:r w:rsidR="00EC03D6" w:rsidRPr="00CC187D">
        <w:rPr>
          <w:rFonts w:eastAsia="Times New Roman"/>
          <w:color w:val="000000"/>
          <w:sz w:val="24"/>
          <w:szCs w:val="24"/>
          <w:lang w:eastAsia="de-DE"/>
        </w:rPr>
        <w:t xml:space="preserve">proposed </w:t>
      </w:r>
      <w:r w:rsidR="00FE5E91" w:rsidRPr="00CC187D">
        <w:rPr>
          <w:rFonts w:eastAsia="Times New Roman"/>
          <w:color w:val="000000"/>
          <w:sz w:val="24"/>
          <w:szCs w:val="24"/>
          <w:lang w:eastAsia="de-DE"/>
        </w:rPr>
        <w:t>magnitude in the first phase</w:t>
      </w:r>
      <w:r>
        <w:rPr>
          <w:rFonts w:eastAsia="Times New Roman"/>
          <w:color w:val="000000"/>
          <w:sz w:val="24"/>
          <w:szCs w:val="24"/>
          <w:lang w:eastAsia="de-DE"/>
        </w:rPr>
        <w:t xml:space="preserve"> raises </w:t>
      </w:r>
      <w:r w:rsidRPr="00CC187D">
        <w:rPr>
          <w:rFonts w:eastAsia="Times New Roman"/>
          <w:color w:val="000000"/>
          <w:sz w:val="24"/>
          <w:szCs w:val="24"/>
          <w:lang w:eastAsia="de-DE"/>
        </w:rPr>
        <w:t>concerns</w:t>
      </w:r>
      <w:r w:rsidR="00EC03D6" w:rsidRPr="00CC187D">
        <w:rPr>
          <w:rFonts w:eastAsia="Times New Roman"/>
          <w:color w:val="000000"/>
          <w:sz w:val="24"/>
          <w:szCs w:val="24"/>
          <w:lang w:eastAsia="de-DE"/>
        </w:rPr>
        <w:t xml:space="preserve">, e.g. the number of numerical data points to be tagged is </w:t>
      </w:r>
      <w:r>
        <w:rPr>
          <w:rFonts w:eastAsia="Times New Roman"/>
          <w:color w:val="000000"/>
          <w:sz w:val="24"/>
          <w:szCs w:val="24"/>
          <w:lang w:eastAsia="de-DE"/>
        </w:rPr>
        <w:t xml:space="preserve">with an estimate of more than 250 (if material) substantial </w:t>
      </w:r>
      <w:r w:rsidR="00EC03D6" w:rsidRPr="00CC187D">
        <w:rPr>
          <w:rFonts w:eastAsia="Times New Roman"/>
          <w:color w:val="000000"/>
          <w:sz w:val="24"/>
          <w:szCs w:val="24"/>
          <w:lang w:eastAsia="de-DE"/>
        </w:rPr>
        <w:lastRenderedPageBreak/>
        <w:t xml:space="preserve">high. </w:t>
      </w:r>
      <w:r>
        <w:rPr>
          <w:rFonts w:eastAsia="Times New Roman"/>
          <w:color w:val="000000"/>
          <w:sz w:val="24"/>
          <w:szCs w:val="24"/>
          <w:lang w:eastAsia="de-DE"/>
        </w:rPr>
        <w:t xml:space="preserve">Further narrative tagging </w:t>
      </w:r>
      <w:r w:rsidR="00326EED">
        <w:rPr>
          <w:rFonts w:eastAsia="Times New Roman"/>
          <w:color w:val="000000"/>
          <w:sz w:val="24"/>
          <w:szCs w:val="24"/>
          <w:lang w:eastAsia="de-DE"/>
        </w:rPr>
        <w:t xml:space="preserve">of estimated more than 200 data points </w:t>
      </w:r>
      <w:r>
        <w:rPr>
          <w:rFonts w:eastAsia="Times New Roman"/>
          <w:color w:val="000000"/>
          <w:sz w:val="24"/>
          <w:szCs w:val="24"/>
          <w:lang w:eastAsia="de-DE"/>
        </w:rPr>
        <w:t>would add on this</w:t>
      </w:r>
      <w:r w:rsidR="00326EED">
        <w:rPr>
          <w:rFonts w:eastAsia="Times New Roman"/>
          <w:color w:val="000000"/>
          <w:sz w:val="24"/>
          <w:szCs w:val="24"/>
          <w:lang w:eastAsia="de-DE"/>
        </w:rPr>
        <w:t>.</w:t>
      </w:r>
    </w:p>
    <w:p w14:paraId="7F492467" w14:textId="77777777" w:rsidR="00326EED" w:rsidRDefault="00326EED" w:rsidP="00CC187D">
      <w:pPr>
        <w:spacing w:after="0" w:line="240" w:lineRule="auto"/>
        <w:jc w:val="left"/>
        <w:rPr>
          <w:rFonts w:eastAsia="Times New Roman"/>
          <w:color w:val="000000"/>
          <w:sz w:val="24"/>
          <w:szCs w:val="24"/>
          <w:lang w:eastAsia="de-DE"/>
        </w:rPr>
      </w:pPr>
    </w:p>
    <w:p w14:paraId="40DF5AFF" w14:textId="72FD6CF0" w:rsidR="00FC67B1" w:rsidRDefault="00FE5E91" w:rsidP="00CC187D">
      <w:pPr>
        <w:spacing w:after="0" w:line="240" w:lineRule="auto"/>
        <w:jc w:val="left"/>
        <w:rPr>
          <w:rFonts w:eastAsia="Times New Roman"/>
          <w:color w:val="000000"/>
          <w:sz w:val="24"/>
          <w:szCs w:val="24"/>
          <w:lang w:eastAsia="de-DE"/>
        </w:rPr>
      </w:pPr>
      <w:r w:rsidRPr="00CC187D">
        <w:rPr>
          <w:rFonts w:eastAsia="Times New Roman"/>
          <w:color w:val="000000"/>
          <w:sz w:val="24"/>
          <w:szCs w:val="24"/>
          <w:lang w:eastAsia="de-DE"/>
        </w:rPr>
        <w:t xml:space="preserve">As described </w:t>
      </w:r>
      <w:r w:rsidR="00326EED">
        <w:rPr>
          <w:rFonts w:eastAsia="Times New Roman"/>
          <w:color w:val="000000"/>
          <w:sz w:val="24"/>
          <w:szCs w:val="24"/>
          <w:lang w:eastAsia="de-DE"/>
        </w:rPr>
        <w:t>in question 3</w:t>
      </w:r>
      <w:r w:rsidRPr="00CC187D">
        <w:rPr>
          <w:rFonts w:eastAsia="Times New Roman"/>
          <w:color w:val="000000"/>
          <w:sz w:val="24"/>
          <w:szCs w:val="24"/>
          <w:lang w:eastAsia="de-DE"/>
        </w:rPr>
        <w:t xml:space="preserve">, </w:t>
      </w:r>
      <w:r w:rsidR="00EC03D6" w:rsidRPr="00CC187D">
        <w:rPr>
          <w:rFonts w:eastAsia="Times New Roman"/>
          <w:color w:val="000000"/>
          <w:sz w:val="24"/>
          <w:szCs w:val="24"/>
          <w:lang w:eastAsia="de-DE"/>
        </w:rPr>
        <w:t xml:space="preserve">we </w:t>
      </w:r>
      <w:r w:rsidR="00EC03D6" w:rsidRPr="0092688F">
        <w:rPr>
          <w:rFonts w:eastAsia="Times New Roman"/>
          <w:color w:val="000000"/>
          <w:sz w:val="24"/>
          <w:szCs w:val="24"/>
          <w:u w:val="single"/>
          <w:lang w:eastAsia="de-DE"/>
        </w:rPr>
        <w:t xml:space="preserve">prefer fewer tagged </w:t>
      </w:r>
      <w:r w:rsidR="00EB36E4" w:rsidRPr="0092688F">
        <w:rPr>
          <w:rFonts w:eastAsia="Times New Roman"/>
          <w:color w:val="000000"/>
          <w:sz w:val="24"/>
          <w:szCs w:val="24"/>
          <w:u w:val="single"/>
          <w:lang w:eastAsia="de-DE"/>
        </w:rPr>
        <w:t>data point</w:t>
      </w:r>
      <w:r w:rsidR="00EC03D6" w:rsidRPr="0092688F">
        <w:rPr>
          <w:rFonts w:eastAsia="Times New Roman"/>
          <w:color w:val="000000"/>
          <w:sz w:val="24"/>
          <w:szCs w:val="24"/>
          <w:u w:val="single"/>
          <w:lang w:eastAsia="de-DE"/>
        </w:rPr>
        <w:t xml:space="preserve">s by many companies in contrast to many tagged </w:t>
      </w:r>
      <w:r w:rsidR="00EB36E4" w:rsidRPr="0092688F">
        <w:rPr>
          <w:rFonts w:eastAsia="Times New Roman"/>
          <w:color w:val="000000"/>
          <w:sz w:val="24"/>
          <w:szCs w:val="24"/>
          <w:u w:val="single"/>
          <w:lang w:eastAsia="de-DE"/>
        </w:rPr>
        <w:t>data point</w:t>
      </w:r>
      <w:r w:rsidR="00EC03D6" w:rsidRPr="0092688F">
        <w:rPr>
          <w:rFonts w:eastAsia="Times New Roman"/>
          <w:color w:val="000000"/>
          <w:sz w:val="24"/>
          <w:szCs w:val="24"/>
          <w:u w:val="single"/>
          <w:lang w:eastAsia="de-DE"/>
        </w:rPr>
        <w:t>s by fewer companies</w:t>
      </w:r>
      <w:r w:rsidR="00EC03D6" w:rsidRPr="00CC187D">
        <w:rPr>
          <w:rFonts w:eastAsia="Times New Roman"/>
          <w:color w:val="000000"/>
          <w:sz w:val="24"/>
          <w:szCs w:val="24"/>
          <w:lang w:eastAsia="de-DE"/>
        </w:rPr>
        <w:t xml:space="preserve">. </w:t>
      </w:r>
      <w:r w:rsidR="00FC67B1" w:rsidRPr="00CC187D">
        <w:rPr>
          <w:rFonts w:eastAsia="Times New Roman"/>
          <w:color w:val="000000"/>
          <w:sz w:val="24"/>
          <w:szCs w:val="24"/>
          <w:lang w:eastAsia="de-DE"/>
        </w:rPr>
        <w:t xml:space="preserve">In keeping phase one rather simple, unlisted entities, which would have to start marking up a year later, could learn from listed entities from their first-year ESRS </w:t>
      </w:r>
      <w:r w:rsidR="00326EED">
        <w:rPr>
          <w:rFonts w:eastAsia="Times New Roman"/>
          <w:color w:val="000000"/>
          <w:sz w:val="24"/>
          <w:szCs w:val="24"/>
          <w:lang w:eastAsia="de-DE"/>
        </w:rPr>
        <w:t>tagging experience.</w:t>
      </w:r>
    </w:p>
    <w:p w14:paraId="771F984E" w14:textId="77777777" w:rsidR="00326EED" w:rsidRPr="00CC187D" w:rsidRDefault="00326EED" w:rsidP="00CC187D">
      <w:pPr>
        <w:spacing w:after="0" w:line="240" w:lineRule="auto"/>
        <w:jc w:val="left"/>
        <w:rPr>
          <w:rFonts w:eastAsia="Times New Roman"/>
          <w:color w:val="000000"/>
          <w:sz w:val="24"/>
          <w:szCs w:val="24"/>
          <w:lang w:eastAsia="de-DE"/>
        </w:rPr>
      </w:pPr>
    </w:p>
    <w:p w14:paraId="1B50463F" w14:textId="7C3D1FB3" w:rsidR="00FE5E91" w:rsidRPr="00326EED" w:rsidRDefault="00EC03D6" w:rsidP="00326EED">
      <w:pPr>
        <w:spacing w:after="0" w:line="240" w:lineRule="auto"/>
        <w:jc w:val="left"/>
        <w:rPr>
          <w:rFonts w:eastAsia="Times New Roman"/>
          <w:color w:val="000000"/>
          <w:sz w:val="24"/>
          <w:szCs w:val="24"/>
          <w:lang w:eastAsia="de-DE"/>
        </w:rPr>
      </w:pPr>
      <w:r w:rsidRPr="00326EED">
        <w:rPr>
          <w:rFonts w:eastAsia="Times New Roman"/>
          <w:color w:val="000000"/>
          <w:sz w:val="24"/>
          <w:szCs w:val="24"/>
          <w:lang w:eastAsia="de-DE"/>
        </w:rPr>
        <w:t xml:space="preserve">In this </w:t>
      </w:r>
      <w:r w:rsidR="006303F0" w:rsidRPr="00326EED">
        <w:rPr>
          <w:rFonts w:eastAsia="Times New Roman"/>
          <w:color w:val="000000"/>
          <w:sz w:val="24"/>
          <w:szCs w:val="24"/>
          <w:lang w:eastAsia="de-DE"/>
        </w:rPr>
        <w:t>respect,</w:t>
      </w:r>
      <w:r w:rsidRPr="00326EED">
        <w:rPr>
          <w:rFonts w:eastAsia="Times New Roman"/>
          <w:color w:val="000000"/>
          <w:sz w:val="24"/>
          <w:szCs w:val="24"/>
          <w:lang w:eastAsia="de-DE"/>
        </w:rPr>
        <w:t xml:space="preserve"> </w:t>
      </w:r>
      <w:r w:rsidR="00326EED">
        <w:rPr>
          <w:rFonts w:eastAsia="Times New Roman"/>
          <w:color w:val="000000"/>
          <w:sz w:val="24"/>
          <w:szCs w:val="24"/>
          <w:lang w:eastAsia="de-DE"/>
        </w:rPr>
        <w:t xml:space="preserve">the following </w:t>
      </w:r>
      <w:r w:rsidR="00FC67B1" w:rsidRPr="00326EED">
        <w:rPr>
          <w:rFonts w:eastAsia="Times New Roman"/>
          <w:color w:val="000000"/>
          <w:sz w:val="24"/>
          <w:szCs w:val="24"/>
          <w:lang w:eastAsia="de-DE"/>
        </w:rPr>
        <w:t xml:space="preserve">ESRS </w:t>
      </w:r>
      <w:r w:rsidR="00EB36E4" w:rsidRPr="00326EED">
        <w:rPr>
          <w:rFonts w:eastAsia="Times New Roman"/>
          <w:color w:val="000000"/>
          <w:sz w:val="24"/>
          <w:szCs w:val="24"/>
          <w:lang w:eastAsia="de-DE"/>
        </w:rPr>
        <w:t>data point</w:t>
      </w:r>
      <w:r w:rsidR="006303F0" w:rsidRPr="00326EED">
        <w:rPr>
          <w:rFonts w:eastAsia="Times New Roman"/>
          <w:color w:val="000000"/>
          <w:sz w:val="24"/>
          <w:szCs w:val="24"/>
          <w:lang w:eastAsia="de-DE"/>
        </w:rPr>
        <w:t>s</w:t>
      </w:r>
      <w:r w:rsidR="00326EED">
        <w:rPr>
          <w:rFonts w:eastAsia="Times New Roman"/>
          <w:color w:val="000000"/>
          <w:sz w:val="24"/>
          <w:szCs w:val="24"/>
          <w:lang w:eastAsia="de-DE"/>
        </w:rPr>
        <w:t xml:space="preserve"> would be considered most </w:t>
      </w:r>
      <w:r w:rsidRPr="00326EED">
        <w:rPr>
          <w:rFonts w:eastAsia="Times New Roman"/>
          <w:color w:val="000000"/>
          <w:sz w:val="24"/>
          <w:szCs w:val="24"/>
          <w:lang w:eastAsia="de-DE"/>
        </w:rPr>
        <w:t xml:space="preserve">useful to be tagged </w:t>
      </w:r>
      <w:r w:rsidR="001A43E4">
        <w:rPr>
          <w:rFonts w:eastAsia="Times New Roman"/>
          <w:color w:val="000000"/>
          <w:sz w:val="24"/>
          <w:szCs w:val="24"/>
          <w:lang w:eastAsia="de-DE"/>
        </w:rPr>
        <w:t xml:space="preserve">for </w:t>
      </w:r>
      <w:r w:rsidR="00326EED">
        <w:rPr>
          <w:rFonts w:eastAsia="Times New Roman"/>
          <w:color w:val="000000"/>
          <w:sz w:val="24"/>
          <w:szCs w:val="24"/>
          <w:lang w:eastAsia="de-DE"/>
        </w:rPr>
        <w:t xml:space="preserve">statistical </w:t>
      </w:r>
      <w:r w:rsidR="001A43E4">
        <w:rPr>
          <w:rFonts w:eastAsia="Times New Roman"/>
          <w:color w:val="000000"/>
          <w:sz w:val="24"/>
          <w:szCs w:val="24"/>
          <w:lang w:eastAsia="de-DE"/>
        </w:rPr>
        <w:t>purposes</w:t>
      </w:r>
      <w:r w:rsidRPr="00326EED">
        <w:rPr>
          <w:rFonts w:eastAsia="Times New Roman"/>
          <w:color w:val="000000"/>
          <w:sz w:val="24"/>
          <w:szCs w:val="24"/>
          <w:lang w:eastAsia="de-DE"/>
        </w:rPr>
        <w:t>:</w:t>
      </w:r>
    </w:p>
    <w:p w14:paraId="2B0F037B" w14:textId="07203D3D" w:rsidR="00A20649" w:rsidRPr="00326EED" w:rsidRDefault="00EC03D6" w:rsidP="00C27B87">
      <w:pPr>
        <w:pStyle w:val="Listenabsatz"/>
        <w:numPr>
          <w:ilvl w:val="3"/>
          <w:numId w:val="38"/>
        </w:numPr>
        <w:spacing w:after="0" w:line="240" w:lineRule="auto"/>
        <w:ind w:left="426"/>
        <w:jc w:val="left"/>
        <w:rPr>
          <w:rFonts w:eastAsia="Times New Roman"/>
          <w:color w:val="000000"/>
          <w:sz w:val="24"/>
          <w:szCs w:val="24"/>
          <w:lang w:eastAsia="de-DE"/>
        </w:rPr>
      </w:pPr>
      <w:r w:rsidRPr="00326EED">
        <w:rPr>
          <w:rFonts w:eastAsia="Times New Roman"/>
          <w:color w:val="000000"/>
          <w:sz w:val="24"/>
          <w:szCs w:val="24"/>
          <w:lang w:eastAsia="de-DE"/>
        </w:rPr>
        <w:t xml:space="preserve">As a starting point, </w:t>
      </w:r>
      <w:r w:rsidR="00326EED">
        <w:rPr>
          <w:rFonts w:eastAsia="Times New Roman"/>
          <w:color w:val="000000"/>
          <w:sz w:val="24"/>
          <w:szCs w:val="24"/>
          <w:lang w:eastAsia="de-DE"/>
        </w:rPr>
        <w:t xml:space="preserve">ESMA’s approach in giving </w:t>
      </w:r>
      <w:r w:rsidR="00A20649" w:rsidRPr="00326EED">
        <w:rPr>
          <w:rFonts w:eastAsia="Times New Roman"/>
          <w:color w:val="000000"/>
          <w:sz w:val="24"/>
          <w:szCs w:val="24"/>
          <w:lang w:eastAsia="de-DE"/>
        </w:rPr>
        <w:t xml:space="preserve">numerical data </w:t>
      </w:r>
      <w:r w:rsidR="00326EED">
        <w:rPr>
          <w:rFonts w:eastAsia="Times New Roman"/>
          <w:color w:val="000000"/>
          <w:sz w:val="24"/>
          <w:szCs w:val="24"/>
          <w:lang w:eastAsia="de-DE"/>
        </w:rPr>
        <w:t xml:space="preserve">points </w:t>
      </w:r>
      <w:r w:rsidR="0043249F" w:rsidRPr="00326EED">
        <w:rPr>
          <w:rFonts w:eastAsia="Times New Roman"/>
          <w:color w:val="000000"/>
          <w:sz w:val="24"/>
          <w:szCs w:val="24"/>
          <w:lang w:eastAsia="de-DE"/>
        </w:rPr>
        <w:t xml:space="preserve">a higher emphasis </w:t>
      </w:r>
      <w:r w:rsidRPr="00326EED">
        <w:rPr>
          <w:rFonts w:eastAsia="Times New Roman"/>
          <w:color w:val="000000"/>
          <w:sz w:val="24"/>
          <w:szCs w:val="24"/>
          <w:lang w:eastAsia="de-DE"/>
        </w:rPr>
        <w:t>for marking up</w:t>
      </w:r>
      <w:r w:rsidR="00326EED">
        <w:rPr>
          <w:rFonts w:eastAsia="Times New Roman"/>
          <w:color w:val="000000"/>
          <w:sz w:val="24"/>
          <w:szCs w:val="24"/>
          <w:lang w:eastAsia="de-DE"/>
        </w:rPr>
        <w:t xml:space="preserve"> is supported</w:t>
      </w:r>
      <w:r w:rsidRPr="00326EED">
        <w:rPr>
          <w:rFonts w:eastAsia="Times New Roman"/>
          <w:color w:val="000000"/>
          <w:sz w:val="24"/>
          <w:szCs w:val="24"/>
          <w:lang w:eastAsia="de-DE"/>
        </w:rPr>
        <w:t>.</w:t>
      </w:r>
    </w:p>
    <w:p w14:paraId="3D4BA5F5" w14:textId="2202FB0E" w:rsidR="001A43E4" w:rsidRDefault="0043249F" w:rsidP="00C27B87">
      <w:pPr>
        <w:pStyle w:val="Listenabsatz"/>
        <w:numPr>
          <w:ilvl w:val="3"/>
          <w:numId w:val="38"/>
        </w:numPr>
        <w:spacing w:after="0" w:line="240" w:lineRule="auto"/>
        <w:ind w:left="426"/>
        <w:jc w:val="left"/>
        <w:rPr>
          <w:rFonts w:eastAsia="Times New Roman"/>
          <w:color w:val="000000"/>
          <w:sz w:val="24"/>
          <w:szCs w:val="24"/>
          <w:lang w:eastAsia="de-DE"/>
        </w:rPr>
      </w:pPr>
      <w:r w:rsidRPr="00326EED">
        <w:rPr>
          <w:rFonts w:eastAsia="Times New Roman"/>
          <w:color w:val="000000"/>
          <w:sz w:val="24"/>
          <w:szCs w:val="24"/>
          <w:lang w:eastAsia="de-DE"/>
        </w:rPr>
        <w:t xml:space="preserve">Particularly ESRS E1 </w:t>
      </w:r>
      <w:r w:rsidR="00EC03D6" w:rsidRPr="00326EED">
        <w:rPr>
          <w:rFonts w:eastAsia="Times New Roman"/>
          <w:color w:val="000000"/>
          <w:sz w:val="24"/>
          <w:szCs w:val="24"/>
          <w:lang w:eastAsia="de-DE"/>
        </w:rPr>
        <w:t xml:space="preserve">numerical </w:t>
      </w:r>
      <w:r w:rsidR="00EB36E4" w:rsidRPr="00326EED">
        <w:rPr>
          <w:rFonts w:eastAsia="Times New Roman"/>
          <w:color w:val="000000"/>
          <w:sz w:val="24"/>
          <w:szCs w:val="24"/>
          <w:lang w:eastAsia="de-DE"/>
        </w:rPr>
        <w:t>data point</w:t>
      </w:r>
      <w:r w:rsidR="00EC03D6" w:rsidRPr="00326EED">
        <w:rPr>
          <w:rFonts w:eastAsia="Times New Roman"/>
          <w:color w:val="000000"/>
          <w:sz w:val="24"/>
          <w:szCs w:val="24"/>
          <w:lang w:eastAsia="de-DE"/>
        </w:rPr>
        <w:t>s</w:t>
      </w:r>
      <w:r w:rsidR="00326EED">
        <w:rPr>
          <w:rFonts w:eastAsia="Times New Roman"/>
          <w:color w:val="000000"/>
          <w:sz w:val="24"/>
          <w:szCs w:val="24"/>
          <w:lang w:eastAsia="de-DE"/>
        </w:rPr>
        <w:t xml:space="preserve"> should be given a high attention</w:t>
      </w:r>
      <w:r w:rsidRPr="00326EED">
        <w:rPr>
          <w:rFonts w:eastAsia="Times New Roman"/>
          <w:color w:val="000000"/>
          <w:sz w:val="24"/>
          <w:szCs w:val="24"/>
          <w:lang w:eastAsia="de-DE"/>
        </w:rPr>
        <w:t>, and amon</w:t>
      </w:r>
      <w:r w:rsidR="008019FF" w:rsidRPr="00326EED">
        <w:rPr>
          <w:rFonts w:eastAsia="Times New Roman"/>
          <w:color w:val="000000"/>
          <w:sz w:val="24"/>
          <w:szCs w:val="24"/>
          <w:lang w:eastAsia="de-DE"/>
        </w:rPr>
        <w:t>g</w:t>
      </w:r>
      <w:r w:rsidRPr="00326EED">
        <w:rPr>
          <w:rFonts w:eastAsia="Times New Roman"/>
          <w:color w:val="000000"/>
          <w:sz w:val="24"/>
          <w:szCs w:val="24"/>
          <w:lang w:eastAsia="de-DE"/>
        </w:rPr>
        <w:t xml:space="preserve"> those </w:t>
      </w:r>
      <w:r w:rsidR="00EC03D6" w:rsidRPr="00326EED">
        <w:rPr>
          <w:rFonts w:eastAsia="Times New Roman"/>
          <w:color w:val="000000"/>
          <w:sz w:val="24"/>
          <w:szCs w:val="24"/>
          <w:lang w:eastAsia="de-DE"/>
        </w:rPr>
        <w:t xml:space="preserve">GHG </w:t>
      </w:r>
      <w:r w:rsidRPr="00326EED">
        <w:rPr>
          <w:rFonts w:eastAsia="Times New Roman"/>
          <w:color w:val="000000"/>
          <w:sz w:val="24"/>
          <w:szCs w:val="24"/>
          <w:lang w:eastAsia="de-DE"/>
        </w:rPr>
        <w:t>emission data (</w:t>
      </w:r>
      <w:r w:rsidR="00A20649" w:rsidRPr="00326EED">
        <w:rPr>
          <w:rFonts w:eastAsia="Times New Roman"/>
          <w:color w:val="000000"/>
          <w:sz w:val="24"/>
          <w:szCs w:val="24"/>
          <w:lang w:eastAsia="de-DE"/>
        </w:rPr>
        <w:t xml:space="preserve">actual </w:t>
      </w:r>
      <w:r w:rsidR="004807EC">
        <w:rPr>
          <w:rFonts w:eastAsia="Times New Roman"/>
          <w:color w:val="000000"/>
          <w:sz w:val="24"/>
          <w:szCs w:val="24"/>
          <w:lang w:eastAsia="de-DE"/>
        </w:rPr>
        <w:t>S</w:t>
      </w:r>
      <w:r w:rsidR="00A20649" w:rsidRPr="00326EED">
        <w:rPr>
          <w:rFonts w:eastAsia="Times New Roman"/>
          <w:color w:val="000000"/>
          <w:sz w:val="24"/>
          <w:szCs w:val="24"/>
          <w:lang w:eastAsia="de-DE"/>
        </w:rPr>
        <w:t xml:space="preserve">cope 1 and 2 </w:t>
      </w:r>
      <w:r w:rsidR="004807EC">
        <w:rPr>
          <w:rFonts w:eastAsia="Times New Roman"/>
          <w:color w:val="000000"/>
          <w:sz w:val="24"/>
          <w:szCs w:val="24"/>
          <w:lang w:eastAsia="de-DE"/>
        </w:rPr>
        <w:t xml:space="preserve">as well as </w:t>
      </w:r>
      <w:r w:rsidR="00A20649" w:rsidRPr="00326EED">
        <w:rPr>
          <w:rFonts w:eastAsia="Times New Roman"/>
          <w:color w:val="000000"/>
          <w:sz w:val="24"/>
          <w:szCs w:val="24"/>
          <w:lang w:eastAsia="de-DE"/>
        </w:rPr>
        <w:t xml:space="preserve">upstream </w:t>
      </w:r>
      <w:r w:rsidR="004807EC">
        <w:rPr>
          <w:rFonts w:eastAsia="Times New Roman"/>
          <w:color w:val="000000"/>
          <w:sz w:val="24"/>
          <w:szCs w:val="24"/>
          <w:lang w:eastAsia="de-DE"/>
        </w:rPr>
        <w:t>S</w:t>
      </w:r>
      <w:r w:rsidR="00A20649" w:rsidRPr="00326EED">
        <w:rPr>
          <w:rFonts w:eastAsia="Times New Roman"/>
          <w:color w:val="000000"/>
          <w:sz w:val="24"/>
          <w:szCs w:val="24"/>
          <w:lang w:eastAsia="de-DE"/>
        </w:rPr>
        <w:t xml:space="preserve">cope 3, </w:t>
      </w:r>
      <w:r w:rsidRPr="00326EED">
        <w:rPr>
          <w:rFonts w:eastAsia="Times New Roman"/>
          <w:color w:val="000000"/>
          <w:sz w:val="24"/>
          <w:szCs w:val="24"/>
          <w:lang w:eastAsia="de-DE"/>
        </w:rPr>
        <w:t>and target</w:t>
      </w:r>
      <w:r w:rsidR="004807EC">
        <w:rPr>
          <w:rFonts w:eastAsia="Times New Roman"/>
          <w:color w:val="000000"/>
          <w:sz w:val="24"/>
          <w:szCs w:val="24"/>
          <w:lang w:eastAsia="de-DE"/>
        </w:rPr>
        <w:t xml:space="preserve"> values for S</w:t>
      </w:r>
      <w:r w:rsidR="00A20649" w:rsidRPr="00326EED">
        <w:rPr>
          <w:rFonts w:eastAsia="Times New Roman"/>
          <w:color w:val="000000"/>
          <w:sz w:val="24"/>
          <w:szCs w:val="24"/>
          <w:lang w:eastAsia="de-DE"/>
        </w:rPr>
        <w:t>cope 1 and 2</w:t>
      </w:r>
      <w:r w:rsidR="00EC03D6" w:rsidRPr="00326EED">
        <w:rPr>
          <w:rFonts w:eastAsia="Times New Roman"/>
          <w:color w:val="000000"/>
          <w:sz w:val="24"/>
          <w:szCs w:val="24"/>
          <w:lang w:eastAsia="de-DE"/>
        </w:rPr>
        <w:t>).</w:t>
      </w:r>
    </w:p>
    <w:p w14:paraId="775C7443" w14:textId="4579D47B" w:rsidR="0092688F" w:rsidRPr="0007350C" w:rsidRDefault="0092688F" w:rsidP="00C27B87">
      <w:pPr>
        <w:pStyle w:val="Listenabsatz"/>
        <w:numPr>
          <w:ilvl w:val="3"/>
          <w:numId w:val="38"/>
        </w:numPr>
        <w:spacing w:after="0" w:line="240" w:lineRule="auto"/>
        <w:ind w:left="426"/>
        <w:jc w:val="left"/>
        <w:rPr>
          <w:rFonts w:eastAsia="Times New Roman"/>
          <w:color w:val="000000"/>
          <w:sz w:val="24"/>
          <w:szCs w:val="24"/>
          <w:lang w:eastAsia="de-DE"/>
        </w:rPr>
      </w:pPr>
      <w:r w:rsidRPr="0007350C">
        <w:rPr>
          <w:rFonts w:eastAsia="Times New Roman"/>
          <w:color w:val="000000"/>
          <w:sz w:val="24"/>
          <w:szCs w:val="24"/>
          <w:lang w:eastAsia="de-DE"/>
        </w:rPr>
        <w:t xml:space="preserve">With regard to GHG Upstream Scope 3 emissions, </w:t>
      </w:r>
      <w:r w:rsidR="00F30FE8" w:rsidRPr="0007350C">
        <w:rPr>
          <w:rFonts w:eastAsia="Times New Roman"/>
          <w:color w:val="000000"/>
          <w:sz w:val="24"/>
          <w:szCs w:val="24"/>
          <w:lang w:eastAsia="de-DE"/>
        </w:rPr>
        <w:t xml:space="preserve">which are considered as particularly burdensome by companies, existing data of official </w:t>
      </w:r>
      <w:r w:rsidRPr="0007350C">
        <w:rPr>
          <w:rFonts w:eastAsia="Times New Roman"/>
          <w:color w:val="000000"/>
          <w:sz w:val="24"/>
          <w:szCs w:val="24"/>
          <w:lang w:eastAsia="de-DE"/>
        </w:rPr>
        <w:t xml:space="preserve">statistics </w:t>
      </w:r>
      <w:r w:rsidR="00F30FE8" w:rsidRPr="0007350C">
        <w:rPr>
          <w:rFonts w:eastAsia="Times New Roman"/>
          <w:color w:val="000000"/>
          <w:sz w:val="24"/>
          <w:szCs w:val="24"/>
          <w:lang w:eastAsia="de-DE"/>
        </w:rPr>
        <w:t>could help. Replacement values</w:t>
      </w:r>
      <w:r w:rsidR="0059120D">
        <w:rPr>
          <w:rFonts w:eastAsia="Times New Roman"/>
          <w:color w:val="000000"/>
          <w:sz w:val="24"/>
          <w:szCs w:val="24"/>
          <w:lang w:eastAsia="de-DE"/>
        </w:rPr>
        <w:t>, e.g. based on industrial carbon intensity averages,</w:t>
      </w:r>
      <w:r w:rsidR="00F30FE8" w:rsidRPr="0007350C">
        <w:rPr>
          <w:rFonts w:eastAsia="Times New Roman"/>
          <w:color w:val="000000"/>
          <w:sz w:val="24"/>
          <w:szCs w:val="24"/>
          <w:lang w:eastAsia="de-DE"/>
        </w:rPr>
        <w:t xml:space="preserve"> - for lack of direct information from upstream and downstream information levels - would reduce search costs of enterprises for alternatives to a minimum and are likely to be accepted by auditors. </w:t>
      </w:r>
      <w:r w:rsidRPr="0007350C">
        <w:rPr>
          <w:rFonts w:eastAsia="Times New Roman"/>
          <w:color w:val="000000"/>
          <w:sz w:val="24"/>
          <w:szCs w:val="24"/>
          <w:lang w:eastAsia="de-DE"/>
        </w:rPr>
        <w:t xml:space="preserve">By providing such public </w:t>
      </w:r>
      <w:r w:rsidR="00AA1A6C" w:rsidRPr="0007350C">
        <w:rPr>
          <w:rFonts w:eastAsia="Times New Roman"/>
          <w:color w:val="000000"/>
          <w:sz w:val="24"/>
          <w:szCs w:val="24"/>
          <w:lang w:eastAsia="de-DE"/>
        </w:rPr>
        <w:t>data</w:t>
      </w:r>
      <w:r w:rsidR="00F30FE8" w:rsidRPr="0007350C">
        <w:rPr>
          <w:rFonts w:eastAsia="Times New Roman"/>
          <w:color w:val="000000"/>
          <w:sz w:val="24"/>
          <w:szCs w:val="24"/>
          <w:lang w:eastAsia="de-DE"/>
        </w:rPr>
        <w:t xml:space="preserve"> </w:t>
      </w:r>
      <w:r w:rsidRPr="0007350C">
        <w:rPr>
          <w:rFonts w:eastAsia="Times New Roman"/>
          <w:color w:val="000000"/>
          <w:sz w:val="24"/>
          <w:szCs w:val="24"/>
          <w:lang w:eastAsia="de-DE"/>
        </w:rPr>
        <w:t xml:space="preserve">from a European </w:t>
      </w:r>
      <w:r w:rsidR="00AA1A6C" w:rsidRPr="0007350C">
        <w:rPr>
          <w:rFonts w:eastAsia="Times New Roman"/>
          <w:color w:val="000000"/>
          <w:sz w:val="24"/>
          <w:szCs w:val="24"/>
          <w:lang w:eastAsia="de-DE"/>
        </w:rPr>
        <w:t>authorit</w:t>
      </w:r>
      <w:r w:rsidR="00AA1A6C">
        <w:rPr>
          <w:rFonts w:eastAsia="Times New Roman"/>
          <w:color w:val="000000"/>
          <w:sz w:val="24"/>
          <w:szCs w:val="24"/>
          <w:lang w:eastAsia="de-DE"/>
        </w:rPr>
        <w:t>y,</w:t>
      </w:r>
      <w:r w:rsidRPr="0007350C">
        <w:rPr>
          <w:rFonts w:eastAsia="Times New Roman"/>
          <w:color w:val="000000"/>
          <w:sz w:val="24"/>
          <w:szCs w:val="24"/>
          <w:lang w:eastAsia="de-DE"/>
        </w:rPr>
        <w:t xml:space="preserve"> the reporting burden of companies could be lowered.</w:t>
      </w:r>
      <w:r w:rsidR="00656733">
        <w:rPr>
          <w:rFonts w:eastAsia="Times New Roman"/>
          <w:color w:val="000000"/>
          <w:sz w:val="24"/>
          <w:szCs w:val="24"/>
          <w:lang w:eastAsia="de-DE"/>
        </w:rPr>
        <w:t xml:space="preserve"> </w:t>
      </w:r>
      <w:r w:rsidR="00EE12D0">
        <w:rPr>
          <w:rFonts w:eastAsia="Times New Roman"/>
          <w:color w:val="000000"/>
          <w:sz w:val="24"/>
          <w:szCs w:val="24"/>
          <w:lang w:eastAsia="de-DE"/>
        </w:rPr>
        <w:t xml:space="preserve">The use of such average information </w:t>
      </w:r>
      <w:r w:rsidR="00656733">
        <w:rPr>
          <w:rFonts w:eastAsia="Times New Roman"/>
          <w:color w:val="000000"/>
          <w:sz w:val="24"/>
          <w:szCs w:val="24"/>
          <w:lang w:eastAsia="de-DE"/>
        </w:rPr>
        <w:t xml:space="preserve">is </w:t>
      </w:r>
      <w:r w:rsidR="00EE12D0">
        <w:rPr>
          <w:rFonts w:eastAsia="Times New Roman"/>
          <w:color w:val="000000"/>
          <w:sz w:val="24"/>
          <w:szCs w:val="24"/>
          <w:lang w:eastAsia="de-DE"/>
        </w:rPr>
        <w:t xml:space="preserve">generally </w:t>
      </w:r>
      <w:r w:rsidR="00656733">
        <w:rPr>
          <w:rFonts w:eastAsia="Times New Roman"/>
          <w:color w:val="000000"/>
          <w:sz w:val="24"/>
          <w:szCs w:val="24"/>
          <w:lang w:eastAsia="de-DE"/>
        </w:rPr>
        <w:t>suggested by ESRS 1, chapter 5.2, paragraph 69.</w:t>
      </w:r>
    </w:p>
    <w:p w14:paraId="62C69A24" w14:textId="5B613983" w:rsidR="00FD5982" w:rsidRDefault="00AA1A6C" w:rsidP="00C27B87">
      <w:pPr>
        <w:pStyle w:val="Listenabsatz"/>
        <w:numPr>
          <w:ilvl w:val="3"/>
          <w:numId w:val="38"/>
        </w:numPr>
        <w:spacing w:after="0" w:line="240" w:lineRule="auto"/>
        <w:ind w:left="426"/>
        <w:jc w:val="left"/>
        <w:rPr>
          <w:rFonts w:eastAsia="Times New Roman"/>
          <w:color w:val="000000"/>
          <w:sz w:val="24"/>
          <w:szCs w:val="24"/>
          <w:lang w:eastAsia="de-DE"/>
        </w:rPr>
      </w:pPr>
      <w:r>
        <w:rPr>
          <w:rFonts w:eastAsia="Times New Roman"/>
          <w:color w:val="000000"/>
          <w:sz w:val="24"/>
          <w:szCs w:val="24"/>
          <w:lang w:eastAsia="de-DE"/>
        </w:rPr>
        <w:t>Further,</w:t>
      </w:r>
      <w:r w:rsidR="0092688F">
        <w:rPr>
          <w:rFonts w:eastAsia="Times New Roman"/>
          <w:color w:val="000000"/>
          <w:sz w:val="24"/>
          <w:szCs w:val="24"/>
          <w:lang w:eastAsia="de-DE"/>
        </w:rPr>
        <w:t xml:space="preserve"> w</w:t>
      </w:r>
      <w:r w:rsidR="001A43E4">
        <w:rPr>
          <w:rFonts w:eastAsia="Times New Roman"/>
          <w:color w:val="000000"/>
          <w:sz w:val="24"/>
          <w:szCs w:val="24"/>
          <w:lang w:eastAsia="de-DE"/>
        </w:rPr>
        <w:t xml:space="preserve">ith regard to GHG emissions, </w:t>
      </w:r>
      <w:r w:rsidR="001A43E4" w:rsidRPr="001A43E4">
        <w:rPr>
          <w:rFonts w:eastAsia="Times New Roman"/>
          <w:color w:val="000000"/>
          <w:sz w:val="24"/>
          <w:szCs w:val="24"/>
          <w:lang w:eastAsia="de-DE"/>
        </w:rPr>
        <w:t xml:space="preserve">it </w:t>
      </w:r>
      <w:r w:rsidR="001A43E4">
        <w:rPr>
          <w:rFonts w:eastAsia="Times New Roman"/>
          <w:color w:val="000000"/>
          <w:sz w:val="24"/>
          <w:szCs w:val="24"/>
          <w:lang w:eastAsia="de-DE"/>
        </w:rPr>
        <w:t xml:space="preserve">would be </w:t>
      </w:r>
      <w:r w:rsidR="001A43E4" w:rsidRPr="001A43E4">
        <w:rPr>
          <w:rFonts w:eastAsia="Times New Roman"/>
          <w:color w:val="000000"/>
          <w:sz w:val="24"/>
          <w:szCs w:val="24"/>
          <w:lang w:eastAsia="de-DE"/>
        </w:rPr>
        <w:t xml:space="preserve">important that the table according to ESRS E1 Application Requirement </w:t>
      </w:r>
      <w:r w:rsidR="001A43E4">
        <w:rPr>
          <w:rFonts w:eastAsia="Times New Roman"/>
          <w:color w:val="000000"/>
          <w:sz w:val="24"/>
          <w:szCs w:val="24"/>
          <w:lang w:eastAsia="de-DE"/>
        </w:rPr>
        <w:t xml:space="preserve">(AR) </w:t>
      </w:r>
      <w:r w:rsidR="001A43E4" w:rsidRPr="001A43E4">
        <w:rPr>
          <w:rFonts w:eastAsia="Times New Roman"/>
          <w:color w:val="000000"/>
          <w:sz w:val="24"/>
          <w:szCs w:val="24"/>
          <w:lang w:eastAsia="de-DE"/>
        </w:rPr>
        <w:t>48 is marked up properly</w:t>
      </w:r>
      <w:r w:rsidR="001A43E4">
        <w:rPr>
          <w:rFonts w:eastAsia="Times New Roman"/>
          <w:color w:val="000000"/>
          <w:sz w:val="24"/>
          <w:szCs w:val="24"/>
          <w:lang w:eastAsia="de-DE"/>
        </w:rPr>
        <w:t>.</w:t>
      </w:r>
      <w:r w:rsidR="001A43E4" w:rsidRPr="001A43E4">
        <w:rPr>
          <w:rFonts w:eastAsia="Times New Roman"/>
          <w:color w:val="000000"/>
          <w:sz w:val="24"/>
          <w:szCs w:val="24"/>
          <w:lang w:eastAsia="de-DE"/>
        </w:rPr>
        <w:t xml:space="preserve"> (</w:t>
      </w:r>
      <w:r w:rsidR="001A43E4">
        <w:rPr>
          <w:rFonts w:eastAsia="Times New Roman"/>
          <w:color w:val="000000"/>
          <w:sz w:val="24"/>
          <w:szCs w:val="24"/>
          <w:lang w:eastAsia="de-DE"/>
        </w:rPr>
        <w:t>A</w:t>
      </w:r>
      <w:r w:rsidR="001A43E4" w:rsidRPr="001A43E4">
        <w:rPr>
          <w:rFonts w:eastAsia="Times New Roman"/>
          <w:color w:val="000000"/>
          <w:sz w:val="24"/>
          <w:szCs w:val="24"/>
          <w:lang w:eastAsia="de-DE"/>
        </w:rPr>
        <w:t xml:space="preserve">s a side note, </w:t>
      </w:r>
      <w:r w:rsidR="001A43E4">
        <w:rPr>
          <w:rFonts w:eastAsia="Times New Roman"/>
          <w:color w:val="000000"/>
          <w:sz w:val="24"/>
          <w:szCs w:val="24"/>
          <w:lang w:eastAsia="de-DE"/>
        </w:rPr>
        <w:t xml:space="preserve">AR </w:t>
      </w:r>
      <w:r w:rsidR="001A43E4" w:rsidRPr="001A43E4">
        <w:rPr>
          <w:rFonts w:eastAsia="Times New Roman"/>
          <w:color w:val="000000"/>
          <w:sz w:val="24"/>
          <w:szCs w:val="24"/>
          <w:lang w:eastAsia="de-DE"/>
        </w:rPr>
        <w:t xml:space="preserve">48 uses also a “shall disclose” expression; we are unsure about interpreting footnote 13 of the consultation </w:t>
      </w:r>
      <w:r w:rsidR="004807EC" w:rsidRPr="001A43E4">
        <w:rPr>
          <w:rFonts w:eastAsia="Times New Roman"/>
          <w:color w:val="000000"/>
          <w:sz w:val="24"/>
          <w:szCs w:val="24"/>
          <w:lang w:eastAsia="de-DE"/>
        </w:rPr>
        <w:t>paper that</w:t>
      </w:r>
      <w:r w:rsidR="001A43E4" w:rsidRPr="001A43E4">
        <w:rPr>
          <w:rFonts w:eastAsia="Times New Roman"/>
          <w:color w:val="000000"/>
          <w:sz w:val="24"/>
          <w:szCs w:val="24"/>
          <w:lang w:eastAsia="de-DE"/>
        </w:rPr>
        <w:t xml:space="preserve"> does not list this</w:t>
      </w:r>
      <w:r w:rsidR="001A43E4">
        <w:rPr>
          <w:rFonts w:eastAsia="Times New Roman"/>
          <w:color w:val="000000"/>
          <w:sz w:val="24"/>
          <w:szCs w:val="24"/>
          <w:lang w:eastAsia="de-DE"/>
        </w:rPr>
        <w:t xml:space="preserve"> paragraph).</w:t>
      </w:r>
    </w:p>
    <w:p w14:paraId="040B5096" w14:textId="7EF38697" w:rsidR="00EC03D6" w:rsidRPr="001A43E4" w:rsidRDefault="00E24E40" w:rsidP="00C27B87">
      <w:pPr>
        <w:pStyle w:val="Listenabsatz"/>
        <w:numPr>
          <w:ilvl w:val="3"/>
          <w:numId w:val="38"/>
        </w:numPr>
        <w:spacing w:after="0" w:line="240" w:lineRule="auto"/>
        <w:ind w:left="426"/>
        <w:jc w:val="left"/>
        <w:rPr>
          <w:rFonts w:eastAsia="Times New Roman"/>
          <w:color w:val="000000"/>
          <w:sz w:val="24"/>
          <w:szCs w:val="24"/>
          <w:lang w:eastAsia="de-DE"/>
        </w:rPr>
      </w:pPr>
      <w:r>
        <w:rPr>
          <w:rFonts w:eastAsia="Times New Roman"/>
          <w:color w:val="000000"/>
          <w:sz w:val="24"/>
          <w:szCs w:val="24"/>
          <w:lang w:eastAsia="de-DE"/>
        </w:rPr>
        <w:t xml:space="preserve">Additional </w:t>
      </w:r>
      <w:r w:rsidR="00EC03D6" w:rsidRPr="001A43E4">
        <w:rPr>
          <w:rFonts w:eastAsia="Times New Roman"/>
          <w:color w:val="000000"/>
          <w:sz w:val="24"/>
          <w:szCs w:val="24"/>
          <w:lang w:eastAsia="de-DE"/>
        </w:rPr>
        <w:t xml:space="preserve">important ESRS E1 </w:t>
      </w:r>
      <w:r w:rsidR="00EB36E4" w:rsidRPr="001A43E4">
        <w:rPr>
          <w:rFonts w:eastAsia="Times New Roman"/>
          <w:color w:val="000000"/>
          <w:sz w:val="24"/>
          <w:szCs w:val="24"/>
          <w:lang w:eastAsia="de-DE"/>
        </w:rPr>
        <w:t>data point</w:t>
      </w:r>
      <w:r w:rsidR="00EC03D6" w:rsidRPr="001A43E4">
        <w:rPr>
          <w:rFonts w:eastAsia="Times New Roman"/>
          <w:color w:val="000000"/>
          <w:sz w:val="24"/>
          <w:szCs w:val="24"/>
          <w:lang w:eastAsia="de-DE"/>
        </w:rPr>
        <w:t>s are those for energy consumption (ESRS DR E1-5).</w:t>
      </w:r>
    </w:p>
    <w:p w14:paraId="78B5759F" w14:textId="0DF41978" w:rsidR="00EC03D6" w:rsidRPr="001A43E4" w:rsidRDefault="00EC03D6" w:rsidP="00C27B87">
      <w:pPr>
        <w:pStyle w:val="Listenabsatz"/>
        <w:numPr>
          <w:ilvl w:val="3"/>
          <w:numId w:val="38"/>
        </w:numPr>
        <w:spacing w:after="0" w:line="240" w:lineRule="auto"/>
        <w:ind w:left="426"/>
        <w:jc w:val="left"/>
        <w:rPr>
          <w:rFonts w:eastAsia="Times New Roman"/>
          <w:color w:val="000000"/>
          <w:sz w:val="24"/>
          <w:szCs w:val="24"/>
          <w:lang w:eastAsia="de-DE"/>
        </w:rPr>
      </w:pPr>
      <w:r w:rsidRPr="001A43E4">
        <w:rPr>
          <w:rFonts w:eastAsia="Times New Roman"/>
          <w:color w:val="000000"/>
          <w:sz w:val="24"/>
          <w:szCs w:val="24"/>
          <w:lang w:eastAsia="de-DE"/>
        </w:rPr>
        <w:t>For GHG emissions and energy consumption</w:t>
      </w:r>
      <w:r w:rsidR="001A43E4">
        <w:rPr>
          <w:rFonts w:eastAsia="Times New Roman"/>
          <w:color w:val="000000"/>
          <w:sz w:val="24"/>
          <w:szCs w:val="24"/>
          <w:lang w:eastAsia="de-DE"/>
        </w:rPr>
        <w:t>,</w:t>
      </w:r>
      <w:r w:rsidRPr="001A43E4">
        <w:rPr>
          <w:rFonts w:eastAsia="Times New Roman"/>
          <w:color w:val="000000"/>
          <w:sz w:val="24"/>
          <w:szCs w:val="24"/>
          <w:lang w:eastAsia="de-DE"/>
        </w:rPr>
        <w:t xml:space="preserve"> </w:t>
      </w:r>
      <w:r w:rsidR="00020427" w:rsidRPr="001A43E4">
        <w:rPr>
          <w:rFonts w:eastAsia="Times New Roman"/>
          <w:color w:val="000000"/>
          <w:sz w:val="24"/>
          <w:szCs w:val="24"/>
          <w:lang w:eastAsia="de-DE"/>
        </w:rPr>
        <w:t xml:space="preserve">marking up </w:t>
      </w:r>
      <w:r w:rsidRPr="001A43E4">
        <w:rPr>
          <w:rFonts w:eastAsia="Times New Roman"/>
          <w:color w:val="000000"/>
          <w:sz w:val="24"/>
          <w:szCs w:val="24"/>
          <w:lang w:eastAsia="de-DE"/>
        </w:rPr>
        <w:t xml:space="preserve">intensity figures would be </w:t>
      </w:r>
      <w:r w:rsidR="00FD5982" w:rsidRPr="001A43E4">
        <w:rPr>
          <w:rFonts w:eastAsia="Times New Roman"/>
          <w:color w:val="000000"/>
          <w:sz w:val="24"/>
          <w:szCs w:val="24"/>
          <w:lang w:eastAsia="de-DE"/>
        </w:rPr>
        <w:t xml:space="preserve">also </w:t>
      </w:r>
      <w:r w:rsidRPr="001A43E4">
        <w:rPr>
          <w:rFonts w:eastAsia="Times New Roman"/>
          <w:color w:val="000000"/>
          <w:sz w:val="24"/>
          <w:szCs w:val="24"/>
          <w:lang w:eastAsia="de-DE"/>
        </w:rPr>
        <w:t>important.</w:t>
      </w:r>
    </w:p>
    <w:p w14:paraId="1386D82C" w14:textId="633A045F" w:rsidR="00D67979" w:rsidRPr="001A43E4" w:rsidRDefault="006303F0" w:rsidP="00C27B87">
      <w:pPr>
        <w:pStyle w:val="Listenabsatz"/>
        <w:numPr>
          <w:ilvl w:val="3"/>
          <w:numId w:val="38"/>
        </w:numPr>
        <w:spacing w:after="0" w:line="240" w:lineRule="auto"/>
        <w:ind w:left="426"/>
        <w:jc w:val="left"/>
        <w:rPr>
          <w:rFonts w:eastAsia="Times New Roman"/>
          <w:color w:val="000000"/>
          <w:sz w:val="24"/>
          <w:szCs w:val="24"/>
          <w:lang w:eastAsia="de-DE"/>
        </w:rPr>
      </w:pPr>
      <w:r w:rsidRPr="001A43E4">
        <w:rPr>
          <w:rFonts w:eastAsia="Times New Roman"/>
          <w:color w:val="000000"/>
          <w:sz w:val="24"/>
          <w:szCs w:val="24"/>
          <w:lang w:eastAsia="de-DE"/>
        </w:rPr>
        <w:t>Further,</w:t>
      </w:r>
      <w:r w:rsidR="00A20649" w:rsidRPr="001A43E4">
        <w:rPr>
          <w:rFonts w:eastAsia="Times New Roman"/>
          <w:color w:val="000000"/>
          <w:sz w:val="24"/>
          <w:szCs w:val="24"/>
          <w:lang w:eastAsia="de-DE"/>
        </w:rPr>
        <w:t xml:space="preserve"> </w:t>
      </w:r>
      <w:r w:rsidR="001A43E4">
        <w:rPr>
          <w:rFonts w:eastAsia="Times New Roman"/>
          <w:color w:val="000000"/>
          <w:sz w:val="24"/>
          <w:szCs w:val="24"/>
          <w:lang w:eastAsia="de-DE"/>
        </w:rPr>
        <w:t xml:space="preserve">tagging </w:t>
      </w:r>
      <w:r w:rsidR="00E24E40">
        <w:rPr>
          <w:rFonts w:eastAsia="Times New Roman"/>
          <w:color w:val="000000"/>
          <w:sz w:val="24"/>
          <w:szCs w:val="24"/>
          <w:lang w:eastAsia="de-DE"/>
        </w:rPr>
        <w:t xml:space="preserve">the </w:t>
      </w:r>
      <w:r w:rsidR="00D67979" w:rsidRPr="001A43E4">
        <w:rPr>
          <w:rFonts w:eastAsia="Times New Roman"/>
          <w:color w:val="000000"/>
          <w:sz w:val="24"/>
          <w:szCs w:val="24"/>
          <w:lang w:eastAsia="de-DE"/>
        </w:rPr>
        <w:t xml:space="preserve">few numerical </w:t>
      </w:r>
      <w:r w:rsidR="00EB36E4" w:rsidRPr="001A43E4">
        <w:rPr>
          <w:rFonts w:eastAsia="Times New Roman"/>
          <w:color w:val="000000"/>
          <w:sz w:val="24"/>
          <w:szCs w:val="24"/>
          <w:lang w:eastAsia="de-DE"/>
        </w:rPr>
        <w:t>data point</w:t>
      </w:r>
      <w:r w:rsidR="00D67979" w:rsidRPr="001A43E4">
        <w:rPr>
          <w:rFonts w:eastAsia="Times New Roman"/>
          <w:color w:val="000000"/>
          <w:sz w:val="24"/>
          <w:szCs w:val="24"/>
          <w:lang w:eastAsia="de-DE"/>
        </w:rPr>
        <w:t>s in ESRS 2</w:t>
      </w:r>
      <w:r w:rsidR="00B24145">
        <w:rPr>
          <w:rFonts w:eastAsia="Times New Roman"/>
          <w:color w:val="000000"/>
          <w:sz w:val="24"/>
          <w:szCs w:val="24"/>
          <w:lang w:eastAsia="de-DE"/>
        </w:rPr>
        <w:t xml:space="preserve">, </w:t>
      </w:r>
      <w:r w:rsidR="001A43E4">
        <w:rPr>
          <w:rFonts w:eastAsia="Times New Roman"/>
          <w:color w:val="000000"/>
          <w:sz w:val="24"/>
          <w:szCs w:val="24"/>
          <w:lang w:eastAsia="de-DE"/>
        </w:rPr>
        <w:t xml:space="preserve">e.g. </w:t>
      </w:r>
      <w:r w:rsidR="00A20649" w:rsidRPr="001A43E4">
        <w:rPr>
          <w:rFonts w:eastAsia="Times New Roman"/>
          <w:color w:val="000000"/>
          <w:sz w:val="24"/>
          <w:szCs w:val="24"/>
          <w:lang w:eastAsia="de-DE"/>
        </w:rPr>
        <w:t xml:space="preserve">turnover </w:t>
      </w:r>
      <w:r w:rsidR="00B24145">
        <w:rPr>
          <w:rFonts w:eastAsia="Times New Roman"/>
          <w:color w:val="000000"/>
          <w:sz w:val="24"/>
          <w:szCs w:val="24"/>
          <w:lang w:eastAsia="de-DE"/>
        </w:rPr>
        <w:t xml:space="preserve">and the </w:t>
      </w:r>
      <w:r w:rsidR="00A20649" w:rsidRPr="001A43E4">
        <w:rPr>
          <w:rFonts w:eastAsia="Times New Roman"/>
          <w:color w:val="000000"/>
          <w:sz w:val="24"/>
          <w:szCs w:val="24"/>
          <w:lang w:eastAsia="de-DE"/>
        </w:rPr>
        <w:t>information on sectors</w:t>
      </w:r>
      <w:r w:rsidR="00B24145">
        <w:rPr>
          <w:rFonts w:eastAsia="Times New Roman"/>
          <w:color w:val="000000"/>
          <w:sz w:val="24"/>
          <w:szCs w:val="24"/>
          <w:lang w:eastAsia="de-DE"/>
        </w:rPr>
        <w:t>,</w:t>
      </w:r>
      <w:r w:rsidR="00A20649" w:rsidRPr="001A43E4">
        <w:rPr>
          <w:rFonts w:eastAsia="Times New Roman"/>
          <w:color w:val="000000"/>
          <w:sz w:val="24"/>
          <w:szCs w:val="24"/>
          <w:lang w:eastAsia="de-DE"/>
        </w:rPr>
        <w:t xml:space="preserve"> </w:t>
      </w:r>
      <w:r w:rsidR="00964F24">
        <w:rPr>
          <w:rFonts w:eastAsia="Times New Roman"/>
          <w:color w:val="000000"/>
          <w:sz w:val="24"/>
          <w:szCs w:val="24"/>
          <w:lang w:eastAsia="de-DE"/>
        </w:rPr>
        <w:t xml:space="preserve">is supported as this </w:t>
      </w:r>
      <w:r w:rsidR="001A43E4">
        <w:rPr>
          <w:rFonts w:eastAsia="Times New Roman"/>
          <w:color w:val="000000"/>
          <w:sz w:val="24"/>
          <w:szCs w:val="24"/>
          <w:lang w:eastAsia="de-DE"/>
        </w:rPr>
        <w:t xml:space="preserve">would significantly help </w:t>
      </w:r>
      <w:r w:rsidR="00B24145">
        <w:rPr>
          <w:rFonts w:eastAsia="Times New Roman"/>
          <w:color w:val="000000"/>
          <w:sz w:val="24"/>
          <w:szCs w:val="24"/>
          <w:lang w:eastAsia="de-DE"/>
        </w:rPr>
        <w:t xml:space="preserve">statistical </w:t>
      </w:r>
      <w:r w:rsidR="001A43E4">
        <w:rPr>
          <w:rFonts w:eastAsia="Times New Roman"/>
          <w:color w:val="000000"/>
          <w:sz w:val="24"/>
          <w:szCs w:val="24"/>
          <w:lang w:eastAsia="de-DE"/>
        </w:rPr>
        <w:t>users</w:t>
      </w:r>
      <w:r w:rsidR="00D67979" w:rsidRPr="001A43E4">
        <w:rPr>
          <w:rFonts w:eastAsia="Times New Roman"/>
          <w:color w:val="000000"/>
          <w:sz w:val="24"/>
          <w:szCs w:val="24"/>
          <w:lang w:eastAsia="de-DE"/>
        </w:rPr>
        <w:t>.</w:t>
      </w:r>
    </w:p>
    <w:p w14:paraId="0F5CB99F" w14:textId="2C5D4CB2" w:rsidR="0043249F" w:rsidRPr="001A43E4" w:rsidRDefault="00FD5982" w:rsidP="00C27B87">
      <w:pPr>
        <w:pStyle w:val="Listenabsatz"/>
        <w:numPr>
          <w:ilvl w:val="3"/>
          <w:numId w:val="38"/>
        </w:numPr>
        <w:spacing w:after="0" w:line="240" w:lineRule="auto"/>
        <w:ind w:left="426"/>
        <w:jc w:val="left"/>
        <w:rPr>
          <w:rFonts w:eastAsia="Times New Roman"/>
          <w:color w:val="000000"/>
          <w:sz w:val="24"/>
          <w:szCs w:val="24"/>
          <w:lang w:eastAsia="de-DE"/>
        </w:rPr>
      </w:pPr>
      <w:r w:rsidRPr="001A43E4">
        <w:rPr>
          <w:rFonts w:eastAsia="Times New Roman"/>
          <w:color w:val="000000"/>
          <w:sz w:val="24"/>
          <w:szCs w:val="24"/>
          <w:lang w:eastAsia="de-DE"/>
        </w:rPr>
        <w:t xml:space="preserve">Of the </w:t>
      </w:r>
      <w:r w:rsidR="0043249F" w:rsidRPr="001A43E4">
        <w:rPr>
          <w:rFonts w:eastAsia="Times New Roman"/>
          <w:color w:val="000000"/>
          <w:sz w:val="24"/>
          <w:szCs w:val="24"/>
          <w:lang w:eastAsia="de-DE"/>
        </w:rPr>
        <w:t>numerical data in other standards, the listing of employees across countries according to ESRS S1 Para DR S1-</w:t>
      </w:r>
      <w:r w:rsidR="008019FF" w:rsidRPr="001A43E4">
        <w:rPr>
          <w:rFonts w:eastAsia="Times New Roman"/>
          <w:color w:val="000000"/>
          <w:sz w:val="24"/>
          <w:szCs w:val="24"/>
          <w:lang w:eastAsia="de-DE"/>
        </w:rPr>
        <w:t>6</w:t>
      </w:r>
      <w:r w:rsidR="0043249F" w:rsidRPr="001A43E4">
        <w:rPr>
          <w:rFonts w:eastAsia="Times New Roman"/>
          <w:color w:val="000000"/>
          <w:sz w:val="24"/>
          <w:szCs w:val="24"/>
          <w:lang w:eastAsia="de-DE"/>
        </w:rPr>
        <w:t xml:space="preserve"> </w:t>
      </w:r>
      <w:r w:rsidR="004807EC">
        <w:rPr>
          <w:rFonts w:eastAsia="Times New Roman"/>
          <w:color w:val="000000"/>
          <w:sz w:val="24"/>
          <w:szCs w:val="24"/>
          <w:lang w:eastAsia="de-DE"/>
        </w:rPr>
        <w:t>would</w:t>
      </w:r>
      <w:r w:rsidR="001A43E4">
        <w:rPr>
          <w:rFonts w:eastAsia="Times New Roman"/>
          <w:color w:val="000000"/>
          <w:sz w:val="24"/>
          <w:szCs w:val="24"/>
          <w:lang w:eastAsia="de-DE"/>
        </w:rPr>
        <w:t xml:space="preserve"> be </w:t>
      </w:r>
      <w:r w:rsidR="0043249F" w:rsidRPr="001A43E4">
        <w:rPr>
          <w:rFonts w:eastAsia="Times New Roman"/>
          <w:color w:val="000000"/>
          <w:sz w:val="24"/>
          <w:szCs w:val="24"/>
          <w:lang w:eastAsia="de-DE"/>
        </w:rPr>
        <w:t>important</w:t>
      </w:r>
      <w:r w:rsidR="001A43E4">
        <w:rPr>
          <w:rFonts w:eastAsia="Times New Roman"/>
          <w:color w:val="000000"/>
          <w:sz w:val="24"/>
          <w:szCs w:val="24"/>
          <w:lang w:eastAsia="de-DE"/>
        </w:rPr>
        <w:t xml:space="preserve"> for national statistics producers</w:t>
      </w:r>
      <w:r w:rsidR="0043249F" w:rsidRPr="001A43E4">
        <w:rPr>
          <w:rFonts w:eastAsia="Times New Roman"/>
          <w:color w:val="000000"/>
          <w:sz w:val="24"/>
          <w:szCs w:val="24"/>
          <w:lang w:eastAsia="de-DE"/>
        </w:rPr>
        <w:t>.</w:t>
      </w:r>
      <w:r w:rsidR="00964F24">
        <w:rPr>
          <w:rFonts w:eastAsia="Times New Roman"/>
          <w:color w:val="000000"/>
          <w:sz w:val="24"/>
          <w:szCs w:val="24"/>
          <w:lang w:eastAsia="de-DE"/>
        </w:rPr>
        <w:br/>
        <w:t xml:space="preserve">Further, with regard to other ESRS, there are numerical data points that should be rather easy to report, in this respect easy to mark up and are important for analysis (e.g. water consumption, amount of </w:t>
      </w:r>
      <w:r w:rsidR="00AA1A6C">
        <w:rPr>
          <w:rFonts w:eastAsia="Times New Roman"/>
          <w:color w:val="000000"/>
          <w:sz w:val="24"/>
          <w:szCs w:val="24"/>
          <w:lang w:eastAsia="de-DE"/>
        </w:rPr>
        <w:t>pollutants</w:t>
      </w:r>
      <w:r w:rsidR="00964F24">
        <w:rPr>
          <w:rFonts w:eastAsia="Times New Roman"/>
          <w:color w:val="000000"/>
          <w:sz w:val="24"/>
          <w:szCs w:val="24"/>
          <w:lang w:eastAsia="de-DE"/>
        </w:rPr>
        <w:t>).</w:t>
      </w:r>
      <w:r w:rsidR="009E0258">
        <w:rPr>
          <w:rFonts w:eastAsia="Times New Roman"/>
          <w:color w:val="000000"/>
          <w:sz w:val="24"/>
          <w:szCs w:val="24"/>
          <w:lang w:eastAsia="de-DE"/>
        </w:rPr>
        <w:t xml:space="preserve"> A possibility would be to require those data points in other ESRS to be tagged that are included in the Voluntary Sustainability Standard for non-listed SMEs (VSME) by EFRAG.</w:t>
      </w:r>
    </w:p>
    <w:p w14:paraId="41CFB482" w14:textId="4613B23B" w:rsidR="00C63F20" w:rsidRPr="001A43E4" w:rsidRDefault="001A43E4" w:rsidP="00C27B87">
      <w:pPr>
        <w:pStyle w:val="Listenabsatz"/>
        <w:numPr>
          <w:ilvl w:val="3"/>
          <w:numId w:val="38"/>
        </w:numPr>
        <w:spacing w:after="0" w:line="240" w:lineRule="auto"/>
        <w:ind w:left="426"/>
        <w:jc w:val="left"/>
        <w:rPr>
          <w:rFonts w:eastAsia="Times New Roman"/>
          <w:color w:val="000000"/>
          <w:sz w:val="24"/>
          <w:szCs w:val="24"/>
          <w:lang w:eastAsia="de-DE"/>
        </w:rPr>
      </w:pPr>
      <w:r>
        <w:rPr>
          <w:rFonts w:eastAsia="Times New Roman"/>
          <w:color w:val="000000"/>
          <w:sz w:val="24"/>
          <w:szCs w:val="24"/>
          <w:lang w:eastAsia="de-DE"/>
        </w:rPr>
        <w:t xml:space="preserve">In the same reasoning, for all of </w:t>
      </w:r>
      <w:r w:rsidR="006303F0" w:rsidRPr="001A43E4">
        <w:rPr>
          <w:rFonts w:eastAsia="Times New Roman"/>
          <w:color w:val="000000"/>
          <w:sz w:val="24"/>
          <w:szCs w:val="24"/>
          <w:lang w:eastAsia="de-DE"/>
        </w:rPr>
        <w:t>above-mentioned</w:t>
      </w:r>
      <w:r w:rsidR="00FD5982" w:rsidRPr="001A43E4">
        <w:rPr>
          <w:rFonts w:eastAsia="Times New Roman"/>
          <w:color w:val="000000"/>
          <w:sz w:val="24"/>
          <w:szCs w:val="24"/>
          <w:lang w:eastAsia="de-DE"/>
        </w:rPr>
        <w:t xml:space="preserve"> </w:t>
      </w:r>
      <w:r w:rsidR="00C63F20" w:rsidRPr="001A43E4">
        <w:rPr>
          <w:rFonts w:eastAsia="Times New Roman"/>
          <w:color w:val="000000"/>
          <w:sz w:val="24"/>
          <w:szCs w:val="24"/>
          <w:lang w:eastAsia="de-DE"/>
        </w:rPr>
        <w:t xml:space="preserve">numerical values, </w:t>
      </w:r>
      <w:r>
        <w:rPr>
          <w:rFonts w:eastAsia="Times New Roman"/>
          <w:color w:val="000000"/>
          <w:sz w:val="24"/>
          <w:szCs w:val="24"/>
          <w:lang w:eastAsia="de-DE"/>
        </w:rPr>
        <w:t xml:space="preserve">ESMA is </w:t>
      </w:r>
      <w:r w:rsidR="00C63F20" w:rsidRPr="001A43E4">
        <w:rPr>
          <w:rFonts w:eastAsia="Times New Roman"/>
          <w:color w:val="000000"/>
          <w:sz w:val="24"/>
          <w:szCs w:val="24"/>
          <w:lang w:eastAsia="de-DE"/>
        </w:rPr>
        <w:t>encourage</w:t>
      </w:r>
      <w:r>
        <w:rPr>
          <w:rFonts w:eastAsia="Times New Roman"/>
          <w:color w:val="000000"/>
          <w:sz w:val="24"/>
          <w:szCs w:val="24"/>
          <w:lang w:eastAsia="de-DE"/>
        </w:rPr>
        <w:t>d</w:t>
      </w:r>
      <w:r w:rsidR="00C63F20" w:rsidRPr="001A43E4">
        <w:rPr>
          <w:rFonts w:eastAsia="Times New Roman"/>
          <w:color w:val="000000"/>
          <w:sz w:val="24"/>
          <w:szCs w:val="24"/>
          <w:lang w:eastAsia="de-DE"/>
        </w:rPr>
        <w:t xml:space="preserve"> to give guidance in tagging disaggregation by country or site as indicated in ESRS 1.54</w:t>
      </w:r>
      <w:r>
        <w:rPr>
          <w:rFonts w:eastAsia="Times New Roman"/>
          <w:color w:val="000000"/>
          <w:sz w:val="24"/>
          <w:szCs w:val="24"/>
          <w:lang w:eastAsia="de-DE"/>
        </w:rPr>
        <w:t xml:space="preserve"> (</w:t>
      </w:r>
      <w:r w:rsidR="00C63F20" w:rsidRPr="001A43E4">
        <w:rPr>
          <w:rFonts w:eastAsia="Times New Roman"/>
          <w:color w:val="000000"/>
          <w:sz w:val="24"/>
          <w:szCs w:val="24"/>
          <w:lang w:eastAsia="de-DE"/>
        </w:rPr>
        <w:t>if applicable for a reporting entity</w:t>
      </w:r>
      <w:r>
        <w:rPr>
          <w:rFonts w:eastAsia="Times New Roman"/>
          <w:color w:val="000000"/>
          <w:sz w:val="24"/>
          <w:szCs w:val="24"/>
          <w:lang w:eastAsia="de-DE"/>
        </w:rPr>
        <w:t>)</w:t>
      </w:r>
      <w:r w:rsidR="00C63F20" w:rsidRPr="001A43E4">
        <w:rPr>
          <w:rFonts w:eastAsia="Times New Roman"/>
          <w:color w:val="000000"/>
          <w:sz w:val="24"/>
          <w:szCs w:val="24"/>
          <w:lang w:eastAsia="de-DE"/>
        </w:rPr>
        <w:t>.</w:t>
      </w:r>
    </w:p>
    <w:p w14:paraId="1B5A7984" w14:textId="77777777" w:rsidR="00FD5982" w:rsidRPr="001A43E4" w:rsidRDefault="00FD5982" w:rsidP="001A43E4">
      <w:pPr>
        <w:spacing w:after="0" w:line="240" w:lineRule="auto"/>
        <w:jc w:val="left"/>
        <w:rPr>
          <w:rFonts w:eastAsia="Times New Roman"/>
          <w:color w:val="000000"/>
          <w:sz w:val="24"/>
          <w:szCs w:val="24"/>
          <w:lang w:eastAsia="de-DE"/>
        </w:rPr>
      </w:pPr>
    </w:p>
    <w:p w14:paraId="0FDE29C0" w14:textId="02971F2D" w:rsidR="00181879" w:rsidRPr="001A43E4" w:rsidRDefault="00F52C03" w:rsidP="001A43E4">
      <w:pPr>
        <w:spacing w:after="0" w:line="240" w:lineRule="auto"/>
        <w:jc w:val="left"/>
        <w:rPr>
          <w:rFonts w:eastAsia="Times New Roman"/>
          <w:color w:val="000000"/>
          <w:sz w:val="24"/>
          <w:szCs w:val="24"/>
          <w:lang w:eastAsia="de-DE"/>
        </w:rPr>
      </w:pPr>
      <w:r w:rsidRPr="001A43E4">
        <w:rPr>
          <w:rFonts w:eastAsia="Times New Roman"/>
          <w:color w:val="000000"/>
          <w:sz w:val="24"/>
          <w:szCs w:val="24"/>
          <w:lang w:eastAsia="de-DE"/>
        </w:rPr>
        <w:t xml:space="preserve">With regard to narrative information, tagging </w:t>
      </w:r>
      <w:r w:rsidR="001A43E4">
        <w:rPr>
          <w:rFonts w:eastAsia="Times New Roman"/>
          <w:color w:val="000000"/>
          <w:sz w:val="24"/>
          <w:szCs w:val="24"/>
          <w:lang w:eastAsia="de-DE"/>
        </w:rPr>
        <w:t xml:space="preserve">is </w:t>
      </w:r>
      <w:r w:rsidR="00FD5982" w:rsidRPr="001A43E4">
        <w:rPr>
          <w:rFonts w:eastAsia="Times New Roman"/>
          <w:color w:val="000000"/>
          <w:sz w:val="24"/>
          <w:szCs w:val="24"/>
          <w:lang w:eastAsia="de-DE"/>
        </w:rPr>
        <w:t>general</w:t>
      </w:r>
      <w:r w:rsidR="001A43E4">
        <w:rPr>
          <w:rFonts w:eastAsia="Times New Roman"/>
          <w:color w:val="000000"/>
          <w:sz w:val="24"/>
          <w:szCs w:val="24"/>
          <w:lang w:eastAsia="de-DE"/>
        </w:rPr>
        <w:t>ly</w:t>
      </w:r>
      <w:r w:rsidR="00FD5982" w:rsidRPr="001A43E4">
        <w:rPr>
          <w:rFonts w:eastAsia="Times New Roman"/>
          <w:color w:val="000000"/>
          <w:sz w:val="24"/>
          <w:szCs w:val="24"/>
          <w:lang w:eastAsia="de-DE"/>
        </w:rPr>
        <w:t xml:space="preserve"> being </w:t>
      </w:r>
      <w:r w:rsidR="001A43E4">
        <w:rPr>
          <w:rFonts w:eastAsia="Times New Roman"/>
          <w:color w:val="000000"/>
          <w:sz w:val="24"/>
          <w:szCs w:val="24"/>
          <w:lang w:eastAsia="de-DE"/>
        </w:rPr>
        <w:t xml:space="preserve">considered </w:t>
      </w:r>
      <w:r w:rsidR="006303F0" w:rsidRPr="001A43E4">
        <w:rPr>
          <w:rFonts w:eastAsia="Times New Roman"/>
          <w:color w:val="000000"/>
          <w:sz w:val="24"/>
          <w:szCs w:val="24"/>
          <w:lang w:eastAsia="de-DE"/>
        </w:rPr>
        <w:t>beneficial</w:t>
      </w:r>
      <w:r w:rsidRPr="001A43E4">
        <w:rPr>
          <w:rFonts w:eastAsia="Times New Roman"/>
          <w:color w:val="000000"/>
          <w:sz w:val="24"/>
          <w:szCs w:val="24"/>
          <w:lang w:eastAsia="de-DE"/>
        </w:rPr>
        <w:t xml:space="preserve"> </w:t>
      </w:r>
      <w:r w:rsidR="008019FF" w:rsidRPr="001A43E4">
        <w:rPr>
          <w:rFonts w:eastAsia="Times New Roman"/>
          <w:color w:val="000000"/>
          <w:sz w:val="24"/>
          <w:szCs w:val="24"/>
          <w:lang w:eastAsia="de-DE"/>
        </w:rPr>
        <w:t xml:space="preserve">even when </w:t>
      </w:r>
      <w:r w:rsidRPr="001A43E4">
        <w:rPr>
          <w:rFonts w:eastAsia="Times New Roman"/>
          <w:color w:val="000000"/>
          <w:sz w:val="24"/>
          <w:szCs w:val="24"/>
          <w:lang w:eastAsia="de-DE"/>
        </w:rPr>
        <w:t xml:space="preserve">new techniques like Natural Language Processing (NLP) </w:t>
      </w:r>
      <w:r w:rsidR="00FD5982" w:rsidRPr="001A43E4">
        <w:rPr>
          <w:rFonts w:eastAsia="Times New Roman"/>
          <w:color w:val="000000"/>
          <w:sz w:val="24"/>
          <w:szCs w:val="24"/>
          <w:lang w:eastAsia="de-DE"/>
        </w:rPr>
        <w:t>gaining more and more quality</w:t>
      </w:r>
      <w:r w:rsidRPr="001A43E4">
        <w:rPr>
          <w:rFonts w:eastAsia="Times New Roman"/>
          <w:color w:val="000000"/>
          <w:sz w:val="24"/>
          <w:szCs w:val="24"/>
          <w:lang w:eastAsia="de-DE"/>
        </w:rPr>
        <w:t xml:space="preserve">. </w:t>
      </w:r>
      <w:r w:rsidR="0008049C" w:rsidRPr="001A43E4">
        <w:rPr>
          <w:rFonts w:eastAsia="Times New Roman"/>
          <w:color w:val="000000"/>
          <w:sz w:val="24"/>
          <w:szCs w:val="24"/>
          <w:lang w:eastAsia="de-DE"/>
        </w:rPr>
        <w:t>T</w:t>
      </w:r>
      <w:r w:rsidRPr="001A43E4">
        <w:rPr>
          <w:rFonts w:eastAsia="Times New Roman"/>
          <w:color w:val="000000"/>
          <w:sz w:val="24"/>
          <w:szCs w:val="24"/>
          <w:lang w:eastAsia="de-DE"/>
        </w:rPr>
        <w:t xml:space="preserve">agging </w:t>
      </w:r>
      <w:r w:rsidR="0008049C" w:rsidRPr="001A43E4">
        <w:rPr>
          <w:rFonts w:eastAsia="Times New Roman"/>
          <w:color w:val="000000"/>
          <w:sz w:val="24"/>
          <w:szCs w:val="24"/>
          <w:lang w:eastAsia="de-DE"/>
        </w:rPr>
        <w:t>in th</w:t>
      </w:r>
      <w:r w:rsidR="00154837" w:rsidRPr="001A43E4">
        <w:rPr>
          <w:rFonts w:eastAsia="Times New Roman"/>
          <w:color w:val="000000"/>
          <w:sz w:val="24"/>
          <w:szCs w:val="24"/>
          <w:lang w:eastAsia="de-DE"/>
        </w:rPr>
        <w:t>e</w:t>
      </w:r>
      <w:r w:rsidR="0008049C" w:rsidRPr="001A43E4">
        <w:rPr>
          <w:rFonts w:eastAsia="Times New Roman"/>
          <w:color w:val="000000"/>
          <w:sz w:val="24"/>
          <w:szCs w:val="24"/>
          <w:lang w:eastAsia="de-DE"/>
        </w:rPr>
        <w:t>s</w:t>
      </w:r>
      <w:r w:rsidR="00154837" w:rsidRPr="001A43E4">
        <w:rPr>
          <w:rFonts w:eastAsia="Times New Roman"/>
          <w:color w:val="000000"/>
          <w:sz w:val="24"/>
          <w:szCs w:val="24"/>
          <w:lang w:eastAsia="de-DE"/>
        </w:rPr>
        <w:t>e</w:t>
      </w:r>
      <w:r w:rsidR="0008049C" w:rsidRPr="001A43E4">
        <w:rPr>
          <w:rFonts w:eastAsia="Times New Roman"/>
          <w:color w:val="000000"/>
          <w:sz w:val="24"/>
          <w:szCs w:val="24"/>
          <w:lang w:eastAsia="de-DE"/>
        </w:rPr>
        <w:t xml:space="preserve"> cases </w:t>
      </w:r>
      <w:r w:rsidRPr="001A43E4">
        <w:rPr>
          <w:rFonts w:eastAsia="Times New Roman"/>
          <w:color w:val="000000"/>
          <w:sz w:val="24"/>
          <w:szCs w:val="24"/>
          <w:lang w:eastAsia="de-DE"/>
        </w:rPr>
        <w:t xml:space="preserve">can </w:t>
      </w:r>
      <w:r w:rsidR="00FD5982" w:rsidRPr="001A43E4">
        <w:rPr>
          <w:rFonts w:eastAsia="Times New Roman"/>
          <w:color w:val="000000"/>
          <w:sz w:val="24"/>
          <w:szCs w:val="24"/>
          <w:lang w:eastAsia="de-DE"/>
        </w:rPr>
        <w:t xml:space="preserve">still </w:t>
      </w:r>
      <w:r w:rsidRPr="001A43E4">
        <w:rPr>
          <w:rFonts w:eastAsia="Times New Roman"/>
          <w:color w:val="000000"/>
          <w:sz w:val="24"/>
          <w:szCs w:val="24"/>
          <w:lang w:eastAsia="de-DE"/>
        </w:rPr>
        <w:t xml:space="preserve">save </w:t>
      </w:r>
      <w:r w:rsidR="00FD5982" w:rsidRPr="001A43E4">
        <w:rPr>
          <w:rFonts w:eastAsia="Times New Roman"/>
          <w:color w:val="000000"/>
          <w:sz w:val="24"/>
          <w:szCs w:val="24"/>
          <w:lang w:eastAsia="de-DE"/>
        </w:rPr>
        <w:t xml:space="preserve">significant IT resources </w:t>
      </w:r>
      <w:r w:rsidRPr="001A43E4">
        <w:rPr>
          <w:rFonts w:eastAsia="Times New Roman"/>
          <w:color w:val="000000"/>
          <w:sz w:val="24"/>
          <w:szCs w:val="24"/>
          <w:lang w:eastAsia="de-DE"/>
        </w:rPr>
        <w:t xml:space="preserve">as </w:t>
      </w:r>
      <w:r w:rsidR="008019FF" w:rsidRPr="001A43E4">
        <w:rPr>
          <w:rFonts w:eastAsia="Times New Roman"/>
          <w:color w:val="000000"/>
          <w:sz w:val="24"/>
          <w:szCs w:val="24"/>
          <w:lang w:eastAsia="de-DE"/>
        </w:rPr>
        <w:t xml:space="preserve">one </w:t>
      </w:r>
      <w:r w:rsidRPr="001A43E4">
        <w:rPr>
          <w:rFonts w:eastAsia="Times New Roman"/>
          <w:color w:val="000000"/>
          <w:sz w:val="24"/>
          <w:szCs w:val="24"/>
          <w:lang w:eastAsia="de-DE"/>
        </w:rPr>
        <w:t xml:space="preserve">can </w:t>
      </w:r>
      <w:r w:rsidR="008019FF" w:rsidRPr="001A43E4">
        <w:rPr>
          <w:rFonts w:eastAsia="Times New Roman"/>
          <w:color w:val="000000"/>
          <w:sz w:val="24"/>
          <w:szCs w:val="24"/>
          <w:lang w:eastAsia="de-DE"/>
        </w:rPr>
        <w:t xml:space="preserve">directly </w:t>
      </w:r>
      <w:r w:rsidRPr="001A43E4">
        <w:rPr>
          <w:rFonts w:eastAsia="Times New Roman"/>
          <w:color w:val="000000"/>
          <w:sz w:val="24"/>
          <w:szCs w:val="24"/>
          <w:lang w:eastAsia="de-DE"/>
        </w:rPr>
        <w:t xml:space="preserve">access to specific narrative where </w:t>
      </w:r>
      <w:r w:rsidR="008019FF" w:rsidRPr="001A43E4">
        <w:rPr>
          <w:rFonts w:eastAsia="Times New Roman"/>
          <w:color w:val="000000"/>
          <w:sz w:val="24"/>
          <w:szCs w:val="24"/>
          <w:lang w:eastAsia="de-DE"/>
        </w:rPr>
        <w:t xml:space="preserve">the </w:t>
      </w:r>
      <w:r w:rsidRPr="001A43E4">
        <w:rPr>
          <w:rFonts w:eastAsia="Times New Roman"/>
          <w:color w:val="000000"/>
          <w:sz w:val="24"/>
          <w:szCs w:val="24"/>
          <w:lang w:eastAsia="de-DE"/>
        </w:rPr>
        <w:t xml:space="preserve">desired information </w:t>
      </w:r>
      <w:r w:rsidR="00154837" w:rsidRPr="001A43E4">
        <w:rPr>
          <w:rFonts w:eastAsia="Times New Roman"/>
          <w:color w:val="000000"/>
          <w:sz w:val="24"/>
          <w:szCs w:val="24"/>
          <w:lang w:eastAsia="de-DE"/>
        </w:rPr>
        <w:t>is known to be</w:t>
      </w:r>
      <w:r w:rsidRPr="001A43E4">
        <w:rPr>
          <w:rFonts w:eastAsia="Times New Roman"/>
          <w:color w:val="000000"/>
          <w:sz w:val="24"/>
          <w:szCs w:val="24"/>
          <w:lang w:eastAsia="de-DE"/>
        </w:rPr>
        <w:t xml:space="preserve"> located. </w:t>
      </w:r>
      <w:r w:rsidR="006303F0" w:rsidRPr="001A43E4">
        <w:rPr>
          <w:rFonts w:eastAsia="Times New Roman"/>
          <w:color w:val="000000"/>
          <w:sz w:val="24"/>
          <w:szCs w:val="24"/>
          <w:lang w:eastAsia="de-DE"/>
        </w:rPr>
        <w:t>Hence,</w:t>
      </w:r>
      <w:r w:rsidRPr="001A43E4">
        <w:rPr>
          <w:rFonts w:eastAsia="Times New Roman"/>
          <w:color w:val="000000"/>
          <w:sz w:val="24"/>
          <w:szCs w:val="24"/>
          <w:lang w:eastAsia="de-DE"/>
        </w:rPr>
        <w:t xml:space="preserve"> computational resources </w:t>
      </w:r>
      <w:r w:rsidR="0008049C" w:rsidRPr="001A43E4">
        <w:rPr>
          <w:rFonts w:eastAsia="Times New Roman"/>
          <w:color w:val="000000"/>
          <w:sz w:val="24"/>
          <w:szCs w:val="24"/>
          <w:lang w:eastAsia="de-DE"/>
        </w:rPr>
        <w:t xml:space="preserve">are </w:t>
      </w:r>
      <w:r w:rsidRPr="001A43E4">
        <w:rPr>
          <w:rFonts w:eastAsia="Times New Roman"/>
          <w:color w:val="000000"/>
          <w:sz w:val="24"/>
          <w:szCs w:val="24"/>
          <w:lang w:eastAsia="de-DE"/>
        </w:rPr>
        <w:t>reduced and algorithm</w:t>
      </w:r>
      <w:r w:rsidR="0008049C" w:rsidRPr="001A43E4">
        <w:rPr>
          <w:rFonts w:eastAsia="Times New Roman"/>
          <w:color w:val="000000"/>
          <w:sz w:val="24"/>
          <w:szCs w:val="24"/>
          <w:lang w:eastAsia="de-DE"/>
        </w:rPr>
        <w:t>s</w:t>
      </w:r>
      <w:r w:rsidRPr="001A43E4">
        <w:rPr>
          <w:rFonts w:eastAsia="Times New Roman"/>
          <w:color w:val="000000"/>
          <w:sz w:val="24"/>
          <w:szCs w:val="24"/>
          <w:lang w:eastAsia="de-DE"/>
        </w:rPr>
        <w:t xml:space="preserve"> optimized. </w:t>
      </w:r>
      <w:r w:rsidR="001A43E4">
        <w:rPr>
          <w:rFonts w:eastAsia="Times New Roman"/>
          <w:color w:val="000000"/>
          <w:sz w:val="24"/>
          <w:szCs w:val="24"/>
          <w:lang w:eastAsia="de-DE"/>
        </w:rPr>
        <w:t xml:space="preserve">From </w:t>
      </w:r>
      <w:r w:rsidR="001A43E4">
        <w:rPr>
          <w:rFonts w:eastAsia="Times New Roman"/>
          <w:color w:val="000000"/>
          <w:sz w:val="24"/>
          <w:szCs w:val="24"/>
          <w:lang w:eastAsia="de-DE"/>
        </w:rPr>
        <w:lastRenderedPageBreak/>
        <w:t>member experience, t</w:t>
      </w:r>
      <w:r w:rsidR="00FD5982" w:rsidRPr="001A43E4">
        <w:rPr>
          <w:rFonts w:eastAsia="Times New Roman"/>
          <w:color w:val="000000"/>
          <w:sz w:val="24"/>
          <w:szCs w:val="24"/>
          <w:lang w:eastAsia="de-DE"/>
        </w:rPr>
        <w:t xml:space="preserve">hough </w:t>
      </w:r>
      <w:r w:rsidR="00181879" w:rsidRPr="001A43E4">
        <w:rPr>
          <w:rFonts w:eastAsia="Times New Roman"/>
          <w:color w:val="000000"/>
          <w:sz w:val="24"/>
          <w:szCs w:val="24"/>
          <w:lang w:eastAsia="de-DE"/>
        </w:rPr>
        <w:t>AI tools and machine learning methods are progressing fast</w:t>
      </w:r>
      <w:r w:rsidR="00FD5982" w:rsidRPr="001A43E4">
        <w:rPr>
          <w:rFonts w:eastAsia="Times New Roman"/>
          <w:color w:val="000000"/>
          <w:sz w:val="24"/>
          <w:szCs w:val="24"/>
          <w:lang w:eastAsia="de-DE"/>
        </w:rPr>
        <w:t>,</w:t>
      </w:r>
      <w:r w:rsidR="00181879" w:rsidRPr="001A43E4">
        <w:rPr>
          <w:rFonts w:eastAsia="Times New Roman"/>
          <w:color w:val="000000"/>
          <w:sz w:val="24"/>
          <w:szCs w:val="24"/>
          <w:lang w:eastAsia="de-DE"/>
        </w:rPr>
        <w:t xml:space="preserve"> they are not at the level of full substitutability yet.</w:t>
      </w:r>
    </w:p>
    <w:p w14:paraId="4E895187" w14:textId="77777777" w:rsidR="00FD5982" w:rsidRPr="001A43E4" w:rsidRDefault="00FD5982" w:rsidP="001A43E4">
      <w:pPr>
        <w:spacing w:after="0" w:line="240" w:lineRule="auto"/>
        <w:jc w:val="left"/>
        <w:rPr>
          <w:rFonts w:eastAsia="Times New Roman"/>
          <w:color w:val="000000"/>
          <w:sz w:val="24"/>
          <w:szCs w:val="24"/>
          <w:lang w:eastAsia="de-DE"/>
        </w:rPr>
      </w:pPr>
    </w:p>
    <w:p w14:paraId="4472E52F" w14:textId="1D9CB555" w:rsidR="004172D7" w:rsidRPr="001A43E4" w:rsidRDefault="00FD5982" w:rsidP="001A43E4">
      <w:pPr>
        <w:spacing w:after="0" w:line="240" w:lineRule="auto"/>
        <w:jc w:val="left"/>
        <w:rPr>
          <w:rFonts w:eastAsia="Times New Roman"/>
          <w:color w:val="000000"/>
          <w:sz w:val="24"/>
          <w:szCs w:val="24"/>
          <w:lang w:eastAsia="de-DE"/>
        </w:rPr>
      </w:pPr>
      <w:r w:rsidRPr="001A43E4">
        <w:rPr>
          <w:rFonts w:eastAsia="Times New Roman"/>
          <w:color w:val="000000"/>
          <w:sz w:val="24"/>
          <w:szCs w:val="24"/>
          <w:lang w:eastAsia="de-DE"/>
        </w:rPr>
        <w:t>On the other hand, companie</w:t>
      </w:r>
      <w:r w:rsidR="004172D7" w:rsidRPr="001A43E4">
        <w:rPr>
          <w:rFonts w:eastAsia="Times New Roman"/>
          <w:color w:val="000000"/>
          <w:sz w:val="24"/>
          <w:szCs w:val="24"/>
          <w:lang w:eastAsia="de-DE"/>
        </w:rPr>
        <w:t>s address the burden of tagging</w:t>
      </w:r>
      <w:r w:rsidRPr="001A43E4">
        <w:rPr>
          <w:rFonts w:eastAsia="Times New Roman"/>
          <w:color w:val="000000"/>
          <w:sz w:val="24"/>
          <w:szCs w:val="24"/>
          <w:lang w:eastAsia="de-DE"/>
        </w:rPr>
        <w:t xml:space="preserve"> </w:t>
      </w:r>
      <w:r w:rsidR="004172D7" w:rsidRPr="001A43E4">
        <w:rPr>
          <w:rFonts w:eastAsia="Times New Roman"/>
          <w:color w:val="000000"/>
          <w:sz w:val="24"/>
          <w:szCs w:val="24"/>
          <w:lang w:eastAsia="de-DE"/>
        </w:rPr>
        <w:t xml:space="preserve">and we understand that particularly tagging narrative information is burdensome (though compared to the process of achieving the singular </w:t>
      </w:r>
      <w:r w:rsidR="00EB36E4" w:rsidRPr="001A43E4">
        <w:rPr>
          <w:rFonts w:eastAsia="Times New Roman"/>
          <w:color w:val="000000"/>
          <w:sz w:val="24"/>
          <w:szCs w:val="24"/>
          <w:lang w:eastAsia="de-DE"/>
        </w:rPr>
        <w:t>data point</w:t>
      </w:r>
      <w:r w:rsidR="004172D7" w:rsidRPr="001A43E4">
        <w:rPr>
          <w:rFonts w:eastAsia="Times New Roman"/>
          <w:color w:val="000000"/>
          <w:sz w:val="24"/>
          <w:szCs w:val="24"/>
          <w:lang w:eastAsia="de-DE"/>
        </w:rPr>
        <w:t xml:space="preserve">s, tagging might not be the most costly issue). The </w:t>
      </w:r>
      <w:r w:rsidRPr="001A43E4">
        <w:rPr>
          <w:rFonts w:eastAsia="Times New Roman"/>
          <w:color w:val="000000"/>
          <w:sz w:val="24"/>
          <w:szCs w:val="24"/>
          <w:lang w:eastAsia="de-DE"/>
        </w:rPr>
        <w:t>advantages of narrative tagging is diminishing the less precise the narrative text is (e.g. if several paragraphs or pages are incorporated in one tag).</w:t>
      </w:r>
      <w:r w:rsidR="004172D7" w:rsidRPr="001A43E4">
        <w:rPr>
          <w:rFonts w:eastAsia="Times New Roman"/>
          <w:color w:val="000000"/>
          <w:sz w:val="24"/>
          <w:szCs w:val="24"/>
          <w:lang w:eastAsia="de-DE"/>
        </w:rPr>
        <w:t xml:space="preserve"> Taking into account the current competitiveness challenges, pragmatic solutions should be found and narrative tagging only applied to ESRS </w:t>
      </w:r>
      <w:r w:rsidR="00EB36E4" w:rsidRPr="001A43E4">
        <w:rPr>
          <w:rFonts w:eastAsia="Times New Roman"/>
          <w:color w:val="000000"/>
          <w:sz w:val="24"/>
          <w:szCs w:val="24"/>
          <w:lang w:eastAsia="de-DE"/>
        </w:rPr>
        <w:t>data point</w:t>
      </w:r>
      <w:r w:rsidR="004172D7" w:rsidRPr="001A43E4">
        <w:rPr>
          <w:rFonts w:eastAsia="Times New Roman"/>
          <w:color w:val="000000"/>
          <w:sz w:val="24"/>
          <w:szCs w:val="24"/>
          <w:lang w:eastAsia="de-DE"/>
        </w:rPr>
        <w:t xml:space="preserve">s considered </w:t>
      </w:r>
      <w:r w:rsidR="006303F0" w:rsidRPr="001A43E4">
        <w:rPr>
          <w:rFonts w:eastAsia="Times New Roman"/>
          <w:color w:val="000000"/>
          <w:sz w:val="24"/>
          <w:szCs w:val="24"/>
          <w:lang w:eastAsia="de-DE"/>
        </w:rPr>
        <w:t>particularly</w:t>
      </w:r>
      <w:r w:rsidR="004172D7" w:rsidRPr="001A43E4">
        <w:rPr>
          <w:rFonts w:eastAsia="Times New Roman"/>
          <w:color w:val="000000"/>
          <w:sz w:val="24"/>
          <w:szCs w:val="24"/>
          <w:lang w:eastAsia="de-DE"/>
        </w:rPr>
        <w:t xml:space="preserve"> relevant: Such might include:</w:t>
      </w:r>
    </w:p>
    <w:p w14:paraId="7BC7D465" w14:textId="3BA83170" w:rsidR="004172D7" w:rsidRPr="001A43E4" w:rsidRDefault="00FC67B1" w:rsidP="00C27B87">
      <w:pPr>
        <w:pStyle w:val="Listenabsatz"/>
        <w:numPr>
          <w:ilvl w:val="3"/>
          <w:numId w:val="38"/>
        </w:numPr>
        <w:spacing w:after="0" w:line="240" w:lineRule="auto"/>
        <w:ind w:left="426"/>
        <w:jc w:val="left"/>
        <w:rPr>
          <w:rFonts w:eastAsia="Times New Roman"/>
          <w:color w:val="000000"/>
          <w:sz w:val="24"/>
          <w:szCs w:val="24"/>
          <w:lang w:eastAsia="de-DE"/>
        </w:rPr>
      </w:pPr>
      <w:r w:rsidRPr="001A43E4">
        <w:rPr>
          <w:rFonts w:eastAsia="Times New Roman"/>
          <w:color w:val="000000"/>
          <w:sz w:val="24"/>
          <w:szCs w:val="24"/>
          <w:lang w:eastAsia="de-DE"/>
        </w:rPr>
        <w:t>Semi-narrative d</w:t>
      </w:r>
      <w:r w:rsidR="004172D7" w:rsidRPr="001A43E4">
        <w:rPr>
          <w:rFonts w:eastAsia="Times New Roman"/>
          <w:color w:val="000000"/>
          <w:sz w:val="24"/>
          <w:szCs w:val="24"/>
          <w:lang w:eastAsia="de-DE"/>
        </w:rPr>
        <w:t xml:space="preserve">isclosures on Strategy, business model and value chain </w:t>
      </w:r>
      <w:r w:rsidRPr="001A43E4">
        <w:rPr>
          <w:rFonts w:eastAsia="Times New Roman"/>
          <w:color w:val="000000"/>
          <w:sz w:val="24"/>
          <w:szCs w:val="24"/>
          <w:lang w:eastAsia="de-DE"/>
        </w:rPr>
        <w:t xml:space="preserve">and material impacts, risks and opportunities </w:t>
      </w:r>
      <w:r w:rsidR="004172D7" w:rsidRPr="001A43E4">
        <w:rPr>
          <w:rFonts w:eastAsia="Times New Roman"/>
          <w:color w:val="000000"/>
          <w:sz w:val="24"/>
          <w:szCs w:val="24"/>
          <w:lang w:eastAsia="de-DE"/>
        </w:rPr>
        <w:t>(SBM-1 and SBM-3 in ESRS 2)</w:t>
      </w:r>
      <w:r w:rsidR="001A43E4">
        <w:rPr>
          <w:rFonts w:eastAsia="Times New Roman"/>
          <w:color w:val="000000"/>
          <w:sz w:val="24"/>
          <w:szCs w:val="24"/>
          <w:lang w:eastAsia="de-DE"/>
        </w:rPr>
        <w:t>.</w:t>
      </w:r>
    </w:p>
    <w:p w14:paraId="7AC38103" w14:textId="4888A536" w:rsidR="004172D7" w:rsidRPr="001A43E4" w:rsidRDefault="00FC67B1" w:rsidP="00C27B87">
      <w:pPr>
        <w:pStyle w:val="Listenabsatz"/>
        <w:numPr>
          <w:ilvl w:val="3"/>
          <w:numId w:val="38"/>
        </w:numPr>
        <w:spacing w:after="0" w:line="240" w:lineRule="auto"/>
        <w:ind w:left="426"/>
        <w:jc w:val="left"/>
        <w:rPr>
          <w:rFonts w:eastAsia="Times New Roman"/>
          <w:color w:val="000000"/>
          <w:sz w:val="24"/>
          <w:szCs w:val="24"/>
          <w:lang w:eastAsia="de-DE"/>
        </w:rPr>
      </w:pPr>
      <w:r w:rsidRPr="001A43E4">
        <w:rPr>
          <w:rFonts w:eastAsia="Times New Roman"/>
          <w:color w:val="000000"/>
          <w:sz w:val="24"/>
          <w:szCs w:val="24"/>
          <w:lang w:eastAsia="de-DE"/>
        </w:rPr>
        <w:t xml:space="preserve">Disclosure of policies in ESRS E1: </w:t>
      </w:r>
      <w:r w:rsidR="004172D7" w:rsidRPr="001A43E4">
        <w:rPr>
          <w:rFonts w:eastAsia="Times New Roman"/>
          <w:color w:val="000000"/>
          <w:sz w:val="24"/>
          <w:szCs w:val="24"/>
          <w:lang w:eastAsia="de-DE"/>
        </w:rPr>
        <w:t>climate change mitigation and adaptation policies, energy efficiency policies, renewable energy deployment policies</w:t>
      </w:r>
      <w:r w:rsidR="001A43E4">
        <w:rPr>
          <w:rFonts w:eastAsia="Times New Roman"/>
          <w:color w:val="000000"/>
          <w:sz w:val="24"/>
          <w:szCs w:val="24"/>
          <w:lang w:eastAsia="de-DE"/>
        </w:rPr>
        <w:t>.</w:t>
      </w:r>
    </w:p>
    <w:p w14:paraId="00E81EFB" w14:textId="1BF46758" w:rsidR="00127F84" w:rsidRDefault="00FC67B1" w:rsidP="00C27B87">
      <w:pPr>
        <w:pStyle w:val="Listenabsatz"/>
        <w:numPr>
          <w:ilvl w:val="3"/>
          <w:numId w:val="38"/>
        </w:numPr>
        <w:spacing w:after="0" w:line="240" w:lineRule="auto"/>
        <w:ind w:left="426"/>
        <w:jc w:val="left"/>
        <w:rPr>
          <w:rFonts w:eastAsia="Times New Roman"/>
          <w:color w:val="000000"/>
          <w:sz w:val="24"/>
          <w:szCs w:val="24"/>
          <w:lang w:eastAsia="de-DE"/>
        </w:rPr>
      </w:pPr>
      <w:r w:rsidRPr="001A43E4">
        <w:rPr>
          <w:rFonts w:eastAsia="Times New Roman"/>
          <w:color w:val="000000"/>
          <w:sz w:val="24"/>
          <w:szCs w:val="24"/>
          <w:lang w:eastAsia="de-DE"/>
        </w:rPr>
        <w:t>N</w:t>
      </w:r>
      <w:r w:rsidR="004172D7" w:rsidRPr="001A43E4">
        <w:rPr>
          <w:rFonts w:eastAsia="Times New Roman"/>
          <w:color w:val="000000"/>
          <w:sz w:val="24"/>
          <w:szCs w:val="24"/>
          <w:lang w:eastAsia="de-DE"/>
        </w:rPr>
        <w:t xml:space="preserve">arrative </w:t>
      </w:r>
      <w:r w:rsidR="00EB36E4" w:rsidRPr="001A43E4">
        <w:rPr>
          <w:rFonts w:eastAsia="Times New Roman"/>
          <w:color w:val="000000"/>
          <w:sz w:val="24"/>
          <w:szCs w:val="24"/>
          <w:lang w:eastAsia="de-DE"/>
        </w:rPr>
        <w:t>data point</w:t>
      </w:r>
      <w:r w:rsidR="004172D7" w:rsidRPr="001A43E4">
        <w:rPr>
          <w:rFonts w:eastAsia="Times New Roman"/>
          <w:color w:val="000000"/>
          <w:sz w:val="24"/>
          <w:szCs w:val="24"/>
          <w:lang w:eastAsia="de-DE"/>
        </w:rPr>
        <w:t>s related to CSDDD requirements</w:t>
      </w:r>
      <w:r w:rsidRPr="001A43E4">
        <w:rPr>
          <w:rFonts w:eastAsia="Times New Roman"/>
          <w:color w:val="000000"/>
          <w:sz w:val="24"/>
          <w:szCs w:val="24"/>
          <w:lang w:eastAsia="de-DE"/>
        </w:rPr>
        <w:t>.</w:t>
      </w:r>
    </w:p>
    <w:p w14:paraId="0A2D544B" w14:textId="77777777" w:rsidR="001A43E4" w:rsidRPr="001A43E4" w:rsidRDefault="001A43E4" w:rsidP="001A43E4">
      <w:pPr>
        <w:spacing w:after="0" w:line="240" w:lineRule="auto"/>
        <w:jc w:val="left"/>
        <w:rPr>
          <w:rFonts w:eastAsia="Times New Roman"/>
          <w:color w:val="000000"/>
          <w:sz w:val="24"/>
          <w:szCs w:val="24"/>
          <w:lang w:eastAsia="de-DE"/>
        </w:rPr>
      </w:pPr>
    </w:p>
    <w:permEnd w:id="91707497"/>
    <w:p w14:paraId="7E026CF2" w14:textId="77777777" w:rsidR="007D4F05" w:rsidRPr="00BA1DB8" w:rsidRDefault="007D4F05" w:rsidP="007D4F05">
      <w:pPr>
        <w:spacing w:after="0"/>
        <w:rPr>
          <w:sz w:val="20"/>
          <w:szCs w:val="18"/>
        </w:rPr>
      </w:pPr>
      <w:r w:rsidRPr="00BA1DB8">
        <w:rPr>
          <w:sz w:val="20"/>
          <w:szCs w:val="18"/>
        </w:rPr>
        <w:t>&lt;ESMA_QUESTION_ESEFEEAP_04&gt;</w:t>
      </w:r>
    </w:p>
    <w:p w14:paraId="15889A69" w14:textId="3E1A7C5F" w:rsidR="007D4F05" w:rsidRPr="00BA1DB8"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08E89AF0" w14:textId="77777777" w:rsidR="00FD7218" w:rsidRPr="0065095B" w:rsidRDefault="00FD7218" w:rsidP="0065095B">
      <w:pPr>
        <w:spacing w:after="0" w:line="240" w:lineRule="auto"/>
        <w:jc w:val="left"/>
        <w:rPr>
          <w:rFonts w:eastAsia="Times New Roman"/>
          <w:color w:val="000000"/>
          <w:sz w:val="24"/>
          <w:szCs w:val="24"/>
          <w:lang w:eastAsia="de-DE"/>
        </w:rPr>
      </w:pPr>
      <w:permStart w:id="1008013103" w:edGrp="everyone"/>
    </w:p>
    <w:p w14:paraId="3F981806" w14:textId="6DBFD69D" w:rsidR="00413845" w:rsidRDefault="0065095B" w:rsidP="0065095B">
      <w:pPr>
        <w:spacing w:after="0" w:line="240" w:lineRule="auto"/>
        <w:jc w:val="left"/>
        <w:rPr>
          <w:rFonts w:eastAsia="Times New Roman"/>
          <w:color w:val="000000"/>
          <w:sz w:val="24"/>
          <w:szCs w:val="24"/>
          <w:lang w:eastAsia="de-DE"/>
        </w:rPr>
      </w:pPr>
      <w:r>
        <w:rPr>
          <w:rFonts w:eastAsia="Times New Roman"/>
          <w:color w:val="000000"/>
          <w:sz w:val="24"/>
          <w:szCs w:val="24"/>
          <w:lang w:eastAsia="de-DE"/>
        </w:rPr>
        <w:t>A</w:t>
      </w:r>
      <w:r w:rsidRPr="0065095B">
        <w:rPr>
          <w:rFonts w:eastAsia="Times New Roman"/>
          <w:color w:val="000000"/>
          <w:sz w:val="24"/>
          <w:szCs w:val="24"/>
          <w:lang w:eastAsia="de-DE"/>
        </w:rPr>
        <w:t xml:space="preserve"> clear timeline and </w:t>
      </w:r>
      <w:r>
        <w:rPr>
          <w:rFonts w:eastAsia="Times New Roman"/>
          <w:color w:val="000000"/>
          <w:sz w:val="24"/>
          <w:szCs w:val="24"/>
          <w:lang w:eastAsia="de-DE"/>
        </w:rPr>
        <w:t xml:space="preserve">the determining the </w:t>
      </w:r>
      <w:r w:rsidRPr="0065095B">
        <w:rPr>
          <w:rFonts w:eastAsia="Times New Roman"/>
          <w:color w:val="000000"/>
          <w:sz w:val="24"/>
          <w:szCs w:val="24"/>
          <w:lang w:eastAsia="de-DE"/>
        </w:rPr>
        <w:t xml:space="preserve">content for </w:t>
      </w:r>
      <w:r>
        <w:rPr>
          <w:rFonts w:eastAsia="Times New Roman"/>
          <w:color w:val="000000"/>
          <w:sz w:val="24"/>
          <w:szCs w:val="24"/>
          <w:lang w:eastAsia="de-DE"/>
        </w:rPr>
        <w:t>the first two phases is supported</w:t>
      </w:r>
      <w:r w:rsidR="00413845">
        <w:rPr>
          <w:rFonts w:eastAsia="Times New Roman"/>
          <w:color w:val="000000"/>
          <w:sz w:val="24"/>
          <w:szCs w:val="24"/>
          <w:lang w:eastAsia="de-DE"/>
        </w:rPr>
        <w:t xml:space="preserve"> as this gives guidance to statistical producers which data can be expected at what time</w:t>
      </w:r>
      <w:r>
        <w:rPr>
          <w:rFonts w:eastAsia="Times New Roman"/>
          <w:color w:val="000000"/>
          <w:sz w:val="24"/>
          <w:szCs w:val="24"/>
          <w:lang w:eastAsia="de-DE"/>
        </w:rPr>
        <w:t>. S</w:t>
      </w:r>
      <w:r w:rsidR="001C22ED" w:rsidRPr="0065095B">
        <w:rPr>
          <w:rFonts w:eastAsia="Times New Roman"/>
          <w:color w:val="000000"/>
          <w:sz w:val="24"/>
          <w:szCs w:val="24"/>
          <w:lang w:eastAsia="de-DE"/>
        </w:rPr>
        <w:t>ee also answer to question 2</w:t>
      </w:r>
      <w:r w:rsidR="00413845">
        <w:rPr>
          <w:rFonts w:eastAsia="Times New Roman"/>
          <w:color w:val="000000"/>
          <w:sz w:val="24"/>
          <w:szCs w:val="24"/>
          <w:lang w:eastAsia="de-DE"/>
        </w:rPr>
        <w:t xml:space="preserve"> to the envisaged third phase</w:t>
      </w:r>
      <w:r w:rsidR="001C22ED" w:rsidRPr="0065095B">
        <w:rPr>
          <w:rFonts w:eastAsia="Times New Roman"/>
          <w:color w:val="000000"/>
          <w:sz w:val="24"/>
          <w:szCs w:val="24"/>
          <w:lang w:eastAsia="de-DE"/>
        </w:rPr>
        <w:t>.</w:t>
      </w:r>
      <w:r w:rsidR="00C246F4" w:rsidRPr="0065095B">
        <w:rPr>
          <w:rFonts w:eastAsia="Times New Roman"/>
          <w:color w:val="000000"/>
          <w:sz w:val="24"/>
          <w:szCs w:val="24"/>
          <w:lang w:eastAsia="de-DE"/>
        </w:rPr>
        <w:t xml:space="preserve"> </w:t>
      </w:r>
    </w:p>
    <w:p w14:paraId="68C979B0" w14:textId="56DB8C09" w:rsidR="0065095B" w:rsidRDefault="00C246F4" w:rsidP="0065095B">
      <w:pPr>
        <w:spacing w:after="0" w:line="240" w:lineRule="auto"/>
        <w:jc w:val="left"/>
        <w:rPr>
          <w:rFonts w:eastAsia="Times New Roman"/>
          <w:color w:val="000000"/>
          <w:sz w:val="24"/>
          <w:szCs w:val="24"/>
          <w:lang w:eastAsia="de-DE"/>
        </w:rPr>
      </w:pPr>
      <w:r w:rsidRPr="0065095B">
        <w:rPr>
          <w:rFonts w:eastAsia="Times New Roman"/>
          <w:color w:val="000000"/>
          <w:sz w:val="24"/>
          <w:szCs w:val="24"/>
          <w:lang w:eastAsia="de-DE"/>
        </w:rPr>
        <w:t xml:space="preserve">Having a clear timeline sets expectations for all stakeholders, ensuring </w:t>
      </w:r>
      <w:r w:rsidR="0065095B">
        <w:rPr>
          <w:rFonts w:eastAsia="Times New Roman"/>
          <w:color w:val="000000"/>
          <w:sz w:val="24"/>
          <w:szCs w:val="24"/>
          <w:lang w:eastAsia="de-DE"/>
        </w:rPr>
        <w:t xml:space="preserve">an understanding of the </w:t>
      </w:r>
      <w:r w:rsidRPr="0065095B">
        <w:rPr>
          <w:rFonts w:eastAsia="Times New Roman"/>
          <w:color w:val="000000"/>
          <w:sz w:val="24"/>
          <w:szCs w:val="24"/>
          <w:lang w:eastAsia="de-DE"/>
        </w:rPr>
        <w:t xml:space="preserve">timeframe and </w:t>
      </w:r>
      <w:r w:rsidR="0065095B">
        <w:rPr>
          <w:rFonts w:eastAsia="Times New Roman"/>
          <w:color w:val="000000"/>
          <w:sz w:val="24"/>
          <w:szCs w:val="24"/>
          <w:lang w:eastAsia="de-DE"/>
        </w:rPr>
        <w:t>a potential r</w:t>
      </w:r>
      <w:r w:rsidRPr="0065095B">
        <w:rPr>
          <w:rFonts w:eastAsia="Times New Roman"/>
          <w:color w:val="000000"/>
          <w:sz w:val="24"/>
          <w:szCs w:val="24"/>
          <w:lang w:eastAsia="de-DE"/>
        </w:rPr>
        <w:t xml:space="preserve">eview. This helps avoid misunderstandings and keeps </w:t>
      </w:r>
      <w:r w:rsidR="0065095B">
        <w:rPr>
          <w:rFonts w:eastAsia="Times New Roman"/>
          <w:color w:val="000000"/>
          <w:sz w:val="24"/>
          <w:szCs w:val="24"/>
          <w:lang w:eastAsia="de-DE"/>
        </w:rPr>
        <w:t xml:space="preserve">companies and stakeholders </w:t>
      </w:r>
      <w:r w:rsidRPr="0065095B">
        <w:rPr>
          <w:rFonts w:eastAsia="Times New Roman"/>
          <w:color w:val="000000"/>
          <w:sz w:val="24"/>
          <w:szCs w:val="24"/>
          <w:lang w:eastAsia="de-DE"/>
        </w:rPr>
        <w:t>on the same pa</w:t>
      </w:r>
      <w:r w:rsidR="0065095B">
        <w:rPr>
          <w:rFonts w:eastAsia="Times New Roman"/>
          <w:color w:val="000000"/>
          <w:sz w:val="24"/>
          <w:szCs w:val="24"/>
          <w:lang w:eastAsia="de-DE"/>
        </w:rPr>
        <w:t>v</w:t>
      </w:r>
      <w:r w:rsidRPr="0065095B">
        <w:rPr>
          <w:rFonts w:eastAsia="Times New Roman"/>
          <w:color w:val="000000"/>
          <w:sz w:val="24"/>
          <w:szCs w:val="24"/>
          <w:lang w:eastAsia="de-DE"/>
        </w:rPr>
        <w:t xml:space="preserve">e. It also provides a structured approach to the review process, aiding in efficient resource allocation and timely completion of necessary steps. A clear timeline also helps </w:t>
      </w:r>
      <w:r w:rsidR="009200E8">
        <w:rPr>
          <w:rFonts w:eastAsia="Times New Roman"/>
          <w:color w:val="000000"/>
          <w:sz w:val="24"/>
          <w:szCs w:val="24"/>
          <w:lang w:eastAsia="de-DE"/>
        </w:rPr>
        <w:t xml:space="preserve">to </w:t>
      </w:r>
      <w:r w:rsidRPr="0065095B">
        <w:rPr>
          <w:rFonts w:eastAsia="Times New Roman"/>
          <w:color w:val="000000"/>
          <w:sz w:val="24"/>
          <w:szCs w:val="24"/>
          <w:lang w:eastAsia="de-DE"/>
        </w:rPr>
        <w:t>maintain transparency and trust in the process.</w:t>
      </w:r>
    </w:p>
    <w:p w14:paraId="1652CB62" w14:textId="77777777" w:rsidR="0065095B" w:rsidRDefault="0065095B" w:rsidP="0065095B">
      <w:pPr>
        <w:spacing w:after="0" w:line="240" w:lineRule="auto"/>
        <w:jc w:val="left"/>
        <w:rPr>
          <w:rFonts w:eastAsia="Times New Roman"/>
          <w:color w:val="000000"/>
          <w:sz w:val="24"/>
          <w:szCs w:val="24"/>
          <w:lang w:eastAsia="de-DE"/>
        </w:rPr>
      </w:pP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03971D23" w14:textId="77777777" w:rsidR="007112E4" w:rsidRDefault="007112E4" w:rsidP="007112E4">
      <w:pPr>
        <w:spacing w:after="0" w:line="240" w:lineRule="auto"/>
        <w:jc w:val="left"/>
        <w:rPr>
          <w:rFonts w:eastAsia="Times New Roman"/>
          <w:color w:val="000000"/>
          <w:sz w:val="24"/>
          <w:szCs w:val="24"/>
          <w:lang w:eastAsia="de-DE"/>
        </w:rPr>
      </w:pPr>
      <w:permStart w:id="772892299" w:edGrp="everyone"/>
    </w:p>
    <w:p w14:paraId="76BCB5ED" w14:textId="5422FC77" w:rsidR="00656867" w:rsidRDefault="007112E4" w:rsidP="007112E4">
      <w:pPr>
        <w:spacing w:after="0" w:line="240" w:lineRule="auto"/>
        <w:jc w:val="left"/>
        <w:rPr>
          <w:rFonts w:eastAsia="Times New Roman"/>
          <w:color w:val="000000"/>
          <w:sz w:val="24"/>
          <w:szCs w:val="24"/>
          <w:lang w:eastAsia="de-DE"/>
        </w:rPr>
      </w:pPr>
      <w:r>
        <w:rPr>
          <w:rFonts w:eastAsia="Times New Roman"/>
          <w:color w:val="000000"/>
          <w:sz w:val="24"/>
          <w:szCs w:val="24"/>
          <w:lang w:eastAsia="de-DE"/>
        </w:rPr>
        <w:t>The approach to limit the creation of extension is strongly supported, those should be minimised and only allowed in strictly necessary cases. For compiling statistics</w:t>
      </w:r>
      <w:r w:rsidR="00656867" w:rsidRPr="007112E4">
        <w:rPr>
          <w:rFonts w:eastAsia="Times New Roman"/>
          <w:color w:val="000000"/>
          <w:sz w:val="24"/>
          <w:szCs w:val="24"/>
          <w:lang w:eastAsia="de-DE"/>
        </w:rPr>
        <w:t>, extensions introduce variability, reduce in most cases comparability and induce potential errors when extracting data. Consequently, allowing extensive use of extensions increases the complexity and costs for users and deviates resources from analysing the content of the respective information.</w:t>
      </w:r>
    </w:p>
    <w:p w14:paraId="727515DA" w14:textId="77777777" w:rsidR="007112E4" w:rsidRPr="007112E4" w:rsidRDefault="007112E4" w:rsidP="007112E4">
      <w:pPr>
        <w:spacing w:after="0" w:line="240" w:lineRule="auto"/>
        <w:jc w:val="left"/>
        <w:rPr>
          <w:rFonts w:eastAsia="Times New Roman"/>
          <w:color w:val="000000"/>
          <w:sz w:val="24"/>
          <w:szCs w:val="24"/>
          <w:lang w:eastAsia="de-DE"/>
        </w:rPr>
      </w:pPr>
    </w:p>
    <w:p w14:paraId="409C302C" w14:textId="5F19DE01" w:rsidR="00656867" w:rsidRPr="007112E4" w:rsidRDefault="007112E4" w:rsidP="007112E4">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On the other side, the use </w:t>
      </w:r>
      <w:r w:rsidR="00656867" w:rsidRPr="007112E4">
        <w:rPr>
          <w:rFonts w:eastAsia="Times New Roman"/>
          <w:color w:val="000000"/>
          <w:sz w:val="24"/>
          <w:szCs w:val="24"/>
          <w:lang w:eastAsia="de-DE"/>
        </w:rPr>
        <w:t xml:space="preserve">of standardized elements </w:t>
      </w:r>
      <w:r>
        <w:rPr>
          <w:rFonts w:eastAsia="Times New Roman"/>
          <w:color w:val="000000"/>
          <w:sz w:val="24"/>
          <w:szCs w:val="24"/>
          <w:lang w:eastAsia="de-DE"/>
        </w:rPr>
        <w:t xml:space="preserve">by companies </w:t>
      </w:r>
      <w:r w:rsidR="00656867" w:rsidRPr="007112E4">
        <w:rPr>
          <w:rFonts w:eastAsia="Times New Roman"/>
          <w:color w:val="000000"/>
          <w:sz w:val="24"/>
          <w:szCs w:val="24"/>
          <w:lang w:eastAsia="de-DE"/>
        </w:rPr>
        <w:t xml:space="preserve">within an XBRL taxonomy ensures that data is reported in a consistent manner. This enhances the quality and reliability of reported information. This consistency is crucial </w:t>
      </w:r>
      <w:r w:rsidR="0044155A">
        <w:rPr>
          <w:rFonts w:eastAsia="Times New Roman"/>
          <w:color w:val="000000"/>
          <w:sz w:val="24"/>
          <w:szCs w:val="24"/>
          <w:lang w:eastAsia="de-DE"/>
        </w:rPr>
        <w:t xml:space="preserve">when </w:t>
      </w:r>
      <w:r w:rsidR="00656867" w:rsidRPr="007112E4">
        <w:rPr>
          <w:rFonts w:eastAsia="Times New Roman"/>
          <w:color w:val="000000"/>
          <w:sz w:val="24"/>
          <w:szCs w:val="24"/>
          <w:lang w:eastAsia="de-DE"/>
        </w:rPr>
        <w:lastRenderedPageBreak/>
        <w:t xml:space="preserve">aggregating information as well as in producing </w:t>
      </w:r>
      <w:r w:rsidR="0044155A">
        <w:rPr>
          <w:rFonts w:eastAsia="Times New Roman"/>
          <w:color w:val="000000"/>
          <w:sz w:val="24"/>
          <w:szCs w:val="24"/>
          <w:lang w:eastAsia="de-DE"/>
        </w:rPr>
        <w:t xml:space="preserve">statistical </w:t>
      </w:r>
      <w:r w:rsidR="00656867" w:rsidRPr="007112E4">
        <w:rPr>
          <w:rFonts w:eastAsia="Times New Roman"/>
          <w:color w:val="000000"/>
          <w:sz w:val="24"/>
          <w:szCs w:val="24"/>
          <w:lang w:eastAsia="de-DE"/>
        </w:rPr>
        <w:t>benchmarks to evaluate company micro performances.</w:t>
      </w:r>
    </w:p>
    <w:p w14:paraId="1987F228" w14:textId="77777777" w:rsidR="007112E4" w:rsidRDefault="007112E4" w:rsidP="007112E4">
      <w:pPr>
        <w:spacing w:after="0" w:line="240" w:lineRule="auto"/>
        <w:jc w:val="left"/>
        <w:rPr>
          <w:rFonts w:eastAsia="Times New Roman"/>
          <w:color w:val="000000"/>
          <w:sz w:val="24"/>
          <w:szCs w:val="24"/>
          <w:lang w:eastAsia="de-DE"/>
        </w:rPr>
      </w:pPr>
    </w:p>
    <w:p w14:paraId="42F0D131" w14:textId="5A6FFDCD" w:rsidR="00656867" w:rsidRPr="007112E4" w:rsidRDefault="00656867" w:rsidP="007112E4">
      <w:pPr>
        <w:spacing w:after="0" w:line="240" w:lineRule="auto"/>
        <w:jc w:val="left"/>
        <w:rPr>
          <w:rFonts w:eastAsia="Times New Roman"/>
          <w:color w:val="000000"/>
          <w:sz w:val="24"/>
          <w:szCs w:val="24"/>
          <w:lang w:eastAsia="de-DE"/>
        </w:rPr>
      </w:pPr>
      <w:r w:rsidRPr="007112E4">
        <w:rPr>
          <w:rFonts w:eastAsia="Times New Roman"/>
          <w:color w:val="000000"/>
          <w:sz w:val="24"/>
          <w:szCs w:val="24"/>
          <w:lang w:eastAsia="de-DE"/>
        </w:rPr>
        <w:t>Thus</w:t>
      </w:r>
      <w:r w:rsidR="0044155A">
        <w:rPr>
          <w:rFonts w:eastAsia="Times New Roman"/>
          <w:color w:val="000000"/>
          <w:sz w:val="24"/>
          <w:szCs w:val="24"/>
          <w:lang w:eastAsia="de-DE"/>
        </w:rPr>
        <w:t>,</w:t>
      </w:r>
      <w:r w:rsidRPr="007112E4">
        <w:rPr>
          <w:rFonts w:eastAsia="Times New Roman"/>
          <w:color w:val="000000"/>
          <w:sz w:val="24"/>
          <w:szCs w:val="24"/>
          <w:lang w:eastAsia="de-DE"/>
        </w:rPr>
        <w:t xml:space="preserve"> limiting extensions makes it easier for users to compare granular financial and sustainability data across different companies embedded in their reports. Limiting extensions also helps ensuring that companies adhere to regulatory requirements and guidelines and makes the audit process more efficient.</w:t>
      </w:r>
      <w:r w:rsidR="00F30FE8">
        <w:rPr>
          <w:rFonts w:eastAsia="Times New Roman"/>
          <w:color w:val="000000"/>
          <w:sz w:val="24"/>
          <w:szCs w:val="24"/>
          <w:lang w:eastAsia="de-DE"/>
        </w:rPr>
        <w:t xml:space="preserve"> Audited source data leads to better statistics.</w:t>
      </w:r>
    </w:p>
    <w:p w14:paraId="0EBB4D0A" w14:textId="77777777" w:rsidR="0044155A" w:rsidRDefault="0044155A" w:rsidP="007112E4">
      <w:pPr>
        <w:spacing w:after="0" w:line="240" w:lineRule="auto"/>
        <w:jc w:val="left"/>
        <w:rPr>
          <w:rFonts w:eastAsia="Times New Roman"/>
          <w:color w:val="000000"/>
          <w:sz w:val="24"/>
          <w:szCs w:val="24"/>
          <w:lang w:eastAsia="de-DE"/>
        </w:rPr>
      </w:pPr>
    </w:p>
    <w:p w14:paraId="2B960A09" w14:textId="4F38DB28" w:rsidR="00656867" w:rsidRPr="007112E4" w:rsidRDefault="00656867" w:rsidP="007112E4">
      <w:pPr>
        <w:spacing w:after="0" w:line="240" w:lineRule="auto"/>
        <w:jc w:val="left"/>
        <w:rPr>
          <w:rFonts w:eastAsia="Times New Roman"/>
          <w:color w:val="000000"/>
          <w:sz w:val="24"/>
          <w:szCs w:val="24"/>
          <w:lang w:eastAsia="de-DE"/>
        </w:rPr>
      </w:pPr>
      <w:r w:rsidRPr="007112E4">
        <w:rPr>
          <w:rFonts w:eastAsia="Times New Roman"/>
          <w:color w:val="000000"/>
          <w:sz w:val="24"/>
          <w:szCs w:val="24"/>
          <w:lang w:eastAsia="de-DE"/>
        </w:rPr>
        <w:t xml:space="preserve">From </w:t>
      </w:r>
      <w:r w:rsidR="0044155A">
        <w:rPr>
          <w:rFonts w:eastAsia="Times New Roman"/>
          <w:color w:val="000000"/>
          <w:sz w:val="24"/>
          <w:szCs w:val="24"/>
          <w:lang w:eastAsia="de-DE"/>
        </w:rPr>
        <w:t xml:space="preserve">current practice of using </w:t>
      </w:r>
      <w:r w:rsidRPr="007112E4">
        <w:rPr>
          <w:rFonts w:eastAsia="Times New Roman"/>
          <w:color w:val="000000"/>
          <w:sz w:val="24"/>
          <w:szCs w:val="24"/>
          <w:lang w:eastAsia="de-DE"/>
        </w:rPr>
        <w:t>IFRS tagged financial statements</w:t>
      </w:r>
      <w:r w:rsidR="0044155A">
        <w:rPr>
          <w:rFonts w:eastAsia="Times New Roman"/>
          <w:color w:val="000000"/>
          <w:sz w:val="24"/>
          <w:szCs w:val="24"/>
          <w:lang w:eastAsia="de-DE"/>
        </w:rPr>
        <w:t xml:space="preserve"> by CMFB members</w:t>
      </w:r>
      <w:r w:rsidRPr="007112E4">
        <w:rPr>
          <w:rFonts w:eastAsia="Times New Roman"/>
          <w:color w:val="000000"/>
          <w:sz w:val="24"/>
          <w:szCs w:val="24"/>
          <w:lang w:eastAsia="de-DE"/>
        </w:rPr>
        <w:t>, an enlarged use of extensions</w:t>
      </w:r>
      <w:r w:rsidR="0044155A">
        <w:rPr>
          <w:rFonts w:eastAsia="Times New Roman"/>
          <w:color w:val="000000"/>
          <w:sz w:val="24"/>
          <w:szCs w:val="24"/>
          <w:lang w:eastAsia="de-DE"/>
        </w:rPr>
        <w:t xml:space="preserve"> is often observed</w:t>
      </w:r>
      <w:r w:rsidRPr="007112E4">
        <w:rPr>
          <w:rFonts w:eastAsia="Times New Roman"/>
          <w:color w:val="000000"/>
          <w:sz w:val="24"/>
          <w:szCs w:val="24"/>
          <w:lang w:eastAsia="de-DE"/>
        </w:rPr>
        <w:t xml:space="preserve">. Some of these extensions </w:t>
      </w:r>
      <w:r w:rsidR="0044155A">
        <w:rPr>
          <w:rFonts w:eastAsia="Times New Roman"/>
          <w:color w:val="000000"/>
          <w:sz w:val="24"/>
          <w:szCs w:val="24"/>
          <w:lang w:eastAsia="de-DE"/>
        </w:rPr>
        <w:t xml:space="preserve">deem to </w:t>
      </w:r>
      <w:r w:rsidRPr="007112E4">
        <w:rPr>
          <w:rFonts w:eastAsia="Times New Roman"/>
          <w:color w:val="000000"/>
          <w:sz w:val="24"/>
          <w:szCs w:val="24"/>
          <w:lang w:eastAsia="de-DE"/>
        </w:rPr>
        <w:t xml:space="preserve">represents the same concept as a given IFRS taxonomy element. Naturally, this contradicts the idea of ESEF reporting. </w:t>
      </w:r>
    </w:p>
    <w:p w14:paraId="0EA09DA6" w14:textId="77777777" w:rsidR="007112E4" w:rsidRDefault="007112E4" w:rsidP="007112E4">
      <w:pPr>
        <w:spacing w:after="0" w:line="240" w:lineRule="auto"/>
        <w:jc w:val="left"/>
        <w:rPr>
          <w:rFonts w:eastAsia="Times New Roman"/>
          <w:color w:val="000000"/>
          <w:sz w:val="24"/>
          <w:szCs w:val="24"/>
          <w:lang w:eastAsia="de-DE"/>
        </w:rPr>
      </w:pPr>
    </w:p>
    <w:p w14:paraId="360BCED1" w14:textId="504F55EF" w:rsidR="00656867" w:rsidRPr="007112E4" w:rsidRDefault="00656867" w:rsidP="007112E4">
      <w:pPr>
        <w:spacing w:after="0" w:line="240" w:lineRule="auto"/>
        <w:jc w:val="left"/>
        <w:rPr>
          <w:rFonts w:eastAsia="Times New Roman"/>
          <w:color w:val="000000"/>
          <w:sz w:val="24"/>
          <w:szCs w:val="24"/>
          <w:lang w:eastAsia="de-DE"/>
        </w:rPr>
      </w:pPr>
      <w:r w:rsidRPr="007112E4">
        <w:rPr>
          <w:rFonts w:eastAsia="Times New Roman"/>
          <w:color w:val="000000"/>
          <w:sz w:val="24"/>
          <w:szCs w:val="24"/>
          <w:lang w:eastAsia="de-DE"/>
        </w:rPr>
        <w:t>Thus, reporting entities should be encouraged or efficiently directed marking up taxonomy elements and provide, if necessary accompanying company-specific details in further narrative information. The proposed mechanisms in paragraph 84 are a step towards this.</w:t>
      </w:r>
    </w:p>
    <w:p w14:paraId="75C0F0EA" w14:textId="77777777" w:rsidR="007112E4" w:rsidRDefault="007112E4" w:rsidP="007112E4">
      <w:pPr>
        <w:spacing w:after="0" w:line="240" w:lineRule="auto"/>
        <w:jc w:val="left"/>
        <w:rPr>
          <w:rFonts w:eastAsia="Times New Roman"/>
          <w:color w:val="000000"/>
          <w:sz w:val="24"/>
          <w:szCs w:val="24"/>
          <w:lang w:eastAsia="de-DE"/>
        </w:rPr>
      </w:pPr>
    </w:p>
    <w:p w14:paraId="0DC384FA" w14:textId="43BA7570" w:rsidR="00F52C03" w:rsidRDefault="0044155A" w:rsidP="007112E4">
      <w:pPr>
        <w:spacing w:after="0" w:line="240" w:lineRule="auto"/>
        <w:jc w:val="left"/>
        <w:rPr>
          <w:rFonts w:eastAsia="Times New Roman"/>
          <w:color w:val="000000"/>
          <w:sz w:val="24"/>
          <w:szCs w:val="24"/>
          <w:lang w:eastAsia="de-DE"/>
        </w:rPr>
      </w:pPr>
      <w:r>
        <w:rPr>
          <w:rFonts w:eastAsia="Times New Roman"/>
          <w:color w:val="000000"/>
          <w:sz w:val="24"/>
          <w:szCs w:val="24"/>
          <w:lang w:eastAsia="de-DE"/>
        </w:rPr>
        <w:t>E</w:t>
      </w:r>
      <w:r w:rsidR="00656867" w:rsidRPr="007112E4">
        <w:rPr>
          <w:rFonts w:eastAsia="Times New Roman"/>
          <w:color w:val="000000"/>
          <w:sz w:val="24"/>
          <w:szCs w:val="24"/>
          <w:lang w:eastAsia="de-DE"/>
        </w:rPr>
        <w:t>xtensions should only be possible in rather rare cases, e.g. when entity-specific disclosures based on ESRS 1 Para</w:t>
      </w:r>
      <w:r>
        <w:rPr>
          <w:rFonts w:eastAsia="Times New Roman"/>
          <w:color w:val="000000"/>
          <w:sz w:val="24"/>
          <w:szCs w:val="24"/>
          <w:lang w:eastAsia="de-DE"/>
        </w:rPr>
        <w:t>graph</w:t>
      </w:r>
      <w:r w:rsidR="00656867" w:rsidRPr="007112E4">
        <w:rPr>
          <w:rFonts w:eastAsia="Times New Roman"/>
          <w:color w:val="000000"/>
          <w:sz w:val="24"/>
          <w:szCs w:val="24"/>
          <w:lang w:eastAsia="de-DE"/>
        </w:rPr>
        <w:t xml:space="preserve"> 11 or 30 (b) are necessary. In such cases, anchoring to a next narrow taxonomy concept should be evaluated.</w:t>
      </w:r>
    </w:p>
    <w:p w14:paraId="6E465C5A" w14:textId="77777777" w:rsidR="007112E4" w:rsidRPr="007112E4" w:rsidRDefault="007112E4" w:rsidP="007112E4">
      <w:pPr>
        <w:spacing w:after="0" w:line="240" w:lineRule="auto"/>
        <w:jc w:val="left"/>
        <w:rPr>
          <w:rFonts w:eastAsia="Times New Roman"/>
          <w:color w:val="000000"/>
          <w:sz w:val="24"/>
          <w:szCs w:val="24"/>
          <w:lang w:eastAsia="de-DE"/>
        </w:rPr>
      </w:pP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7FD7AC0D" w14:textId="77777777" w:rsidR="0085588A" w:rsidRDefault="0085588A" w:rsidP="0085588A">
      <w:pPr>
        <w:spacing w:after="0" w:line="240" w:lineRule="auto"/>
        <w:jc w:val="left"/>
        <w:rPr>
          <w:rFonts w:eastAsia="Times New Roman"/>
          <w:color w:val="000000"/>
          <w:sz w:val="24"/>
          <w:szCs w:val="24"/>
          <w:lang w:eastAsia="de-DE"/>
        </w:rPr>
      </w:pPr>
      <w:permStart w:id="638739279" w:edGrp="everyone"/>
    </w:p>
    <w:p w14:paraId="6715E2F2" w14:textId="09C41E44" w:rsidR="00127F84" w:rsidRPr="0085588A" w:rsidRDefault="0085588A" w:rsidP="0085588A">
      <w:pPr>
        <w:spacing w:after="0" w:line="240" w:lineRule="auto"/>
        <w:jc w:val="left"/>
        <w:rPr>
          <w:rFonts w:eastAsia="Times New Roman"/>
          <w:color w:val="000000"/>
          <w:sz w:val="24"/>
          <w:szCs w:val="24"/>
          <w:lang w:eastAsia="de-DE"/>
        </w:rPr>
      </w:pPr>
      <w:r w:rsidRPr="000F5D74">
        <w:rPr>
          <w:rFonts w:eastAsia="Times New Roman"/>
          <w:color w:val="000000"/>
          <w:sz w:val="24"/>
          <w:szCs w:val="24"/>
          <w:lang w:eastAsia="de-DE"/>
        </w:rPr>
        <w:t xml:space="preserve">The inclusion of a review clause </w:t>
      </w:r>
      <w:r w:rsidR="00F97F9F">
        <w:rPr>
          <w:rFonts w:eastAsia="Times New Roman"/>
          <w:color w:val="000000"/>
          <w:sz w:val="24"/>
          <w:szCs w:val="24"/>
          <w:lang w:eastAsia="de-DE"/>
        </w:rPr>
        <w:t xml:space="preserve">– </w:t>
      </w:r>
      <w:r w:rsidR="00E618A1">
        <w:rPr>
          <w:rFonts w:eastAsia="Times New Roman"/>
          <w:color w:val="000000"/>
          <w:sz w:val="24"/>
          <w:szCs w:val="24"/>
          <w:lang w:eastAsia="de-DE"/>
        </w:rPr>
        <w:t xml:space="preserve">a first review is currently foreseen </w:t>
      </w:r>
      <w:r w:rsidR="00F97F9F">
        <w:rPr>
          <w:rFonts w:eastAsia="Times New Roman"/>
          <w:color w:val="000000"/>
          <w:sz w:val="24"/>
          <w:szCs w:val="24"/>
          <w:lang w:eastAsia="de-DE"/>
        </w:rPr>
        <w:t xml:space="preserve">after 4 years - </w:t>
      </w:r>
      <w:r w:rsidRPr="000F5D74">
        <w:rPr>
          <w:rFonts w:eastAsia="Times New Roman"/>
          <w:color w:val="000000"/>
          <w:sz w:val="24"/>
          <w:szCs w:val="24"/>
          <w:lang w:eastAsia="de-DE"/>
        </w:rPr>
        <w:t xml:space="preserve">is generally supported that triggers a stock-taking whether the reporting obligations of companies are too burdensome and/or whether the needs of users </w:t>
      </w:r>
      <w:r w:rsidR="00413845">
        <w:rPr>
          <w:rFonts w:eastAsia="Times New Roman"/>
          <w:color w:val="000000"/>
          <w:sz w:val="24"/>
          <w:szCs w:val="24"/>
          <w:lang w:eastAsia="de-DE"/>
        </w:rPr>
        <w:t xml:space="preserve">– which includes the statistical perspective - </w:t>
      </w:r>
      <w:r w:rsidRPr="000F5D74">
        <w:rPr>
          <w:rFonts w:eastAsia="Times New Roman"/>
          <w:color w:val="000000"/>
          <w:sz w:val="24"/>
          <w:szCs w:val="24"/>
          <w:lang w:eastAsia="de-DE"/>
        </w:rPr>
        <w:t>have been met.</w:t>
      </w:r>
      <w:r>
        <w:rPr>
          <w:rFonts w:eastAsia="Times New Roman"/>
          <w:color w:val="000000"/>
          <w:sz w:val="24"/>
          <w:szCs w:val="24"/>
          <w:lang w:eastAsia="de-DE"/>
        </w:rPr>
        <w:t xml:space="preserve"> </w:t>
      </w:r>
      <w:r w:rsidR="005935FA" w:rsidRPr="0085588A">
        <w:rPr>
          <w:rFonts w:eastAsia="Times New Roman"/>
          <w:color w:val="000000"/>
          <w:sz w:val="24"/>
          <w:szCs w:val="24"/>
          <w:lang w:eastAsia="de-DE"/>
        </w:rPr>
        <w:t xml:space="preserve">Periodic evaluations of </w:t>
      </w:r>
      <w:r w:rsidR="00F97F9F">
        <w:rPr>
          <w:rFonts w:eastAsia="Times New Roman"/>
          <w:color w:val="000000"/>
          <w:sz w:val="24"/>
          <w:szCs w:val="24"/>
          <w:lang w:eastAsia="de-DE"/>
        </w:rPr>
        <w:t xml:space="preserve">tagging </w:t>
      </w:r>
      <w:r w:rsidR="005935FA" w:rsidRPr="0085588A">
        <w:rPr>
          <w:rFonts w:eastAsia="Times New Roman"/>
          <w:color w:val="000000"/>
          <w:sz w:val="24"/>
          <w:szCs w:val="24"/>
          <w:lang w:eastAsia="de-DE"/>
        </w:rPr>
        <w:t xml:space="preserve">requirements </w:t>
      </w:r>
      <w:r w:rsidR="00F97F9F">
        <w:rPr>
          <w:rFonts w:eastAsia="Times New Roman"/>
          <w:color w:val="000000"/>
          <w:sz w:val="24"/>
          <w:szCs w:val="24"/>
          <w:lang w:eastAsia="de-DE"/>
        </w:rPr>
        <w:t>(e.g. every 5</w:t>
      </w:r>
      <w:r w:rsidR="00F97F9F" w:rsidRPr="00F97F9F">
        <w:rPr>
          <w:rFonts w:eastAsia="Times New Roman"/>
          <w:color w:val="000000"/>
          <w:sz w:val="24"/>
          <w:szCs w:val="24"/>
          <w:vertAlign w:val="superscript"/>
          <w:lang w:eastAsia="de-DE"/>
        </w:rPr>
        <w:t>th</w:t>
      </w:r>
      <w:r w:rsidR="00F97F9F">
        <w:rPr>
          <w:rFonts w:eastAsia="Times New Roman"/>
          <w:color w:val="000000"/>
          <w:sz w:val="24"/>
          <w:szCs w:val="24"/>
          <w:lang w:eastAsia="de-DE"/>
        </w:rPr>
        <w:t xml:space="preserve"> year) </w:t>
      </w:r>
      <w:r w:rsidR="005935FA" w:rsidRPr="0085588A">
        <w:rPr>
          <w:rFonts w:eastAsia="Times New Roman"/>
          <w:color w:val="000000"/>
          <w:sz w:val="24"/>
          <w:szCs w:val="24"/>
          <w:lang w:eastAsia="de-DE"/>
        </w:rPr>
        <w:t xml:space="preserve">ensure they remain relevant and manageable. Regular reviews help identify and eliminate unnecessary or overly complex obligations, </w:t>
      </w:r>
      <w:r>
        <w:rPr>
          <w:rFonts w:eastAsia="Times New Roman"/>
          <w:color w:val="000000"/>
          <w:sz w:val="24"/>
          <w:szCs w:val="24"/>
          <w:lang w:eastAsia="de-DE"/>
        </w:rPr>
        <w:t xml:space="preserve">thereby </w:t>
      </w:r>
      <w:r w:rsidR="005935FA" w:rsidRPr="0085588A">
        <w:rPr>
          <w:rFonts w:eastAsia="Times New Roman"/>
          <w:color w:val="000000"/>
          <w:sz w:val="24"/>
          <w:szCs w:val="24"/>
          <w:lang w:eastAsia="de-DE"/>
        </w:rPr>
        <w:t>reducing the administrative burden on companies. Additionally, these reviews offer opportunities for continuous improvement in the reporting framework.</w:t>
      </w:r>
    </w:p>
    <w:p w14:paraId="0046D5E4" w14:textId="369401CD" w:rsidR="007D4F05" w:rsidRPr="0085588A" w:rsidRDefault="007D4F05" w:rsidP="0085588A">
      <w:pPr>
        <w:spacing w:after="0" w:line="240" w:lineRule="auto"/>
        <w:jc w:val="left"/>
        <w:rPr>
          <w:rFonts w:eastAsia="Times New Roman"/>
          <w:color w:val="000000"/>
          <w:sz w:val="24"/>
          <w:szCs w:val="24"/>
          <w:lang w:eastAsia="de-DE"/>
        </w:rPr>
      </w:pP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DD36F1"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2A23D86B" w14:textId="77777777" w:rsidR="000F5D74" w:rsidRDefault="000F5D74" w:rsidP="000F5D74">
      <w:pPr>
        <w:spacing w:after="0" w:line="240" w:lineRule="auto"/>
        <w:jc w:val="left"/>
        <w:rPr>
          <w:rFonts w:eastAsia="Times New Roman"/>
          <w:color w:val="000000"/>
          <w:sz w:val="24"/>
          <w:szCs w:val="24"/>
          <w:lang w:eastAsia="de-DE"/>
        </w:rPr>
      </w:pPr>
      <w:permStart w:id="43591955" w:edGrp="everyone"/>
    </w:p>
    <w:p w14:paraId="523D26C0" w14:textId="4FFFA844" w:rsidR="006A64ED" w:rsidRDefault="00913172" w:rsidP="000F5D74">
      <w:pPr>
        <w:spacing w:after="0" w:line="240" w:lineRule="auto"/>
        <w:jc w:val="left"/>
        <w:rPr>
          <w:rFonts w:eastAsia="Times New Roman"/>
          <w:color w:val="000000"/>
          <w:sz w:val="24"/>
          <w:szCs w:val="24"/>
          <w:lang w:eastAsia="de-DE"/>
        </w:rPr>
      </w:pPr>
      <w:r>
        <w:rPr>
          <w:rFonts w:eastAsia="Times New Roman"/>
          <w:color w:val="000000"/>
          <w:sz w:val="24"/>
          <w:szCs w:val="24"/>
          <w:lang w:eastAsia="de-DE"/>
        </w:rPr>
        <w:lastRenderedPageBreak/>
        <w:t xml:space="preserve">Having </w:t>
      </w:r>
      <w:r w:rsidR="00F52C03" w:rsidRPr="000F5D74">
        <w:rPr>
          <w:rFonts w:eastAsia="Times New Roman"/>
          <w:color w:val="000000"/>
          <w:sz w:val="24"/>
          <w:szCs w:val="24"/>
          <w:lang w:eastAsia="de-DE"/>
        </w:rPr>
        <w:t xml:space="preserve">a closed taxonomy approach </w:t>
      </w:r>
      <w:r w:rsidR="00F97F9F">
        <w:rPr>
          <w:rFonts w:eastAsia="Times New Roman"/>
          <w:color w:val="000000"/>
          <w:sz w:val="24"/>
          <w:szCs w:val="24"/>
          <w:lang w:eastAsia="de-DE"/>
        </w:rPr>
        <w:t xml:space="preserve">for Article 8 disclosures </w:t>
      </w:r>
      <w:r w:rsidR="00F52C03" w:rsidRPr="000F5D74">
        <w:rPr>
          <w:rFonts w:eastAsia="Times New Roman"/>
          <w:color w:val="000000"/>
          <w:sz w:val="24"/>
          <w:szCs w:val="24"/>
          <w:lang w:eastAsia="de-DE"/>
        </w:rPr>
        <w:t>making extensions not possible</w:t>
      </w:r>
      <w:r>
        <w:rPr>
          <w:rFonts w:eastAsia="Times New Roman"/>
          <w:color w:val="000000"/>
          <w:sz w:val="24"/>
          <w:szCs w:val="24"/>
          <w:lang w:eastAsia="de-DE"/>
        </w:rPr>
        <w:t xml:space="preserve"> would be useful for statistical purposes</w:t>
      </w:r>
      <w:r w:rsidR="00F52C03" w:rsidRPr="000F5D74">
        <w:rPr>
          <w:rFonts w:eastAsia="Times New Roman"/>
          <w:color w:val="000000"/>
          <w:sz w:val="24"/>
          <w:szCs w:val="24"/>
          <w:lang w:eastAsia="de-DE"/>
        </w:rPr>
        <w:t>.</w:t>
      </w:r>
      <w:r w:rsidR="00451BCB" w:rsidRPr="000F5D74">
        <w:rPr>
          <w:rFonts w:eastAsia="Times New Roman"/>
          <w:color w:val="000000"/>
          <w:sz w:val="24"/>
          <w:szCs w:val="24"/>
          <w:lang w:eastAsia="de-DE"/>
        </w:rPr>
        <w:t xml:space="preserve"> </w:t>
      </w:r>
      <w:r>
        <w:rPr>
          <w:rFonts w:eastAsia="Times New Roman"/>
          <w:color w:val="000000"/>
          <w:sz w:val="24"/>
          <w:szCs w:val="24"/>
          <w:lang w:eastAsia="de-DE"/>
        </w:rPr>
        <w:t xml:space="preserve">This would </w:t>
      </w:r>
      <w:r w:rsidR="00451BCB" w:rsidRPr="000F5D74">
        <w:rPr>
          <w:rFonts w:eastAsia="Times New Roman"/>
          <w:color w:val="000000"/>
          <w:sz w:val="24"/>
          <w:szCs w:val="24"/>
          <w:lang w:eastAsia="de-DE"/>
        </w:rPr>
        <w:t>enhance comparability, simplify the reporting process of companies, facilitate the regulatory compliance and ease integrating data as there is no need to reconcile custom</w:t>
      </w:r>
      <w:r>
        <w:rPr>
          <w:rFonts w:eastAsia="Times New Roman"/>
          <w:color w:val="000000"/>
          <w:sz w:val="24"/>
          <w:szCs w:val="24"/>
          <w:lang w:eastAsia="de-DE"/>
        </w:rPr>
        <w:t>ized</w:t>
      </w:r>
      <w:r w:rsidR="00451BCB" w:rsidRPr="000F5D74">
        <w:rPr>
          <w:rFonts w:eastAsia="Times New Roman"/>
          <w:color w:val="000000"/>
          <w:sz w:val="24"/>
          <w:szCs w:val="24"/>
          <w:lang w:eastAsia="de-DE"/>
        </w:rPr>
        <w:t xml:space="preserve"> tag</w:t>
      </w:r>
      <w:r>
        <w:rPr>
          <w:rFonts w:eastAsia="Times New Roman"/>
          <w:color w:val="000000"/>
          <w:sz w:val="24"/>
          <w:szCs w:val="24"/>
          <w:lang w:eastAsia="de-DE"/>
        </w:rPr>
        <w:t>s</w:t>
      </w:r>
      <w:r w:rsidR="00451BCB" w:rsidRPr="000F5D74">
        <w:rPr>
          <w:rFonts w:eastAsia="Times New Roman"/>
          <w:color w:val="000000"/>
          <w:sz w:val="24"/>
          <w:szCs w:val="24"/>
          <w:lang w:eastAsia="de-DE"/>
        </w:rPr>
        <w:t>, supporting better data integration and analysis.</w:t>
      </w:r>
      <w:r w:rsidR="00562E82" w:rsidRPr="000F5D74">
        <w:rPr>
          <w:rFonts w:eastAsia="Times New Roman"/>
          <w:color w:val="000000"/>
          <w:sz w:val="24"/>
          <w:szCs w:val="24"/>
          <w:lang w:eastAsia="de-DE"/>
        </w:rPr>
        <w:t xml:space="preserve"> It </w:t>
      </w:r>
      <w:r>
        <w:rPr>
          <w:rFonts w:eastAsia="Times New Roman"/>
          <w:color w:val="000000"/>
          <w:sz w:val="24"/>
          <w:szCs w:val="24"/>
          <w:lang w:eastAsia="de-DE"/>
        </w:rPr>
        <w:t xml:space="preserve">would also </w:t>
      </w:r>
      <w:r w:rsidR="00562E82" w:rsidRPr="000F5D74">
        <w:rPr>
          <w:rFonts w:eastAsia="Times New Roman"/>
          <w:color w:val="000000"/>
          <w:sz w:val="24"/>
          <w:szCs w:val="24"/>
          <w:lang w:eastAsia="de-DE"/>
        </w:rPr>
        <w:t>reduce the administrative burden of companies and the process</w:t>
      </w:r>
      <w:r>
        <w:rPr>
          <w:rFonts w:eastAsia="Times New Roman"/>
          <w:color w:val="000000"/>
          <w:sz w:val="24"/>
          <w:szCs w:val="24"/>
          <w:lang w:eastAsia="de-DE"/>
        </w:rPr>
        <w:t xml:space="preserve"> of auditing</w:t>
      </w:r>
      <w:r w:rsidR="00562E82" w:rsidRPr="000F5D74">
        <w:rPr>
          <w:rFonts w:eastAsia="Times New Roman"/>
          <w:color w:val="000000"/>
          <w:sz w:val="24"/>
          <w:szCs w:val="24"/>
          <w:lang w:eastAsia="de-DE"/>
        </w:rPr>
        <w:t>.</w:t>
      </w:r>
    </w:p>
    <w:p w14:paraId="22AC592A" w14:textId="77777777" w:rsidR="000F5D74" w:rsidRPr="000F5D74" w:rsidRDefault="000F5D74" w:rsidP="000F5D74">
      <w:pPr>
        <w:spacing w:after="0" w:line="240" w:lineRule="auto"/>
        <w:jc w:val="left"/>
        <w:rPr>
          <w:rFonts w:eastAsia="Times New Roman"/>
          <w:color w:val="000000"/>
          <w:sz w:val="24"/>
          <w:szCs w:val="24"/>
          <w:lang w:eastAsia="de-DE"/>
        </w:rPr>
      </w:pP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EF3093E" w14:textId="77777777" w:rsidR="000F5D74" w:rsidRDefault="000F5D74" w:rsidP="000F5D74">
      <w:pPr>
        <w:spacing w:after="0" w:line="240" w:lineRule="auto"/>
        <w:jc w:val="left"/>
        <w:rPr>
          <w:rFonts w:eastAsia="Times New Roman"/>
          <w:color w:val="000000"/>
          <w:sz w:val="24"/>
          <w:szCs w:val="24"/>
          <w:lang w:eastAsia="de-DE"/>
        </w:rPr>
      </w:pPr>
      <w:permStart w:id="611662945" w:edGrp="everyone"/>
    </w:p>
    <w:p w14:paraId="21E41585" w14:textId="6A5094FF" w:rsidR="006A64ED" w:rsidRDefault="000F5D74" w:rsidP="000F5D74">
      <w:pPr>
        <w:spacing w:after="0" w:line="240" w:lineRule="auto"/>
        <w:jc w:val="left"/>
        <w:rPr>
          <w:rFonts w:eastAsia="Times New Roman"/>
          <w:color w:val="000000"/>
          <w:sz w:val="24"/>
          <w:szCs w:val="24"/>
          <w:lang w:eastAsia="de-DE"/>
        </w:rPr>
      </w:pPr>
      <w:r>
        <w:rPr>
          <w:rFonts w:eastAsia="Times New Roman"/>
          <w:color w:val="000000"/>
          <w:sz w:val="24"/>
          <w:szCs w:val="24"/>
          <w:lang w:eastAsia="de-DE"/>
        </w:rPr>
        <w:t>F</w:t>
      </w:r>
      <w:r w:rsidRPr="000F5D74">
        <w:rPr>
          <w:rFonts w:eastAsia="Times New Roman"/>
          <w:color w:val="000000"/>
          <w:sz w:val="24"/>
          <w:szCs w:val="24"/>
          <w:lang w:eastAsia="de-DE"/>
        </w:rPr>
        <w:t>ully mark</w:t>
      </w:r>
      <w:r>
        <w:rPr>
          <w:rFonts w:eastAsia="Times New Roman"/>
          <w:color w:val="000000"/>
          <w:sz w:val="24"/>
          <w:szCs w:val="24"/>
          <w:lang w:eastAsia="de-DE"/>
        </w:rPr>
        <w:t>ing</w:t>
      </w:r>
      <w:r w:rsidRPr="000F5D74">
        <w:rPr>
          <w:rFonts w:eastAsia="Times New Roman"/>
          <w:color w:val="000000"/>
          <w:sz w:val="24"/>
          <w:szCs w:val="24"/>
          <w:lang w:eastAsia="de-DE"/>
        </w:rPr>
        <w:t xml:space="preserve"> up Article 8 sustainability disclosures without implementing a phased approach </w:t>
      </w:r>
      <w:r w:rsidR="00413845" w:rsidRPr="00413845">
        <w:rPr>
          <w:rFonts w:eastAsia="Times New Roman"/>
          <w:color w:val="000000"/>
          <w:sz w:val="24"/>
          <w:szCs w:val="24"/>
          <w:lang w:eastAsia="de-DE"/>
        </w:rPr>
        <w:t xml:space="preserve">in relation to the content of the information </w:t>
      </w:r>
      <w:r>
        <w:rPr>
          <w:rFonts w:eastAsia="Times New Roman"/>
          <w:color w:val="000000"/>
          <w:sz w:val="24"/>
          <w:szCs w:val="24"/>
          <w:lang w:eastAsia="de-DE"/>
        </w:rPr>
        <w:t>is supported</w:t>
      </w:r>
      <w:r w:rsidR="00413845">
        <w:rPr>
          <w:rFonts w:eastAsia="Times New Roman"/>
          <w:color w:val="000000"/>
          <w:sz w:val="24"/>
          <w:szCs w:val="24"/>
          <w:lang w:eastAsia="de-DE"/>
        </w:rPr>
        <w:t>, as the respective data points should be generally interconnected in a mathematical context, which is particularly helpful for statistical purposes</w:t>
      </w:r>
      <w:r>
        <w:rPr>
          <w:rFonts w:eastAsia="Times New Roman"/>
          <w:color w:val="000000"/>
          <w:sz w:val="24"/>
          <w:szCs w:val="24"/>
          <w:lang w:eastAsia="de-DE"/>
        </w:rPr>
        <w:t>. A</w:t>
      </w:r>
      <w:r w:rsidRPr="000F5D74">
        <w:rPr>
          <w:rFonts w:eastAsia="Times New Roman"/>
          <w:color w:val="000000"/>
          <w:sz w:val="24"/>
          <w:szCs w:val="24"/>
          <w:lang w:eastAsia="de-DE"/>
        </w:rPr>
        <w:t xml:space="preserve">ligning a staggered approach </w:t>
      </w:r>
      <w:r>
        <w:rPr>
          <w:rFonts w:eastAsia="Times New Roman"/>
          <w:color w:val="000000"/>
          <w:sz w:val="24"/>
          <w:szCs w:val="24"/>
          <w:lang w:eastAsia="de-DE"/>
        </w:rPr>
        <w:t xml:space="preserve">to all </w:t>
      </w:r>
      <w:r w:rsidRPr="000F5D74">
        <w:rPr>
          <w:rFonts w:eastAsia="Times New Roman"/>
          <w:color w:val="000000"/>
          <w:sz w:val="24"/>
          <w:szCs w:val="24"/>
          <w:lang w:eastAsia="de-DE"/>
        </w:rPr>
        <w:t>entities having no experience in tagging (see answer to question 3)</w:t>
      </w:r>
      <w:r>
        <w:rPr>
          <w:rFonts w:eastAsia="Times New Roman"/>
          <w:color w:val="000000"/>
          <w:sz w:val="24"/>
          <w:szCs w:val="24"/>
          <w:lang w:eastAsia="de-DE"/>
        </w:rPr>
        <w:t xml:space="preserve"> could be considered</w:t>
      </w:r>
      <w:r w:rsidR="004F25D3" w:rsidRPr="000F5D74">
        <w:rPr>
          <w:rFonts w:eastAsia="Times New Roman"/>
          <w:color w:val="000000"/>
          <w:sz w:val="24"/>
          <w:szCs w:val="24"/>
          <w:lang w:eastAsia="de-DE"/>
        </w:rPr>
        <w:t>.</w:t>
      </w:r>
    </w:p>
    <w:p w14:paraId="60C30FB5" w14:textId="77777777" w:rsidR="000F5D74" w:rsidRPr="000F5D74" w:rsidRDefault="000F5D74" w:rsidP="000F5D74">
      <w:pPr>
        <w:spacing w:after="0" w:line="240" w:lineRule="auto"/>
        <w:jc w:val="left"/>
        <w:rPr>
          <w:rFonts w:eastAsia="Times New Roman"/>
          <w:color w:val="000000"/>
          <w:sz w:val="24"/>
          <w:szCs w:val="24"/>
          <w:lang w:eastAsia="de-DE"/>
        </w:rPr>
      </w:pP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5544CD13" w14:textId="77777777" w:rsidR="000F5D74" w:rsidRDefault="000F5D74" w:rsidP="000F5D74">
      <w:pPr>
        <w:spacing w:after="0" w:line="240" w:lineRule="auto"/>
        <w:jc w:val="left"/>
        <w:rPr>
          <w:rFonts w:eastAsia="Times New Roman"/>
          <w:color w:val="000000"/>
          <w:sz w:val="24"/>
          <w:szCs w:val="24"/>
          <w:lang w:eastAsia="de-DE"/>
        </w:rPr>
      </w:pPr>
      <w:permStart w:id="2102669281" w:edGrp="everyone"/>
    </w:p>
    <w:p w14:paraId="5AB230A9" w14:textId="5A74B330" w:rsidR="000F5D74" w:rsidRDefault="000F5D74" w:rsidP="000F5D74">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The alignment of the timeline to </w:t>
      </w:r>
      <w:r w:rsidRPr="000F5D74">
        <w:rPr>
          <w:rFonts w:eastAsia="Times New Roman"/>
          <w:color w:val="000000"/>
          <w:sz w:val="24"/>
          <w:szCs w:val="24"/>
          <w:lang w:eastAsia="de-DE"/>
        </w:rPr>
        <w:t>mark up the Article 8 sustainability disclosures</w:t>
      </w:r>
      <w:r>
        <w:rPr>
          <w:rFonts w:eastAsia="Times New Roman"/>
          <w:color w:val="000000"/>
          <w:sz w:val="24"/>
          <w:szCs w:val="24"/>
          <w:lang w:eastAsia="de-DE"/>
        </w:rPr>
        <w:t xml:space="preserve"> </w:t>
      </w:r>
      <w:r w:rsidR="004F25D3" w:rsidRPr="000F5D74">
        <w:rPr>
          <w:rFonts w:eastAsia="Times New Roman"/>
          <w:color w:val="000000"/>
          <w:sz w:val="24"/>
          <w:szCs w:val="24"/>
          <w:lang w:eastAsia="de-DE"/>
        </w:rPr>
        <w:t xml:space="preserve">with </w:t>
      </w:r>
      <w:r w:rsidR="00913172">
        <w:rPr>
          <w:rFonts w:eastAsia="Times New Roman"/>
          <w:color w:val="000000"/>
          <w:sz w:val="24"/>
          <w:szCs w:val="24"/>
          <w:lang w:eastAsia="de-DE"/>
        </w:rPr>
        <w:t xml:space="preserve">ESRS disclosure </w:t>
      </w:r>
      <w:r>
        <w:rPr>
          <w:rFonts w:eastAsia="Times New Roman"/>
          <w:color w:val="000000"/>
          <w:sz w:val="24"/>
          <w:szCs w:val="24"/>
          <w:lang w:eastAsia="de-DE"/>
        </w:rPr>
        <w:t>is generally supported</w:t>
      </w:r>
      <w:r w:rsidR="00B63732">
        <w:rPr>
          <w:rFonts w:eastAsia="Times New Roman"/>
          <w:color w:val="000000"/>
          <w:sz w:val="24"/>
          <w:szCs w:val="24"/>
          <w:lang w:eastAsia="de-DE"/>
        </w:rPr>
        <w:t xml:space="preserve"> as these two kind of sustainability disclosures are connected. This alignment is helpful from a statistical perspective</w:t>
      </w:r>
      <w:r w:rsidR="004F25D3" w:rsidRPr="000F5D74">
        <w:rPr>
          <w:rFonts w:eastAsia="Times New Roman"/>
          <w:color w:val="000000"/>
          <w:sz w:val="24"/>
          <w:szCs w:val="24"/>
          <w:lang w:eastAsia="de-DE"/>
        </w:rPr>
        <w:t>.</w:t>
      </w:r>
    </w:p>
    <w:p w14:paraId="1AEA2D2C" w14:textId="18744335" w:rsidR="006A64ED" w:rsidRPr="000F5D74" w:rsidRDefault="006A64ED" w:rsidP="000F5D74">
      <w:pPr>
        <w:spacing w:after="0" w:line="240" w:lineRule="auto"/>
        <w:jc w:val="left"/>
        <w:rPr>
          <w:rFonts w:eastAsia="Times New Roman"/>
          <w:color w:val="000000"/>
          <w:sz w:val="24"/>
          <w:szCs w:val="24"/>
          <w:lang w:eastAsia="de-DE"/>
        </w:rPr>
      </w:pP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1E5F435B" w14:textId="77777777" w:rsidR="0085588A" w:rsidRDefault="0085588A" w:rsidP="0085588A">
      <w:pPr>
        <w:spacing w:after="0" w:line="240" w:lineRule="auto"/>
        <w:jc w:val="left"/>
        <w:rPr>
          <w:rFonts w:eastAsia="Times New Roman"/>
          <w:color w:val="000000"/>
          <w:sz w:val="24"/>
          <w:szCs w:val="24"/>
          <w:lang w:eastAsia="de-DE"/>
        </w:rPr>
      </w:pPr>
      <w:permStart w:id="74010525" w:edGrp="everyone"/>
    </w:p>
    <w:p w14:paraId="153A50D5" w14:textId="27B60808" w:rsidR="000F5D74" w:rsidRDefault="000F5D74" w:rsidP="000F5D74">
      <w:pPr>
        <w:spacing w:after="0" w:line="240" w:lineRule="auto"/>
        <w:jc w:val="left"/>
        <w:rPr>
          <w:rFonts w:eastAsia="Times New Roman"/>
          <w:color w:val="000000"/>
          <w:sz w:val="24"/>
          <w:szCs w:val="24"/>
          <w:lang w:eastAsia="de-DE"/>
        </w:rPr>
      </w:pPr>
      <w:r w:rsidRPr="000F5D74">
        <w:rPr>
          <w:rFonts w:eastAsia="Times New Roman"/>
          <w:color w:val="000000"/>
          <w:sz w:val="24"/>
          <w:szCs w:val="24"/>
          <w:lang w:eastAsia="de-DE"/>
        </w:rPr>
        <w:t xml:space="preserve">The inclusion of a review clause is generally supported </w:t>
      </w:r>
      <w:r w:rsidR="00127F84" w:rsidRPr="000F5D74">
        <w:rPr>
          <w:rFonts w:eastAsia="Times New Roman"/>
          <w:color w:val="000000"/>
          <w:sz w:val="24"/>
          <w:szCs w:val="24"/>
          <w:lang w:eastAsia="de-DE"/>
        </w:rPr>
        <w:t xml:space="preserve">that triggers a stock-taking whether the reporting obligations of companies are too burdensome and/or whether the needs of users </w:t>
      </w:r>
      <w:r w:rsidR="00B63732">
        <w:rPr>
          <w:rFonts w:eastAsia="Times New Roman"/>
          <w:color w:val="000000"/>
          <w:sz w:val="24"/>
          <w:szCs w:val="24"/>
          <w:lang w:eastAsia="de-DE"/>
        </w:rPr>
        <w:t xml:space="preserve">– which includes the statistical perspective - </w:t>
      </w:r>
      <w:r w:rsidR="00127F84" w:rsidRPr="000F5D74">
        <w:rPr>
          <w:rFonts w:eastAsia="Times New Roman"/>
          <w:color w:val="000000"/>
          <w:sz w:val="24"/>
          <w:szCs w:val="24"/>
          <w:lang w:eastAsia="de-DE"/>
        </w:rPr>
        <w:t>have been met.</w:t>
      </w:r>
    </w:p>
    <w:p w14:paraId="21B24804" w14:textId="51567A32" w:rsidR="00127F84" w:rsidRPr="000F5D74" w:rsidRDefault="00127F84" w:rsidP="000F5D74">
      <w:pPr>
        <w:spacing w:after="0" w:line="240" w:lineRule="auto"/>
        <w:jc w:val="left"/>
        <w:rPr>
          <w:rFonts w:eastAsia="Times New Roman"/>
          <w:color w:val="000000"/>
          <w:sz w:val="24"/>
          <w:szCs w:val="24"/>
          <w:lang w:eastAsia="de-DE"/>
        </w:rPr>
      </w:pP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DD36F1"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lastRenderedPageBreak/>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355ABBF5" w14:textId="77777777" w:rsidR="00D33425" w:rsidRDefault="00D33425" w:rsidP="00D33425">
      <w:pPr>
        <w:spacing w:after="0" w:line="240" w:lineRule="auto"/>
        <w:jc w:val="left"/>
        <w:rPr>
          <w:rFonts w:eastAsia="Times New Roman"/>
          <w:color w:val="000000"/>
          <w:sz w:val="24"/>
          <w:szCs w:val="24"/>
          <w:lang w:eastAsia="de-DE"/>
        </w:rPr>
      </w:pPr>
      <w:permStart w:id="1023742674" w:edGrp="everyone"/>
    </w:p>
    <w:p w14:paraId="66200C75" w14:textId="651FFCF1" w:rsidR="00361883" w:rsidRDefault="00D33425" w:rsidP="00D33425">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The </w:t>
      </w:r>
      <w:r w:rsidRPr="00D33425">
        <w:rPr>
          <w:rFonts w:eastAsia="Times New Roman"/>
          <w:color w:val="000000"/>
          <w:sz w:val="24"/>
          <w:szCs w:val="24"/>
          <w:lang w:eastAsia="de-DE"/>
        </w:rPr>
        <w:t xml:space="preserve">technical approach followed by ESMA with regards to incorporating ESRS and Article 8 digital taxonomies </w:t>
      </w:r>
      <w:r>
        <w:rPr>
          <w:rFonts w:eastAsia="Times New Roman"/>
          <w:color w:val="000000"/>
          <w:sz w:val="24"/>
          <w:szCs w:val="24"/>
          <w:lang w:eastAsia="de-DE"/>
        </w:rPr>
        <w:t>is g</w:t>
      </w:r>
      <w:r w:rsidR="006303F0" w:rsidRPr="00D33425">
        <w:rPr>
          <w:rFonts w:eastAsia="Times New Roman"/>
          <w:color w:val="000000"/>
          <w:sz w:val="24"/>
          <w:szCs w:val="24"/>
          <w:lang w:eastAsia="de-DE"/>
        </w:rPr>
        <w:t>enerally</w:t>
      </w:r>
      <w:r>
        <w:rPr>
          <w:rFonts w:eastAsia="Times New Roman"/>
          <w:color w:val="000000"/>
          <w:sz w:val="24"/>
          <w:szCs w:val="24"/>
          <w:lang w:eastAsia="de-DE"/>
        </w:rPr>
        <w:t xml:space="preserve"> supported. Yet the following </w:t>
      </w:r>
      <w:r w:rsidR="00361883" w:rsidRPr="00D33425">
        <w:rPr>
          <w:rFonts w:eastAsia="Times New Roman"/>
          <w:color w:val="000000"/>
          <w:sz w:val="24"/>
          <w:szCs w:val="24"/>
          <w:u w:val="single"/>
          <w:lang w:eastAsia="de-DE"/>
        </w:rPr>
        <w:t>IT technical remarks</w:t>
      </w:r>
      <w:r w:rsidR="008734A7" w:rsidRPr="00D33425">
        <w:rPr>
          <w:rFonts w:eastAsia="Times New Roman"/>
          <w:color w:val="000000"/>
          <w:sz w:val="24"/>
          <w:szCs w:val="24"/>
          <w:lang w:eastAsia="de-DE"/>
        </w:rPr>
        <w:t xml:space="preserve"> </w:t>
      </w:r>
      <w:r>
        <w:rPr>
          <w:rFonts w:eastAsia="Times New Roman"/>
          <w:color w:val="000000"/>
          <w:sz w:val="24"/>
          <w:szCs w:val="24"/>
          <w:lang w:eastAsia="de-DE"/>
        </w:rPr>
        <w:t xml:space="preserve">are provided </w:t>
      </w:r>
      <w:r w:rsidR="008734A7" w:rsidRPr="00D33425">
        <w:rPr>
          <w:rFonts w:eastAsia="Times New Roman"/>
          <w:color w:val="000000"/>
          <w:sz w:val="24"/>
          <w:szCs w:val="24"/>
          <w:lang w:eastAsia="de-DE"/>
        </w:rPr>
        <w:t xml:space="preserve">from experience in extracting data from </w:t>
      </w:r>
      <w:r w:rsidR="00125FB3" w:rsidRPr="00D33425">
        <w:rPr>
          <w:rFonts w:eastAsia="Times New Roman"/>
          <w:color w:val="000000"/>
          <w:sz w:val="24"/>
          <w:szCs w:val="24"/>
          <w:lang w:eastAsia="de-DE"/>
        </w:rPr>
        <w:t xml:space="preserve">IFRS </w:t>
      </w:r>
      <w:r w:rsidR="008734A7" w:rsidRPr="00D33425">
        <w:rPr>
          <w:rFonts w:eastAsia="Times New Roman"/>
          <w:color w:val="000000"/>
          <w:sz w:val="24"/>
          <w:szCs w:val="24"/>
          <w:lang w:eastAsia="de-DE"/>
        </w:rPr>
        <w:t>tagged financial statements</w:t>
      </w:r>
      <w:r w:rsidR="00B63732">
        <w:rPr>
          <w:rFonts w:eastAsia="Times New Roman"/>
          <w:color w:val="000000"/>
          <w:sz w:val="24"/>
          <w:szCs w:val="24"/>
          <w:lang w:eastAsia="de-DE"/>
        </w:rPr>
        <w:t xml:space="preserve"> for statistical purposes</w:t>
      </w:r>
      <w:r w:rsidR="00361883" w:rsidRPr="00D33425">
        <w:rPr>
          <w:rFonts w:eastAsia="Times New Roman"/>
          <w:color w:val="000000"/>
          <w:sz w:val="24"/>
          <w:szCs w:val="24"/>
          <w:lang w:eastAsia="de-DE"/>
        </w:rPr>
        <w:t>:</w:t>
      </w:r>
    </w:p>
    <w:p w14:paraId="467620D9" w14:textId="7A201092" w:rsidR="00D33425" w:rsidRDefault="00D33425" w:rsidP="00D33425">
      <w:pPr>
        <w:spacing w:after="0" w:line="240" w:lineRule="auto"/>
        <w:jc w:val="left"/>
        <w:rPr>
          <w:rFonts w:eastAsia="Times New Roman"/>
          <w:color w:val="000000"/>
          <w:sz w:val="24"/>
          <w:szCs w:val="24"/>
          <w:lang w:eastAsia="de-DE"/>
        </w:rPr>
      </w:pPr>
    </w:p>
    <w:p w14:paraId="565B30FC" w14:textId="274E33A7" w:rsidR="00361883" w:rsidRDefault="00154837" w:rsidP="00D33425">
      <w:pPr>
        <w:spacing w:after="0" w:line="240" w:lineRule="auto"/>
        <w:jc w:val="left"/>
        <w:rPr>
          <w:rFonts w:eastAsia="Times New Roman"/>
          <w:color w:val="000000"/>
          <w:sz w:val="24"/>
          <w:szCs w:val="24"/>
          <w:lang w:eastAsia="de-DE"/>
        </w:rPr>
      </w:pPr>
      <w:r w:rsidRPr="00D33425">
        <w:rPr>
          <w:rFonts w:eastAsia="Times New Roman"/>
          <w:color w:val="000000"/>
          <w:sz w:val="24"/>
          <w:szCs w:val="24"/>
          <w:lang w:eastAsia="de-DE"/>
        </w:rPr>
        <w:t>In order to ease comparability, a</w:t>
      </w:r>
      <w:r w:rsidR="00361883" w:rsidRPr="00D33425">
        <w:rPr>
          <w:rFonts w:eastAsia="Times New Roman"/>
          <w:color w:val="000000"/>
          <w:sz w:val="24"/>
          <w:szCs w:val="24"/>
          <w:lang w:eastAsia="de-DE"/>
        </w:rPr>
        <w:t xml:space="preserve">t least for sustainability reporting, entities should use the same calculation base </w:t>
      </w:r>
      <w:r w:rsidR="00D33425">
        <w:rPr>
          <w:rFonts w:eastAsia="Times New Roman"/>
          <w:color w:val="000000"/>
          <w:sz w:val="24"/>
          <w:szCs w:val="24"/>
          <w:lang w:eastAsia="de-DE"/>
        </w:rPr>
        <w:t xml:space="preserve">of the ESRS XBRL taxonomy </w:t>
      </w:r>
      <w:r w:rsidR="00361883" w:rsidRPr="00D33425">
        <w:rPr>
          <w:rFonts w:eastAsia="Times New Roman"/>
          <w:color w:val="000000"/>
          <w:sz w:val="24"/>
          <w:szCs w:val="24"/>
          <w:lang w:eastAsia="de-DE"/>
        </w:rPr>
        <w:t xml:space="preserve">as well as given units of measurement </w:t>
      </w:r>
      <w:r w:rsidR="00D33425">
        <w:rPr>
          <w:rFonts w:eastAsia="Times New Roman"/>
          <w:color w:val="000000"/>
          <w:sz w:val="24"/>
          <w:szCs w:val="24"/>
          <w:lang w:eastAsia="de-DE"/>
        </w:rPr>
        <w:t xml:space="preserve">- </w:t>
      </w:r>
      <w:r w:rsidR="00361883" w:rsidRPr="00D33425">
        <w:rPr>
          <w:rFonts w:eastAsia="Times New Roman"/>
          <w:color w:val="000000"/>
          <w:sz w:val="24"/>
          <w:szCs w:val="24"/>
          <w:lang w:eastAsia="de-DE"/>
        </w:rPr>
        <w:t>so no deviation</w:t>
      </w:r>
      <w:r w:rsidR="00D33425">
        <w:rPr>
          <w:rFonts w:eastAsia="Times New Roman"/>
          <w:color w:val="000000"/>
          <w:sz w:val="24"/>
          <w:szCs w:val="24"/>
          <w:lang w:eastAsia="de-DE"/>
        </w:rPr>
        <w:t xml:space="preserve"> </w:t>
      </w:r>
      <w:r w:rsidR="004807EC">
        <w:rPr>
          <w:rFonts w:eastAsia="Times New Roman"/>
          <w:color w:val="000000"/>
          <w:sz w:val="24"/>
          <w:szCs w:val="24"/>
          <w:lang w:eastAsia="de-DE"/>
        </w:rPr>
        <w:t xml:space="preserve">- </w:t>
      </w:r>
      <w:r w:rsidR="004807EC" w:rsidRPr="00D33425">
        <w:rPr>
          <w:rFonts w:eastAsia="Times New Roman"/>
          <w:color w:val="000000"/>
          <w:sz w:val="24"/>
          <w:szCs w:val="24"/>
          <w:lang w:eastAsia="de-DE"/>
        </w:rPr>
        <w:t>in</w:t>
      </w:r>
      <w:r w:rsidR="00BF7ABD" w:rsidRPr="00D33425">
        <w:rPr>
          <w:rFonts w:eastAsia="Times New Roman"/>
          <w:color w:val="000000"/>
          <w:sz w:val="24"/>
          <w:szCs w:val="24"/>
          <w:lang w:eastAsia="de-DE"/>
        </w:rPr>
        <w:t xml:space="preserve"> order to maximise the exploitability and therefore the usefulness of the tagged information in terms of comparability (company-by-company, over time and benchmarking)</w:t>
      </w:r>
      <w:r w:rsidR="00361883" w:rsidRPr="00D33425">
        <w:rPr>
          <w:rFonts w:eastAsia="Times New Roman"/>
          <w:color w:val="000000"/>
          <w:sz w:val="24"/>
          <w:szCs w:val="24"/>
          <w:lang w:eastAsia="de-DE"/>
        </w:rPr>
        <w:t>.</w:t>
      </w:r>
    </w:p>
    <w:p w14:paraId="6721028D" w14:textId="77777777" w:rsidR="00D33425" w:rsidRPr="00D33425" w:rsidRDefault="00D33425" w:rsidP="00D33425">
      <w:pPr>
        <w:spacing w:after="0" w:line="240" w:lineRule="auto"/>
        <w:jc w:val="left"/>
        <w:rPr>
          <w:rFonts w:eastAsia="Times New Roman"/>
          <w:color w:val="000000"/>
          <w:sz w:val="24"/>
          <w:szCs w:val="24"/>
          <w:lang w:eastAsia="de-DE"/>
        </w:rPr>
      </w:pPr>
    </w:p>
    <w:p w14:paraId="1D3072F4" w14:textId="1E57262A" w:rsidR="00361883" w:rsidRPr="00D33425" w:rsidRDefault="00F52C03" w:rsidP="00D33425">
      <w:pPr>
        <w:spacing w:after="0" w:line="240" w:lineRule="auto"/>
        <w:jc w:val="left"/>
        <w:rPr>
          <w:rFonts w:eastAsia="Times New Roman"/>
          <w:color w:val="000000"/>
          <w:sz w:val="24"/>
          <w:szCs w:val="24"/>
          <w:lang w:eastAsia="de-DE"/>
        </w:rPr>
      </w:pPr>
      <w:r w:rsidRPr="00D33425">
        <w:rPr>
          <w:rFonts w:eastAsia="Times New Roman"/>
          <w:color w:val="000000"/>
          <w:sz w:val="24"/>
          <w:szCs w:val="24"/>
          <w:lang w:eastAsia="de-DE"/>
        </w:rPr>
        <w:t xml:space="preserve">ESMA </w:t>
      </w:r>
      <w:r w:rsidR="00D33425">
        <w:rPr>
          <w:rFonts w:eastAsia="Times New Roman"/>
          <w:color w:val="000000"/>
          <w:sz w:val="24"/>
          <w:szCs w:val="24"/>
          <w:lang w:eastAsia="de-DE"/>
        </w:rPr>
        <w:t xml:space="preserve">is further encouraged </w:t>
      </w:r>
      <w:r w:rsidR="008734A7" w:rsidRPr="00D33425">
        <w:rPr>
          <w:rFonts w:eastAsia="Times New Roman"/>
          <w:color w:val="000000"/>
          <w:sz w:val="24"/>
          <w:szCs w:val="24"/>
          <w:lang w:eastAsia="de-DE"/>
        </w:rPr>
        <w:t>evaluating</w:t>
      </w:r>
      <w:r w:rsidRPr="00D33425">
        <w:rPr>
          <w:rFonts w:eastAsia="Times New Roman"/>
          <w:color w:val="000000"/>
          <w:sz w:val="24"/>
          <w:szCs w:val="24"/>
          <w:lang w:eastAsia="de-DE"/>
        </w:rPr>
        <w:t xml:space="preserve"> </w:t>
      </w:r>
      <w:r w:rsidR="00361883" w:rsidRPr="00D33425">
        <w:rPr>
          <w:rFonts w:eastAsia="Times New Roman"/>
          <w:color w:val="000000"/>
          <w:sz w:val="24"/>
          <w:szCs w:val="24"/>
          <w:lang w:eastAsia="de-DE"/>
        </w:rPr>
        <w:t>to give technical guidance or regulations</w:t>
      </w:r>
      <w:r w:rsidR="00D33425">
        <w:rPr>
          <w:rFonts w:eastAsia="Times New Roman"/>
          <w:color w:val="000000"/>
          <w:sz w:val="24"/>
          <w:szCs w:val="24"/>
          <w:lang w:eastAsia="de-DE"/>
        </w:rPr>
        <w:t xml:space="preserve"> </w:t>
      </w:r>
      <w:r w:rsidR="00361883" w:rsidRPr="00D33425">
        <w:rPr>
          <w:rFonts w:eastAsia="Times New Roman"/>
          <w:color w:val="000000"/>
          <w:sz w:val="24"/>
          <w:szCs w:val="24"/>
          <w:lang w:eastAsia="de-DE"/>
        </w:rPr>
        <w:t xml:space="preserve">on </w:t>
      </w:r>
      <w:r w:rsidRPr="00D33425">
        <w:rPr>
          <w:rFonts w:eastAsia="Times New Roman"/>
          <w:color w:val="000000"/>
          <w:sz w:val="24"/>
          <w:szCs w:val="24"/>
          <w:lang w:eastAsia="de-DE"/>
        </w:rPr>
        <w:t xml:space="preserve">whether digital reports should be put in one XHTML file or whether multiple files should be </w:t>
      </w:r>
      <w:r w:rsidR="006824A3" w:rsidRPr="00D33425">
        <w:rPr>
          <w:rFonts w:eastAsia="Times New Roman"/>
          <w:color w:val="000000"/>
          <w:sz w:val="24"/>
          <w:szCs w:val="24"/>
          <w:lang w:eastAsia="de-DE"/>
        </w:rPr>
        <w:t>required (</w:t>
      </w:r>
      <w:r w:rsidR="00AA1A6C" w:rsidRPr="00D33425">
        <w:rPr>
          <w:rFonts w:eastAsia="Times New Roman"/>
          <w:color w:val="000000"/>
          <w:sz w:val="24"/>
          <w:szCs w:val="24"/>
          <w:lang w:eastAsia="de-DE"/>
        </w:rPr>
        <w:t>e.g.</w:t>
      </w:r>
      <w:r w:rsidR="006824A3" w:rsidRPr="00D33425">
        <w:rPr>
          <w:rFonts w:eastAsia="Times New Roman"/>
          <w:color w:val="000000"/>
          <w:sz w:val="24"/>
          <w:szCs w:val="24"/>
          <w:lang w:eastAsia="de-DE"/>
        </w:rPr>
        <w:t xml:space="preserve"> </w:t>
      </w:r>
      <w:r w:rsidR="00E6171A" w:rsidRPr="00D33425">
        <w:rPr>
          <w:rFonts w:eastAsia="Times New Roman"/>
          <w:color w:val="000000"/>
          <w:sz w:val="24"/>
          <w:szCs w:val="24"/>
          <w:lang w:eastAsia="de-DE"/>
        </w:rPr>
        <w:t>separates files of the management report against the financial statements</w:t>
      </w:r>
      <w:r w:rsidR="006824A3" w:rsidRPr="00D33425">
        <w:rPr>
          <w:rFonts w:eastAsia="Times New Roman"/>
          <w:color w:val="000000"/>
          <w:sz w:val="24"/>
          <w:szCs w:val="24"/>
          <w:lang w:eastAsia="de-DE"/>
        </w:rPr>
        <w:t>)</w:t>
      </w:r>
      <w:r w:rsidR="00D33425">
        <w:rPr>
          <w:rFonts w:eastAsia="Times New Roman"/>
          <w:color w:val="000000"/>
          <w:sz w:val="24"/>
          <w:szCs w:val="24"/>
          <w:lang w:eastAsia="de-DE"/>
        </w:rPr>
        <w:t>:</w:t>
      </w:r>
      <w:r w:rsidR="006824A3" w:rsidRPr="00D33425">
        <w:rPr>
          <w:rFonts w:eastAsia="Times New Roman"/>
          <w:color w:val="000000"/>
          <w:sz w:val="24"/>
          <w:szCs w:val="24"/>
          <w:lang w:eastAsia="de-DE"/>
        </w:rPr>
        <w:t xml:space="preserve"> </w:t>
      </w:r>
    </w:p>
    <w:p w14:paraId="705A158C" w14:textId="44765160" w:rsidR="00F52C03" w:rsidRPr="00D33425" w:rsidRDefault="009C1744" w:rsidP="00C27B87">
      <w:pPr>
        <w:pStyle w:val="Listenabsatz"/>
        <w:numPr>
          <w:ilvl w:val="3"/>
          <w:numId w:val="38"/>
        </w:numPr>
        <w:spacing w:after="0" w:line="240" w:lineRule="auto"/>
        <w:ind w:left="426"/>
        <w:jc w:val="left"/>
        <w:rPr>
          <w:rFonts w:eastAsia="Times New Roman"/>
          <w:color w:val="000000"/>
          <w:sz w:val="24"/>
          <w:szCs w:val="24"/>
          <w:lang w:eastAsia="de-DE"/>
        </w:rPr>
      </w:pPr>
      <w:r w:rsidRPr="00D33425">
        <w:rPr>
          <w:rFonts w:eastAsia="Times New Roman"/>
          <w:color w:val="000000"/>
          <w:sz w:val="24"/>
          <w:szCs w:val="24"/>
          <w:lang w:eastAsia="de-DE"/>
        </w:rPr>
        <w:t xml:space="preserve">It </w:t>
      </w:r>
      <w:r w:rsidR="00F30FE8">
        <w:rPr>
          <w:rFonts w:eastAsia="Times New Roman"/>
          <w:color w:val="000000"/>
          <w:sz w:val="24"/>
          <w:szCs w:val="24"/>
          <w:lang w:eastAsia="de-DE"/>
        </w:rPr>
        <w:t xml:space="preserve">could be </w:t>
      </w:r>
      <w:r w:rsidR="00AA1A6C">
        <w:rPr>
          <w:rFonts w:eastAsia="Times New Roman"/>
          <w:color w:val="000000"/>
          <w:sz w:val="24"/>
          <w:szCs w:val="24"/>
          <w:lang w:eastAsia="de-DE"/>
        </w:rPr>
        <w:t>useful</w:t>
      </w:r>
      <w:r w:rsidR="00F30FE8">
        <w:rPr>
          <w:rFonts w:eastAsia="Times New Roman"/>
          <w:color w:val="000000"/>
          <w:sz w:val="24"/>
          <w:szCs w:val="24"/>
          <w:lang w:eastAsia="de-DE"/>
        </w:rPr>
        <w:t xml:space="preserve"> </w:t>
      </w:r>
      <w:r w:rsidR="00D33425">
        <w:rPr>
          <w:rFonts w:eastAsia="Times New Roman"/>
          <w:color w:val="000000"/>
          <w:sz w:val="24"/>
          <w:szCs w:val="24"/>
          <w:lang w:eastAsia="de-DE"/>
        </w:rPr>
        <w:t>for report</w:t>
      </w:r>
      <w:r w:rsidR="00F30FE8">
        <w:rPr>
          <w:rFonts w:eastAsia="Times New Roman"/>
          <w:color w:val="000000"/>
          <w:sz w:val="24"/>
          <w:szCs w:val="24"/>
          <w:lang w:eastAsia="de-DE"/>
        </w:rPr>
        <w:t xml:space="preserve">ing entities as well as for the users of the reporting package </w:t>
      </w:r>
      <w:r w:rsidR="006824A3" w:rsidRPr="00D33425">
        <w:rPr>
          <w:rFonts w:eastAsia="Times New Roman"/>
          <w:color w:val="000000"/>
          <w:sz w:val="24"/>
          <w:szCs w:val="24"/>
          <w:lang w:eastAsia="de-DE"/>
        </w:rPr>
        <w:t xml:space="preserve">to determine </w:t>
      </w:r>
      <w:r w:rsidRPr="00D33425">
        <w:rPr>
          <w:rFonts w:eastAsia="Times New Roman"/>
          <w:color w:val="000000"/>
          <w:sz w:val="24"/>
          <w:szCs w:val="24"/>
          <w:lang w:eastAsia="de-DE"/>
        </w:rPr>
        <w:t xml:space="preserve">rather </w:t>
      </w:r>
      <w:r w:rsidR="006824A3" w:rsidRPr="00D33425">
        <w:rPr>
          <w:rFonts w:eastAsia="Times New Roman"/>
          <w:color w:val="000000"/>
          <w:sz w:val="24"/>
          <w:szCs w:val="24"/>
          <w:lang w:eastAsia="de-DE"/>
        </w:rPr>
        <w:t>a specific rule in contrast to let different options apply</w:t>
      </w:r>
      <w:r w:rsidR="00F30FE8">
        <w:rPr>
          <w:rFonts w:eastAsia="Times New Roman"/>
          <w:color w:val="000000"/>
          <w:sz w:val="24"/>
          <w:szCs w:val="24"/>
          <w:lang w:eastAsia="de-DE"/>
        </w:rPr>
        <w:t xml:space="preserve"> in setting up the file</w:t>
      </w:r>
      <w:r w:rsidR="0066663F">
        <w:rPr>
          <w:rFonts w:eastAsia="Times New Roman"/>
          <w:color w:val="000000"/>
          <w:sz w:val="24"/>
          <w:szCs w:val="24"/>
          <w:lang w:eastAsia="de-DE"/>
        </w:rPr>
        <w:t>(s)</w:t>
      </w:r>
      <w:r w:rsidR="006824A3" w:rsidRPr="00D33425">
        <w:rPr>
          <w:rFonts w:eastAsia="Times New Roman"/>
          <w:color w:val="000000"/>
          <w:sz w:val="24"/>
          <w:szCs w:val="24"/>
          <w:lang w:eastAsia="de-DE"/>
        </w:rPr>
        <w:t>.</w:t>
      </w:r>
    </w:p>
    <w:p w14:paraId="25C0E414" w14:textId="558BB2AB" w:rsidR="00361883" w:rsidRDefault="009C1744" w:rsidP="00C27B87">
      <w:pPr>
        <w:pStyle w:val="Listenabsatz"/>
        <w:numPr>
          <w:ilvl w:val="3"/>
          <w:numId w:val="38"/>
        </w:numPr>
        <w:spacing w:after="0" w:line="240" w:lineRule="auto"/>
        <w:ind w:left="426"/>
        <w:jc w:val="left"/>
        <w:rPr>
          <w:rFonts w:eastAsia="Times New Roman"/>
          <w:color w:val="000000"/>
          <w:sz w:val="24"/>
          <w:szCs w:val="24"/>
          <w:lang w:eastAsia="de-DE"/>
        </w:rPr>
      </w:pPr>
      <w:r w:rsidRPr="00D33425">
        <w:rPr>
          <w:rFonts w:eastAsia="Times New Roman"/>
          <w:color w:val="000000"/>
          <w:sz w:val="24"/>
          <w:szCs w:val="24"/>
          <w:lang w:eastAsia="de-DE"/>
        </w:rPr>
        <w:t>A</w:t>
      </w:r>
      <w:r w:rsidR="00361883" w:rsidRPr="00D33425">
        <w:rPr>
          <w:rFonts w:eastAsia="Times New Roman"/>
          <w:color w:val="000000"/>
          <w:sz w:val="24"/>
          <w:szCs w:val="24"/>
          <w:lang w:eastAsia="de-DE"/>
        </w:rPr>
        <w:t xml:space="preserve">ddressing this </w:t>
      </w:r>
      <w:r w:rsidR="0066663F">
        <w:rPr>
          <w:rFonts w:eastAsia="Times New Roman"/>
          <w:color w:val="000000"/>
          <w:sz w:val="24"/>
          <w:szCs w:val="24"/>
          <w:lang w:eastAsia="de-DE"/>
        </w:rPr>
        <w:t xml:space="preserve">issue could </w:t>
      </w:r>
      <w:r w:rsidR="00D33425">
        <w:rPr>
          <w:rFonts w:eastAsia="Times New Roman"/>
          <w:color w:val="000000"/>
          <w:sz w:val="24"/>
          <w:szCs w:val="24"/>
          <w:lang w:eastAsia="de-DE"/>
        </w:rPr>
        <w:t xml:space="preserve">also </w:t>
      </w:r>
      <w:r w:rsidR="00361883" w:rsidRPr="00D33425">
        <w:rPr>
          <w:rFonts w:eastAsia="Times New Roman"/>
          <w:color w:val="000000"/>
          <w:sz w:val="24"/>
          <w:szCs w:val="24"/>
          <w:lang w:eastAsia="de-DE"/>
        </w:rPr>
        <w:t xml:space="preserve">be helpful envisaging the search functionalities of the ESAP </w:t>
      </w:r>
      <w:r w:rsidR="00D33425">
        <w:rPr>
          <w:rFonts w:eastAsia="Times New Roman"/>
          <w:color w:val="000000"/>
          <w:sz w:val="24"/>
          <w:szCs w:val="24"/>
          <w:lang w:eastAsia="de-DE"/>
        </w:rPr>
        <w:t>portal. We consider this access point as very important for accessing sustainability reports from 2027 on.</w:t>
      </w:r>
    </w:p>
    <w:p w14:paraId="470EAC86" w14:textId="77777777" w:rsidR="00D33425" w:rsidRPr="00D33425" w:rsidRDefault="00D33425" w:rsidP="00D33425">
      <w:pPr>
        <w:spacing w:after="0" w:line="240" w:lineRule="auto"/>
        <w:jc w:val="left"/>
        <w:rPr>
          <w:rFonts w:eastAsia="Times New Roman"/>
          <w:color w:val="000000"/>
          <w:sz w:val="24"/>
          <w:szCs w:val="24"/>
          <w:lang w:eastAsia="de-DE"/>
        </w:rPr>
      </w:pPr>
    </w:p>
    <w:p w14:paraId="12A00F10" w14:textId="3289891C" w:rsidR="00F11100" w:rsidRPr="00D33425" w:rsidRDefault="00F11100" w:rsidP="00D33425">
      <w:pPr>
        <w:spacing w:after="0" w:line="240" w:lineRule="auto"/>
        <w:jc w:val="left"/>
        <w:rPr>
          <w:rFonts w:eastAsia="Times New Roman"/>
          <w:color w:val="000000"/>
          <w:sz w:val="24"/>
          <w:szCs w:val="24"/>
          <w:lang w:eastAsia="de-DE"/>
        </w:rPr>
      </w:pPr>
      <w:r w:rsidRPr="00D33425">
        <w:rPr>
          <w:rFonts w:eastAsia="Times New Roman"/>
          <w:color w:val="000000"/>
          <w:sz w:val="24"/>
          <w:szCs w:val="24"/>
          <w:lang w:eastAsia="de-DE"/>
        </w:rPr>
        <w:t xml:space="preserve">Further, the question arises whether a technical approach on images within XHTML files should be addressed as problems arise in extracting data from them. Generally, images should be disallowed when they are used as only way to present required </w:t>
      </w:r>
      <w:r w:rsidR="00AA1A6C" w:rsidRPr="00D33425">
        <w:rPr>
          <w:rFonts w:eastAsia="Times New Roman"/>
          <w:color w:val="000000"/>
          <w:sz w:val="24"/>
          <w:szCs w:val="24"/>
          <w:lang w:eastAsia="de-DE"/>
        </w:rPr>
        <w:t>numerical</w:t>
      </w:r>
      <w:r w:rsidRPr="00D33425">
        <w:rPr>
          <w:rFonts w:eastAsia="Times New Roman"/>
          <w:color w:val="000000"/>
          <w:sz w:val="24"/>
          <w:szCs w:val="24"/>
          <w:lang w:eastAsia="de-DE"/>
        </w:rPr>
        <w:t xml:space="preserve"> data.</w:t>
      </w:r>
    </w:p>
    <w:p w14:paraId="1130A5BA" w14:textId="77777777" w:rsidR="00D33425" w:rsidRDefault="00D33425" w:rsidP="00D33425">
      <w:pPr>
        <w:spacing w:after="0" w:line="240" w:lineRule="auto"/>
        <w:jc w:val="left"/>
        <w:rPr>
          <w:rFonts w:eastAsia="Times New Roman"/>
          <w:color w:val="000000"/>
          <w:sz w:val="24"/>
          <w:szCs w:val="24"/>
          <w:lang w:eastAsia="de-DE"/>
        </w:rPr>
      </w:pPr>
    </w:p>
    <w:p w14:paraId="62865FE2" w14:textId="219180A9" w:rsidR="009C1744" w:rsidRPr="00D33425" w:rsidRDefault="00F11100" w:rsidP="00D33425">
      <w:pPr>
        <w:spacing w:after="0" w:line="240" w:lineRule="auto"/>
        <w:jc w:val="left"/>
        <w:rPr>
          <w:rFonts w:eastAsia="Times New Roman"/>
          <w:color w:val="000000"/>
          <w:sz w:val="24"/>
          <w:szCs w:val="24"/>
          <w:lang w:eastAsia="de-DE"/>
        </w:rPr>
      </w:pPr>
      <w:r w:rsidRPr="00D33425">
        <w:rPr>
          <w:rFonts w:eastAsia="Times New Roman"/>
          <w:color w:val="000000"/>
          <w:sz w:val="24"/>
          <w:szCs w:val="24"/>
          <w:lang w:eastAsia="de-DE"/>
        </w:rPr>
        <w:t xml:space="preserve">ESMA </w:t>
      </w:r>
      <w:r w:rsidR="00D33425">
        <w:rPr>
          <w:rFonts w:eastAsia="Times New Roman"/>
          <w:color w:val="000000"/>
          <w:sz w:val="24"/>
          <w:szCs w:val="24"/>
          <w:lang w:eastAsia="de-DE"/>
        </w:rPr>
        <w:t xml:space="preserve">is encouraged </w:t>
      </w:r>
      <w:r w:rsidRPr="00D33425">
        <w:rPr>
          <w:rFonts w:eastAsia="Times New Roman"/>
          <w:color w:val="000000"/>
          <w:sz w:val="24"/>
          <w:szCs w:val="24"/>
          <w:lang w:eastAsia="de-DE"/>
        </w:rPr>
        <w:t xml:space="preserve">to consider </w:t>
      </w:r>
      <w:r w:rsidR="00C45128" w:rsidRPr="00D33425">
        <w:rPr>
          <w:rFonts w:eastAsia="Times New Roman"/>
          <w:color w:val="000000"/>
          <w:sz w:val="24"/>
          <w:szCs w:val="24"/>
          <w:lang w:eastAsia="de-DE"/>
        </w:rPr>
        <w:t xml:space="preserve">the variability in </w:t>
      </w:r>
      <w:r w:rsidRPr="00D33425">
        <w:rPr>
          <w:rFonts w:eastAsia="Times New Roman"/>
          <w:color w:val="000000"/>
          <w:sz w:val="24"/>
          <w:szCs w:val="24"/>
          <w:lang w:eastAsia="de-DE"/>
        </w:rPr>
        <w:t xml:space="preserve">amount </w:t>
      </w:r>
      <w:r w:rsidR="00C45128" w:rsidRPr="00D33425">
        <w:rPr>
          <w:rFonts w:eastAsia="Times New Roman"/>
          <w:color w:val="000000"/>
          <w:sz w:val="24"/>
          <w:szCs w:val="24"/>
          <w:lang w:eastAsia="de-DE"/>
        </w:rPr>
        <w:t xml:space="preserve">and </w:t>
      </w:r>
      <w:r w:rsidRPr="00D33425">
        <w:rPr>
          <w:rFonts w:eastAsia="Times New Roman"/>
          <w:color w:val="000000"/>
          <w:sz w:val="24"/>
          <w:szCs w:val="24"/>
          <w:lang w:eastAsia="de-DE"/>
        </w:rPr>
        <w:t xml:space="preserve">arrangement of </w:t>
      </w:r>
      <w:r w:rsidR="006824A3" w:rsidRPr="00D33425">
        <w:rPr>
          <w:rFonts w:eastAsia="Times New Roman"/>
          <w:color w:val="000000"/>
          <w:sz w:val="24"/>
          <w:szCs w:val="24"/>
          <w:lang w:eastAsia="de-DE"/>
        </w:rPr>
        <w:t xml:space="preserve">zip files </w:t>
      </w:r>
      <w:r w:rsidRPr="00D33425">
        <w:rPr>
          <w:rFonts w:eastAsia="Times New Roman"/>
          <w:color w:val="000000"/>
          <w:sz w:val="24"/>
          <w:szCs w:val="24"/>
          <w:lang w:eastAsia="de-DE"/>
        </w:rPr>
        <w:t xml:space="preserve">within </w:t>
      </w:r>
      <w:r w:rsidR="00D33425">
        <w:rPr>
          <w:rFonts w:eastAsia="Times New Roman"/>
          <w:color w:val="000000"/>
          <w:sz w:val="24"/>
          <w:szCs w:val="24"/>
          <w:lang w:eastAsia="de-DE"/>
        </w:rPr>
        <w:t xml:space="preserve">an </w:t>
      </w:r>
      <w:r w:rsidRPr="00D33425">
        <w:rPr>
          <w:rFonts w:eastAsia="Times New Roman"/>
          <w:color w:val="000000"/>
          <w:sz w:val="24"/>
          <w:szCs w:val="24"/>
          <w:lang w:eastAsia="de-DE"/>
        </w:rPr>
        <w:t>ESEF reporting package</w:t>
      </w:r>
      <w:r w:rsidR="00D33425">
        <w:rPr>
          <w:rFonts w:eastAsia="Times New Roman"/>
          <w:color w:val="000000"/>
          <w:sz w:val="24"/>
          <w:szCs w:val="24"/>
          <w:lang w:eastAsia="de-DE"/>
        </w:rPr>
        <w:t xml:space="preserve"> as this could </w:t>
      </w:r>
      <w:r w:rsidR="00C45128" w:rsidRPr="00D33425">
        <w:rPr>
          <w:rFonts w:eastAsia="Times New Roman"/>
          <w:color w:val="000000"/>
          <w:sz w:val="24"/>
          <w:szCs w:val="24"/>
          <w:lang w:eastAsia="de-DE"/>
        </w:rPr>
        <w:t xml:space="preserve">lead to uncertainty in the correct set up </w:t>
      </w:r>
      <w:r w:rsidR="00D33425">
        <w:rPr>
          <w:rFonts w:eastAsia="Times New Roman"/>
          <w:color w:val="000000"/>
          <w:sz w:val="24"/>
          <w:szCs w:val="24"/>
          <w:lang w:eastAsia="de-DE"/>
        </w:rPr>
        <w:t>o</w:t>
      </w:r>
      <w:r w:rsidR="00C45128" w:rsidRPr="00D33425">
        <w:rPr>
          <w:rFonts w:eastAsia="Times New Roman"/>
          <w:color w:val="000000"/>
          <w:sz w:val="24"/>
          <w:szCs w:val="24"/>
          <w:lang w:eastAsia="de-DE"/>
        </w:rPr>
        <w:t xml:space="preserve">f reporting files. </w:t>
      </w:r>
      <w:r w:rsidR="006303F0" w:rsidRPr="00D33425">
        <w:rPr>
          <w:rFonts w:eastAsia="Times New Roman"/>
          <w:color w:val="000000"/>
          <w:sz w:val="24"/>
          <w:szCs w:val="24"/>
          <w:lang w:eastAsia="de-DE"/>
        </w:rPr>
        <w:t>Having</w:t>
      </w:r>
      <w:r w:rsidR="00C45128" w:rsidRPr="00D33425">
        <w:rPr>
          <w:rFonts w:eastAsia="Times New Roman"/>
          <w:color w:val="000000"/>
          <w:sz w:val="24"/>
          <w:szCs w:val="24"/>
          <w:lang w:eastAsia="de-DE"/>
        </w:rPr>
        <w:t xml:space="preserve"> clear guidance would improve the accessibility of the granular data</w:t>
      </w:r>
      <w:r w:rsidR="00D33425">
        <w:rPr>
          <w:rFonts w:eastAsia="Times New Roman"/>
          <w:color w:val="000000"/>
          <w:sz w:val="24"/>
          <w:szCs w:val="24"/>
          <w:lang w:eastAsia="de-DE"/>
        </w:rPr>
        <w:t xml:space="preserve"> embedded in the reporting package</w:t>
      </w:r>
      <w:r w:rsidR="00C45128" w:rsidRPr="00D33425">
        <w:rPr>
          <w:rFonts w:eastAsia="Times New Roman"/>
          <w:color w:val="000000"/>
          <w:sz w:val="24"/>
          <w:szCs w:val="24"/>
          <w:lang w:eastAsia="de-DE"/>
        </w:rPr>
        <w:t>.</w:t>
      </w:r>
    </w:p>
    <w:p w14:paraId="40D3515C" w14:textId="77777777" w:rsidR="00D33425" w:rsidRDefault="00D33425" w:rsidP="00D33425">
      <w:pPr>
        <w:spacing w:after="0" w:line="240" w:lineRule="auto"/>
        <w:jc w:val="left"/>
        <w:rPr>
          <w:rFonts w:eastAsia="Times New Roman"/>
          <w:color w:val="000000"/>
          <w:sz w:val="24"/>
          <w:szCs w:val="24"/>
          <w:lang w:eastAsia="de-DE"/>
        </w:rPr>
      </w:pPr>
    </w:p>
    <w:p w14:paraId="3960040C" w14:textId="76EB0CC0" w:rsidR="00F11100" w:rsidRPr="00D33425" w:rsidRDefault="00F11100" w:rsidP="00D33425">
      <w:pPr>
        <w:spacing w:after="0" w:line="240" w:lineRule="auto"/>
        <w:jc w:val="left"/>
        <w:rPr>
          <w:rFonts w:eastAsia="Times New Roman"/>
          <w:color w:val="000000"/>
          <w:sz w:val="24"/>
          <w:szCs w:val="24"/>
          <w:lang w:eastAsia="de-DE"/>
        </w:rPr>
      </w:pPr>
      <w:r w:rsidRPr="00D33425">
        <w:rPr>
          <w:rFonts w:eastAsia="Times New Roman"/>
          <w:color w:val="000000"/>
          <w:sz w:val="24"/>
          <w:szCs w:val="24"/>
          <w:lang w:eastAsia="de-DE"/>
        </w:rPr>
        <w:t xml:space="preserve">Generally, entities should be </w:t>
      </w:r>
      <w:r w:rsidR="00D33425">
        <w:rPr>
          <w:rFonts w:eastAsia="Times New Roman"/>
          <w:color w:val="000000"/>
          <w:sz w:val="24"/>
          <w:szCs w:val="24"/>
          <w:lang w:eastAsia="de-DE"/>
        </w:rPr>
        <w:t xml:space="preserve">instructed </w:t>
      </w:r>
      <w:r w:rsidRPr="00D33425">
        <w:rPr>
          <w:rFonts w:eastAsia="Times New Roman"/>
          <w:color w:val="000000"/>
          <w:sz w:val="24"/>
          <w:szCs w:val="24"/>
          <w:lang w:eastAsia="de-DE"/>
        </w:rPr>
        <w:t xml:space="preserve">to include clear reading titles within the respective files of </w:t>
      </w:r>
      <w:r w:rsidR="004807EC" w:rsidRPr="00D33425">
        <w:rPr>
          <w:rFonts w:eastAsia="Times New Roman"/>
          <w:color w:val="000000"/>
          <w:sz w:val="24"/>
          <w:szCs w:val="24"/>
          <w:lang w:eastAsia="de-DE"/>
        </w:rPr>
        <w:t>an</w:t>
      </w:r>
      <w:r w:rsidRPr="00D33425">
        <w:rPr>
          <w:rFonts w:eastAsia="Times New Roman"/>
          <w:color w:val="000000"/>
          <w:sz w:val="24"/>
          <w:szCs w:val="24"/>
          <w:lang w:eastAsia="de-DE"/>
        </w:rPr>
        <w:t xml:space="preserve"> ESEF reporting package</w:t>
      </w:r>
      <w:r w:rsidR="00D33425">
        <w:rPr>
          <w:rFonts w:eastAsia="Times New Roman"/>
          <w:color w:val="000000"/>
          <w:sz w:val="24"/>
          <w:szCs w:val="24"/>
          <w:lang w:eastAsia="de-DE"/>
        </w:rPr>
        <w:t>. This p</w:t>
      </w:r>
      <w:r w:rsidRPr="00D33425">
        <w:rPr>
          <w:rFonts w:eastAsia="Times New Roman"/>
          <w:color w:val="000000"/>
          <w:sz w:val="24"/>
          <w:szCs w:val="24"/>
          <w:lang w:eastAsia="de-DE"/>
        </w:rPr>
        <w:t xml:space="preserve">roblem </w:t>
      </w:r>
      <w:r w:rsidR="00D33425">
        <w:rPr>
          <w:rFonts w:eastAsia="Times New Roman"/>
          <w:color w:val="000000"/>
          <w:sz w:val="24"/>
          <w:szCs w:val="24"/>
          <w:lang w:eastAsia="de-DE"/>
        </w:rPr>
        <w:t xml:space="preserve">is </w:t>
      </w:r>
      <w:r w:rsidRPr="00D33425">
        <w:rPr>
          <w:rFonts w:eastAsia="Times New Roman"/>
          <w:color w:val="000000"/>
          <w:sz w:val="24"/>
          <w:szCs w:val="24"/>
          <w:lang w:eastAsia="de-DE"/>
        </w:rPr>
        <w:t>noted from current application of IFRS financial statements within annual financial statements of listed entities.</w:t>
      </w:r>
    </w:p>
    <w:p w14:paraId="1DFA13F8" w14:textId="77777777" w:rsidR="00D33425" w:rsidRPr="00D33425" w:rsidRDefault="00D33425" w:rsidP="00D33425">
      <w:pPr>
        <w:spacing w:after="0" w:line="240" w:lineRule="auto"/>
        <w:jc w:val="left"/>
        <w:rPr>
          <w:rFonts w:eastAsia="Times New Roman"/>
          <w:color w:val="000000"/>
          <w:sz w:val="24"/>
          <w:szCs w:val="24"/>
          <w:lang w:eastAsia="de-DE"/>
        </w:rPr>
      </w:pPr>
    </w:p>
    <w:p w14:paraId="0EF80192" w14:textId="4F66E67C" w:rsidR="000B73DB" w:rsidRPr="00D33425" w:rsidRDefault="00D33425" w:rsidP="00D33425">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Finally, the following </w:t>
      </w:r>
      <w:r w:rsidR="00A93006" w:rsidRPr="00D33425">
        <w:rPr>
          <w:rFonts w:eastAsia="Times New Roman"/>
          <w:color w:val="000000"/>
          <w:sz w:val="24"/>
          <w:szCs w:val="24"/>
          <w:lang w:eastAsia="de-DE"/>
        </w:rPr>
        <w:t>e</w:t>
      </w:r>
      <w:r w:rsidR="00127F84" w:rsidRPr="00D33425">
        <w:rPr>
          <w:rFonts w:eastAsia="Times New Roman"/>
          <w:color w:val="000000"/>
          <w:sz w:val="24"/>
          <w:szCs w:val="24"/>
          <w:lang w:eastAsia="de-DE"/>
        </w:rPr>
        <w:t>ditorial</w:t>
      </w:r>
      <w:r w:rsidR="000B73DB" w:rsidRPr="00D33425">
        <w:rPr>
          <w:rFonts w:eastAsia="Times New Roman"/>
          <w:color w:val="000000"/>
          <w:sz w:val="24"/>
          <w:szCs w:val="24"/>
          <w:lang w:eastAsia="de-DE"/>
        </w:rPr>
        <w:t xml:space="preserve"> remarks to Annex IV </w:t>
      </w:r>
      <w:r w:rsidR="00A93006" w:rsidRPr="00D33425">
        <w:rPr>
          <w:rFonts w:eastAsia="Times New Roman"/>
          <w:color w:val="000000"/>
          <w:sz w:val="24"/>
          <w:szCs w:val="24"/>
          <w:lang w:eastAsia="de-DE"/>
        </w:rPr>
        <w:t>of the consultation (</w:t>
      </w:r>
      <w:r w:rsidR="000B73DB" w:rsidRPr="00D33425">
        <w:rPr>
          <w:rFonts w:eastAsia="Times New Roman"/>
          <w:color w:val="000000"/>
          <w:sz w:val="24"/>
          <w:szCs w:val="24"/>
          <w:lang w:eastAsia="de-DE"/>
        </w:rPr>
        <w:t>“Legal text RTSs on ESEF”</w:t>
      </w:r>
      <w:r w:rsidR="00A93006" w:rsidRPr="00D33425">
        <w:rPr>
          <w:rFonts w:eastAsia="Times New Roman"/>
          <w:color w:val="000000"/>
          <w:sz w:val="24"/>
          <w:szCs w:val="24"/>
          <w:lang w:eastAsia="de-DE"/>
        </w:rPr>
        <w:t>)</w:t>
      </w:r>
      <w:r>
        <w:rPr>
          <w:rFonts w:eastAsia="Times New Roman"/>
          <w:color w:val="000000"/>
          <w:sz w:val="24"/>
          <w:szCs w:val="24"/>
          <w:lang w:eastAsia="de-DE"/>
        </w:rPr>
        <w:t xml:space="preserve"> are given</w:t>
      </w:r>
      <w:r w:rsidR="00E6171A" w:rsidRPr="00D33425">
        <w:rPr>
          <w:rFonts w:eastAsia="Times New Roman"/>
          <w:color w:val="000000"/>
          <w:sz w:val="24"/>
          <w:szCs w:val="24"/>
          <w:lang w:eastAsia="de-DE"/>
        </w:rPr>
        <w:t xml:space="preserve">. At first </w:t>
      </w:r>
      <w:r w:rsidR="004807EC" w:rsidRPr="00D33425">
        <w:rPr>
          <w:rFonts w:eastAsia="Times New Roman"/>
          <w:color w:val="000000"/>
          <w:sz w:val="24"/>
          <w:szCs w:val="24"/>
          <w:lang w:eastAsia="de-DE"/>
        </w:rPr>
        <w:t>hand,</w:t>
      </w:r>
      <w:r w:rsidR="00E6171A" w:rsidRPr="00D33425">
        <w:rPr>
          <w:rFonts w:eastAsia="Times New Roman"/>
          <w:color w:val="000000"/>
          <w:sz w:val="24"/>
          <w:szCs w:val="24"/>
          <w:lang w:eastAsia="de-DE"/>
        </w:rPr>
        <w:t xml:space="preserve"> these seem to be minor problems but inconsistent technical application from uncertainties</w:t>
      </w:r>
      <w:r w:rsidR="00F11100" w:rsidRPr="00D33425">
        <w:rPr>
          <w:rFonts w:eastAsia="Times New Roman"/>
          <w:color w:val="000000"/>
          <w:sz w:val="24"/>
          <w:szCs w:val="24"/>
          <w:lang w:eastAsia="de-DE"/>
        </w:rPr>
        <w:t xml:space="preserve"> in understanding the regulation</w:t>
      </w:r>
      <w:r>
        <w:rPr>
          <w:rFonts w:eastAsia="Times New Roman"/>
          <w:color w:val="000000"/>
          <w:sz w:val="24"/>
          <w:szCs w:val="24"/>
          <w:lang w:eastAsia="de-DE"/>
        </w:rPr>
        <w:t xml:space="preserve"> could result</w:t>
      </w:r>
      <w:r w:rsidR="00127F84" w:rsidRPr="00D33425">
        <w:rPr>
          <w:rFonts w:eastAsia="Times New Roman"/>
          <w:color w:val="000000"/>
          <w:sz w:val="24"/>
          <w:szCs w:val="24"/>
          <w:lang w:eastAsia="de-DE"/>
        </w:rPr>
        <w:t xml:space="preserve">: </w:t>
      </w:r>
    </w:p>
    <w:p w14:paraId="4D52A636" w14:textId="6AE48A32" w:rsidR="000B73DB" w:rsidRPr="00D33425" w:rsidRDefault="000B73DB" w:rsidP="00C27B87">
      <w:pPr>
        <w:pStyle w:val="Listenabsatz"/>
        <w:numPr>
          <w:ilvl w:val="3"/>
          <w:numId w:val="38"/>
        </w:numPr>
        <w:spacing w:after="0" w:line="240" w:lineRule="auto"/>
        <w:ind w:left="426"/>
        <w:jc w:val="left"/>
        <w:rPr>
          <w:rFonts w:eastAsia="Times New Roman"/>
          <w:color w:val="000000"/>
          <w:sz w:val="24"/>
          <w:szCs w:val="24"/>
          <w:lang w:eastAsia="de-DE"/>
        </w:rPr>
      </w:pPr>
      <w:r w:rsidRPr="00D33425">
        <w:rPr>
          <w:rFonts w:eastAsia="Times New Roman"/>
          <w:color w:val="000000"/>
          <w:sz w:val="24"/>
          <w:szCs w:val="24"/>
          <w:lang w:eastAsia="de-DE"/>
        </w:rPr>
        <w:lastRenderedPageBreak/>
        <w:t>Article 3 (page 92):</w:t>
      </w:r>
      <w:r w:rsidRPr="00D33425">
        <w:rPr>
          <w:rFonts w:eastAsia="Times New Roman"/>
          <w:color w:val="000000"/>
          <w:sz w:val="24"/>
          <w:szCs w:val="24"/>
          <w:lang w:eastAsia="de-DE"/>
        </w:rPr>
        <w:tab/>
      </w:r>
      <w:r w:rsidRPr="00D33425">
        <w:rPr>
          <w:rFonts w:eastAsia="Times New Roman"/>
          <w:color w:val="000000"/>
          <w:sz w:val="24"/>
          <w:szCs w:val="24"/>
          <w:lang w:eastAsia="de-DE"/>
        </w:rPr>
        <w:br/>
        <w:t>The first para</w:t>
      </w:r>
      <w:r w:rsidR="00D33425">
        <w:rPr>
          <w:rFonts w:eastAsia="Times New Roman"/>
          <w:color w:val="000000"/>
          <w:sz w:val="24"/>
          <w:szCs w:val="24"/>
          <w:lang w:eastAsia="de-DE"/>
        </w:rPr>
        <w:t>graph</w:t>
      </w:r>
      <w:r w:rsidRPr="00D33425">
        <w:rPr>
          <w:rFonts w:eastAsia="Times New Roman"/>
          <w:color w:val="000000"/>
          <w:sz w:val="24"/>
          <w:szCs w:val="24"/>
          <w:lang w:eastAsia="de-DE"/>
        </w:rPr>
        <w:t xml:space="preserve"> relates to “management report” while the second to “annual financial reports”. </w:t>
      </w:r>
      <w:r w:rsidR="00D33425">
        <w:rPr>
          <w:rFonts w:eastAsia="Times New Roman"/>
          <w:color w:val="000000"/>
          <w:sz w:val="24"/>
          <w:szCs w:val="24"/>
          <w:lang w:eastAsia="de-DE"/>
        </w:rPr>
        <w:t>T</w:t>
      </w:r>
      <w:r w:rsidRPr="00D33425">
        <w:rPr>
          <w:rFonts w:eastAsia="Times New Roman"/>
          <w:color w:val="000000"/>
          <w:sz w:val="24"/>
          <w:szCs w:val="24"/>
          <w:lang w:eastAsia="de-DE"/>
        </w:rPr>
        <w:t xml:space="preserve">he </w:t>
      </w:r>
      <w:r w:rsidR="00D33425">
        <w:rPr>
          <w:rFonts w:eastAsia="Times New Roman"/>
          <w:color w:val="000000"/>
          <w:sz w:val="24"/>
          <w:szCs w:val="24"/>
          <w:lang w:eastAsia="de-DE"/>
        </w:rPr>
        <w:t xml:space="preserve">use of the </w:t>
      </w:r>
      <w:r w:rsidRPr="00D33425">
        <w:rPr>
          <w:rFonts w:eastAsia="Times New Roman"/>
          <w:color w:val="000000"/>
          <w:sz w:val="24"/>
          <w:szCs w:val="24"/>
          <w:lang w:eastAsia="de-DE"/>
        </w:rPr>
        <w:t xml:space="preserve">singular form </w:t>
      </w:r>
      <w:r w:rsidR="00D33425">
        <w:rPr>
          <w:rFonts w:eastAsia="Times New Roman"/>
          <w:color w:val="000000"/>
          <w:sz w:val="24"/>
          <w:szCs w:val="24"/>
          <w:lang w:eastAsia="de-DE"/>
        </w:rPr>
        <w:t xml:space="preserve">is suggested </w:t>
      </w:r>
      <w:r w:rsidRPr="00D33425">
        <w:rPr>
          <w:rFonts w:eastAsia="Times New Roman"/>
          <w:color w:val="000000"/>
          <w:sz w:val="24"/>
          <w:szCs w:val="24"/>
          <w:lang w:eastAsia="de-DE"/>
        </w:rPr>
        <w:t>in para</w:t>
      </w:r>
      <w:r w:rsidR="00D33425">
        <w:rPr>
          <w:rFonts w:eastAsia="Times New Roman"/>
          <w:color w:val="000000"/>
          <w:sz w:val="24"/>
          <w:szCs w:val="24"/>
          <w:lang w:eastAsia="de-DE"/>
        </w:rPr>
        <w:t>graph</w:t>
      </w:r>
      <w:r w:rsidRPr="00D33425">
        <w:rPr>
          <w:rFonts w:eastAsia="Times New Roman"/>
          <w:color w:val="000000"/>
          <w:sz w:val="24"/>
          <w:szCs w:val="24"/>
          <w:lang w:eastAsia="de-DE"/>
        </w:rPr>
        <w:t xml:space="preserve"> 2.</w:t>
      </w:r>
    </w:p>
    <w:p w14:paraId="553206C9" w14:textId="63F7C71A" w:rsidR="000B73DB" w:rsidRPr="00D33425" w:rsidRDefault="000B73DB" w:rsidP="00C27B87">
      <w:pPr>
        <w:pStyle w:val="Listenabsatz"/>
        <w:numPr>
          <w:ilvl w:val="3"/>
          <w:numId w:val="38"/>
        </w:numPr>
        <w:spacing w:after="0" w:line="240" w:lineRule="auto"/>
        <w:ind w:left="426"/>
        <w:jc w:val="left"/>
        <w:rPr>
          <w:rFonts w:eastAsia="Times New Roman"/>
          <w:color w:val="000000"/>
          <w:sz w:val="24"/>
          <w:szCs w:val="24"/>
          <w:lang w:eastAsia="de-DE"/>
        </w:rPr>
      </w:pPr>
      <w:r w:rsidRPr="00D33425">
        <w:rPr>
          <w:rFonts w:eastAsia="Times New Roman"/>
          <w:color w:val="000000"/>
          <w:sz w:val="24"/>
          <w:szCs w:val="24"/>
          <w:lang w:eastAsia="de-DE"/>
        </w:rPr>
        <w:t>Annex III (page 102):</w:t>
      </w:r>
      <w:r w:rsidRPr="00D33425">
        <w:rPr>
          <w:rFonts w:eastAsia="Times New Roman"/>
          <w:color w:val="000000"/>
          <w:sz w:val="24"/>
          <w:szCs w:val="24"/>
          <w:lang w:eastAsia="de-DE"/>
        </w:rPr>
        <w:tab/>
      </w:r>
      <w:r w:rsidRPr="00D33425">
        <w:rPr>
          <w:rFonts w:eastAsia="Times New Roman"/>
          <w:color w:val="000000"/>
          <w:sz w:val="24"/>
          <w:szCs w:val="24"/>
          <w:lang w:eastAsia="de-DE"/>
        </w:rPr>
        <w:br/>
      </w:r>
      <w:r w:rsidR="00B833DD">
        <w:rPr>
          <w:rFonts w:eastAsia="Times New Roman"/>
          <w:color w:val="000000"/>
          <w:sz w:val="24"/>
          <w:szCs w:val="24"/>
          <w:lang w:eastAsia="de-DE"/>
        </w:rPr>
        <w:t>The term “</w:t>
      </w:r>
      <w:r w:rsidRPr="00D33425">
        <w:rPr>
          <w:rFonts w:eastAsia="Times New Roman"/>
          <w:color w:val="000000"/>
          <w:sz w:val="24"/>
          <w:szCs w:val="24"/>
          <w:lang w:eastAsia="de-DE"/>
        </w:rPr>
        <w:t>Issuers</w:t>
      </w:r>
      <w:r w:rsidR="00B833DD">
        <w:rPr>
          <w:rFonts w:eastAsia="Times New Roman"/>
          <w:color w:val="000000"/>
          <w:sz w:val="24"/>
          <w:szCs w:val="24"/>
          <w:lang w:eastAsia="de-DE"/>
        </w:rPr>
        <w:t>”</w:t>
      </w:r>
      <w:r w:rsidRPr="00D33425">
        <w:rPr>
          <w:rFonts w:eastAsia="Times New Roman"/>
          <w:color w:val="000000"/>
          <w:sz w:val="24"/>
          <w:szCs w:val="24"/>
          <w:lang w:eastAsia="de-DE"/>
        </w:rPr>
        <w:t xml:space="preserve"> </w:t>
      </w:r>
      <w:r w:rsidR="00B833DD">
        <w:rPr>
          <w:rFonts w:eastAsia="Times New Roman"/>
          <w:color w:val="000000"/>
          <w:sz w:val="24"/>
          <w:szCs w:val="24"/>
          <w:lang w:eastAsia="de-DE"/>
        </w:rPr>
        <w:t xml:space="preserve">should be replaced </w:t>
      </w:r>
      <w:r w:rsidRPr="00D33425">
        <w:rPr>
          <w:rFonts w:eastAsia="Times New Roman"/>
          <w:color w:val="000000"/>
          <w:sz w:val="24"/>
          <w:szCs w:val="24"/>
          <w:lang w:eastAsia="de-DE"/>
        </w:rPr>
        <w:t xml:space="preserve">with </w:t>
      </w:r>
      <w:r w:rsidR="00B833DD">
        <w:rPr>
          <w:rFonts w:eastAsia="Times New Roman"/>
          <w:color w:val="000000"/>
          <w:sz w:val="24"/>
          <w:szCs w:val="24"/>
          <w:lang w:eastAsia="de-DE"/>
        </w:rPr>
        <w:t>“</w:t>
      </w:r>
      <w:r w:rsidRPr="00D33425">
        <w:rPr>
          <w:rFonts w:eastAsia="Times New Roman"/>
          <w:color w:val="000000"/>
          <w:sz w:val="24"/>
          <w:szCs w:val="24"/>
          <w:lang w:eastAsia="de-DE"/>
        </w:rPr>
        <w:t>Undertakings</w:t>
      </w:r>
      <w:r w:rsidR="00B833DD">
        <w:rPr>
          <w:rFonts w:eastAsia="Times New Roman"/>
          <w:color w:val="000000"/>
          <w:sz w:val="24"/>
          <w:szCs w:val="24"/>
          <w:lang w:eastAsia="de-DE"/>
        </w:rPr>
        <w:t>”</w:t>
      </w:r>
      <w:r w:rsidRPr="00D33425">
        <w:rPr>
          <w:rFonts w:eastAsia="Times New Roman"/>
          <w:color w:val="000000"/>
          <w:sz w:val="24"/>
          <w:szCs w:val="24"/>
          <w:lang w:eastAsia="de-DE"/>
        </w:rPr>
        <w:t xml:space="preserve"> in number 9 and 10.</w:t>
      </w:r>
    </w:p>
    <w:p w14:paraId="3A9776C6" w14:textId="77777777" w:rsidR="00127F84" w:rsidRPr="00AF763D" w:rsidRDefault="00127F84" w:rsidP="006A64ED">
      <w:pPr>
        <w:spacing w:after="0"/>
        <w:rPr>
          <w:sz w:val="20"/>
          <w:szCs w:val="18"/>
        </w:rPr>
      </w:pP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similar to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DD36F1"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624AB951" w14:textId="77777777" w:rsidR="00B833DD" w:rsidRDefault="00B833DD" w:rsidP="00B833DD">
      <w:pPr>
        <w:spacing w:after="0" w:line="240" w:lineRule="auto"/>
        <w:jc w:val="left"/>
        <w:rPr>
          <w:rFonts w:eastAsia="Times New Roman"/>
          <w:color w:val="000000"/>
          <w:sz w:val="24"/>
          <w:szCs w:val="24"/>
          <w:lang w:eastAsia="de-DE"/>
        </w:rPr>
      </w:pPr>
      <w:permStart w:id="1970232525" w:edGrp="everyone"/>
    </w:p>
    <w:p w14:paraId="3232C93E" w14:textId="1163A847" w:rsidR="006078BF" w:rsidRDefault="00B833DD" w:rsidP="00B833DD">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A revision of the marking up rules for the </w:t>
      </w:r>
      <w:r w:rsidRPr="00B833DD">
        <w:rPr>
          <w:rFonts w:eastAsia="Times New Roman"/>
          <w:color w:val="000000"/>
          <w:sz w:val="24"/>
          <w:szCs w:val="24"/>
          <w:lang w:eastAsia="de-DE"/>
        </w:rPr>
        <w:t xml:space="preserve">Notes to the IFRS consolidated financial statements </w:t>
      </w:r>
      <w:r>
        <w:rPr>
          <w:rFonts w:eastAsia="Times New Roman"/>
          <w:color w:val="000000"/>
          <w:sz w:val="24"/>
          <w:szCs w:val="24"/>
          <w:lang w:eastAsia="de-DE"/>
        </w:rPr>
        <w:t xml:space="preserve">is generally </w:t>
      </w:r>
      <w:r w:rsidR="00A74611">
        <w:rPr>
          <w:rFonts w:eastAsia="Times New Roman"/>
          <w:color w:val="000000"/>
          <w:sz w:val="24"/>
          <w:szCs w:val="24"/>
          <w:lang w:eastAsia="de-DE"/>
        </w:rPr>
        <w:t>supported,</w:t>
      </w:r>
      <w:r>
        <w:rPr>
          <w:rFonts w:eastAsia="Times New Roman"/>
          <w:color w:val="000000"/>
          <w:sz w:val="24"/>
          <w:szCs w:val="24"/>
          <w:lang w:eastAsia="de-DE"/>
        </w:rPr>
        <w:t xml:space="preserve"> as the </w:t>
      </w:r>
      <w:r w:rsidR="006078BF" w:rsidRPr="00B833DD">
        <w:rPr>
          <w:rFonts w:eastAsia="Times New Roman"/>
          <w:color w:val="000000"/>
          <w:sz w:val="24"/>
          <w:szCs w:val="24"/>
          <w:lang w:eastAsia="de-DE"/>
        </w:rPr>
        <w:t xml:space="preserve">experience </w:t>
      </w:r>
      <w:r w:rsidR="002324CC">
        <w:rPr>
          <w:rFonts w:eastAsia="Times New Roman"/>
          <w:color w:val="000000"/>
          <w:sz w:val="24"/>
          <w:szCs w:val="24"/>
          <w:lang w:eastAsia="de-DE"/>
        </w:rPr>
        <w:t xml:space="preserve">from </w:t>
      </w:r>
      <w:r>
        <w:rPr>
          <w:rFonts w:eastAsia="Times New Roman"/>
          <w:color w:val="000000"/>
          <w:sz w:val="24"/>
          <w:szCs w:val="24"/>
          <w:lang w:eastAsia="de-DE"/>
        </w:rPr>
        <w:t xml:space="preserve">a statistical user perspective </w:t>
      </w:r>
      <w:r w:rsidR="006078BF" w:rsidRPr="00B833DD">
        <w:rPr>
          <w:rFonts w:eastAsia="Times New Roman"/>
          <w:color w:val="000000"/>
          <w:sz w:val="24"/>
          <w:szCs w:val="24"/>
          <w:lang w:eastAsia="de-DE"/>
        </w:rPr>
        <w:t xml:space="preserve">of IFRS </w:t>
      </w:r>
      <w:r>
        <w:rPr>
          <w:rFonts w:eastAsia="Times New Roman"/>
          <w:color w:val="000000"/>
          <w:sz w:val="24"/>
          <w:szCs w:val="24"/>
          <w:lang w:eastAsia="de-DE"/>
        </w:rPr>
        <w:t xml:space="preserve">notes </w:t>
      </w:r>
      <w:r w:rsidR="006078BF" w:rsidRPr="00B833DD">
        <w:rPr>
          <w:rFonts w:eastAsia="Times New Roman"/>
          <w:color w:val="000000"/>
          <w:sz w:val="24"/>
          <w:szCs w:val="24"/>
          <w:lang w:eastAsia="de-DE"/>
        </w:rPr>
        <w:t xml:space="preserve">is </w:t>
      </w:r>
      <w:r>
        <w:rPr>
          <w:rFonts w:eastAsia="Times New Roman"/>
          <w:color w:val="000000"/>
          <w:sz w:val="24"/>
          <w:szCs w:val="24"/>
          <w:lang w:eastAsia="de-DE"/>
        </w:rPr>
        <w:t xml:space="preserve">also </w:t>
      </w:r>
      <w:r w:rsidR="006078BF" w:rsidRPr="00B833DD">
        <w:rPr>
          <w:rFonts w:eastAsia="Times New Roman"/>
          <w:color w:val="000000"/>
          <w:sz w:val="24"/>
          <w:szCs w:val="24"/>
          <w:lang w:eastAsia="de-DE"/>
        </w:rPr>
        <w:t>less favourable as described in paragraph 11.</w:t>
      </w:r>
      <w:r>
        <w:rPr>
          <w:rFonts w:eastAsia="Times New Roman"/>
          <w:color w:val="000000"/>
          <w:sz w:val="24"/>
          <w:szCs w:val="24"/>
          <w:lang w:eastAsia="de-DE"/>
        </w:rPr>
        <w:t xml:space="preserve"> However, that does not mean that tagging should be considered as not being relevant.</w:t>
      </w:r>
    </w:p>
    <w:p w14:paraId="56A7654C" w14:textId="6EE5FFFB" w:rsidR="00B833DD" w:rsidRDefault="00B833DD" w:rsidP="00B833DD">
      <w:pPr>
        <w:spacing w:after="0" w:line="240" w:lineRule="auto"/>
        <w:jc w:val="left"/>
        <w:rPr>
          <w:rFonts w:eastAsia="Times New Roman"/>
          <w:color w:val="000000"/>
          <w:sz w:val="24"/>
          <w:szCs w:val="24"/>
          <w:lang w:eastAsia="de-DE"/>
        </w:rPr>
      </w:pPr>
    </w:p>
    <w:p w14:paraId="17AC2A06" w14:textId="61CEB991" w:rsidR="006078BF" w:rsidRDefault="00B833DD" w:rsidP="00B833DD">
      <w:pPr>
        <w:spacing w:after="0" w:line="240" w:lineRule="auto"/>
        <w:jc w:val="left"/>
        <w:rPr>
          <w:rFonts w:eastAsia="Times New Roman"/>
          <w:color w:val="000000"/>
          <w:sz w:val="24"/>
          <w:szCs w:val="24"/>
          <w:lang w:eastAsia="de-DE"/>
        </w:rPr>
      </w:pPr>
      <w:r>
        <w:rPr>
          <w:rFonts w:eastAsia="Times New Roman"/>
          <w:color w:val="000000"/>
          <w:sz w:val="24"/>
          <w:szCs w:val="24"/>
          <w:lang w:eastAsia="de-DE"/>
        </w:rPr>
        <w:t>Despite the general support of a revision,</w:t>
      </w:r>
      <w:r w:rsidR="006078BF" w:rsidRPr="00B833DD">
        <w:rPr>
          <w:rFonts w:eastAsia="Times New Roman"/>
          <w:color w:val="000000"/>
          <w:sz w:val="24"/>
          <w:szCs w:val="24"/>
          <w:lang w:eastAsia="de-DE"/>
        </w:rPr>
        <w:t xml:space="preserve"> we would see it disadvantageous if issuers would have less time in the implementation of tagging sustainability information if additional resources would be required for significant changes in marking up IFRS notes</w:t>
      </w:r>
      <w:r>
        <w:rPr>
          <w:rFonts w:eastAsia="Times New Roman"/>
          <w:color w:val="000000"/>
          <w:sz w:val="24"/>
          <w:szCs w:val="24"/>
          <w:lang w:eastAsia="de-DE"/>
        </w:rPr>
        <w:t xml:space="preserve"> at the same time</w:t>
      </w:r>
      <w:r w:rsidR="006078BF" w:rsidRPr="00B833DD">
        <w:rPr>
          <w:rFonts w:eastAsia="Times New Roman"/>
          <w:color w:val="000000"/>
          <w:sz w:val="24"/>
          <w:szCs w:val="24"/>
          <w:lang w:eastAsia="de-DE"/>
        </w:rPr>
        <w:t xml:space="preserve">. </w:t>
      </w:r>
    </w:p>
    <w:p w14:paraId="52B1D80D" w14:textId="0BBA458A" w:rsidR="002324CC" w:rsidRDefault="002324CC" w:rsidP="00B833DD">
      <w:pPr>
        <w:spacing w:after="0" w:line="240" w:lineRule="auto"/>
        <w:jc w:val="left"/>
        <w:rPr>
          <w:rFonts w:eastAsia="Times New Roman"/>
          <w:color w:val="000000"/>
          <w:sz w:val="24"/>
          <w:szCs w:val="24"/>
          <w:lang w:eastAsia="de-DE"/>
        </w:rPr>
      </w:pPr>
    </w:p>
    <w:p w14:paraId="42D4EFF6" w14:textId="147559AB" w:rsidR="006078BF" w:rsidRPr="002324CC" w:rsidRDefault="002324CC" w:rsidP="002324CC">
      <w:pPr>
        <w:spacing w:after="0" w:line="240" w:lineRule="auto"/>
        <w:jc w:val="left"/>
        <w:rPr>
          <w:rFonts w:eastAsia="Times New Roman"/>
          <w:color w:val="000000"/>
          <w:sz w:val="24"/>
          <w:szCs w:val="24"/>
          <w:lang w:eastAsia="de-DE"/>
        </w:rPr>
      </w:pPr>
      <w:r>
        <w:rPr>
          <w:rFonts w:eastAsia="Times New Roman"/>
          <w:color w:val="000000"/>
          <w:sz w:val="24"/>
          <w:szCs w:val="24"/>
          <w:lang w:eastAsia="de-DE"/>
        </w:rPr>
        <w:t>When l</w:t>
      </w:r>
      <w:r w:rsidR="006078BF" w:rsidRPr="002324CC">
        <w:rPr>
          <w:rFonts w:eastAsia="Times New Roman"/>
          <w:color w:val="000000"/>
          <w:sz w:val="24"/>
          <w:szCs w:val="24"/>
          <w:lang w:eastAsia="de-DE"/>
        </w:rPr>
        <w:t>ooking at current practice, block-tagging often result</w:t>
      </w:r>
      <w:r>
        <w:rPr>
          <w:rFonts w:eastAsia="Times New Roman"/>
          <w:color w:val="000000"/>
          <w:sz w:val="24"/>
          <w:szCs w:val="24"/>
          <w:lang w:eastAsia="de-DE"/>
        </w:rPr>
        <w:t>s</w:t>
      </w:r>
      <w:r w:rsidR="006078BF" w:rsidRPr="002324CC">
        <w:rPr>
          <w:rFonts w:eastAsia="Times New Roman"/>
          <w:color w:val="000000"/>
          <w:sz w:val="24"/>
          <w:szCs w:val="24"/>
          <w:lang w:eastAsia="de-DE"/>
        </w:rPr>
        <w:t xml:space="preserve"> in large sections of text being marked up, which can obscure important details. Revising the rules to allow for more granular tagging would enable </w:t>
      </w:r>
      <w:r>
        <w:rPr>
          <w:rFonts w:eastAsia="Times New Roman"/>
          <w:color w:val="000000"/>
          <w:sz w:val="24"/>
          <w:szCs w:val="24"/>
          <w:lang w:eastAsia="de-DE"/>
        </w:rPr>
        <w:t>a better capturing</w:t>
      </w:r>
      <w:r w:rsidR="006078BF" w:rsidRPr="002324CC">
        <w:rPr>
          <w:rFonts w:eastAsia="Times New Roman"/>
          <w:color w:val="000000"/>
          <w:sz w:val="24"/>
          <w:szCs w:val="24"/>
          <w:lang w:eastAsia="de-DE"/>
        </w:rPr>
        <w:t xml:space="preserve"> of specific information, improving the usability of the data. Such detailed tagging can provide greater transparency into the financial statements, allowing users to drill down into specific areas of interest. This can lead to better insights and more informed decision-making.</w:t>
      </w:r>
    </w:p>
    <w:p w14:paraId="562BAC08" w14:textId="77777777" w:rsidR="002324CC" w:rsidRDefault="002324CC" w:rsidP="002324CC">
      <w:pPr>
        <w:spacing w:after="0" w:line="240" w:lineRule="auto"/>
        <w:jc w:val="left"/>
        <w:rPr>
          <w:rFonts w:eastAsia="Times New Roman"/>
          <w:color w:val="000000"/>
          <w:sz w:val="24"/>
          <w:szCs w:val="24"/>
          <w:lang w:eastAsia="de-DE"/>
        </w:rPr>
      </w:pPr>
    </w:p>
    <w:p w14:paraId="7E068AA7" w14:textId="6AA7D967" w:rsidR="006078BF" w:rsidRPr="002324CC" w:rsidRDefault="006078BF" w:rsidP="002324CC">
      <w:pPr>
        <w:spacing w:after="0" w:line="240" w:lineRule="auto"/>
        <w:jc w:val="left"/>
        <w:rPr>
          <w:rFonts w:eastAsia="Times New Roman"/>
          <w:color w:val="000000"/>
          <w:sz w:val="24"/>
          <w:szCs w:val="24"/>
          <w:lang w:eastAsia="de-DE"/>
        </w:rPr>
      </w:pPr>
      <w:r w:rsidRPr="002324CC">
        <w:rPr>
          <w:rFonts w:eastAsia="Times New Roman"/>
          <w:color w:val="000000"/>
          <w:sz w:val="24"/>
          <w:szCs w:val="24"/>
          <w:lang w:eastAsia="de-DE"/>
        </w:rPr>
        <w:t xml:space="preserve">However, one should keep in mind that comparability is a prerequisite for the usefulness of tagging. Therefore, the proposal of detailed marking up from phase two on </w:t>
      </w:r>
      <w:r w:rsidR="002324CC">
        <w:rPr>
          <w:rFonts w:eastAsia="Times New Roman"/>
          <w:color w:val="000000"/>
          <w:sz w:val="24"/>
          <w:szCs w:val="24"/>
          <w:lang w:eastAsia="de-DE"/>
        </w:rPr>
        <w:t xml:space="preserve">is considered </w:t>
      </w:r>
      <w:r w:rsidRPr="002324CC">
        <w:rPr>
          <w:rFonts w:eastAsia="Times New Roman"/>
          <w:color w:val="000000"/>
          <w:sz w:val="24"/>
          <w:szCs w:val="24"/>
          <w:lang w:eastAsia="de-DE"/>
        </w:rPr>
        <w:t xml:space="preserve">only as partially useful and too many extensions </w:t>
      </w:r>
      <w:r w:rsidR="002324CC">
        <w:rPr>
          <w:rFonts w:eastAsia="Times New Roman"/>
          <w:color w:val="000000"/>
          <w:sz w:val="24"/>
          <w:szCs w:val="24"/>
          <w:lang w:eastAsia="de-DE"/>
        </w:rPr>
        <w:t xml:space="preserve">could </w:t>
      </w:r>
      <w:r w:rsidR="00A74611">
        <w:rPr>
          <w:rFonts w:eastAsia="Times New Roman"/>
          <w:color w:val="000000"/>
          <w:sz w:val="24"/>
          <w:szCs w:val="24"/>
          <w:lang w:eastAsia="de-DE"/>
        </w:rPr>
        <w:t>result,</w:t>
      </w:r>
      <w:r w:rsidR="002324CC">
        <w:rPr>
          <w:rFonts w:eastAsia="Times New Roman"/>
          <w:color w:val="000000"/>
          <w:sz w:val="24"/>
          <w:szCs w:val="24"/>
          <w:lang w:eastAsia="de-DE"/>
        </w:rPr>
        <w:t xml:space="preserve"> </w:t>
      </w:r>
      <w:r w:rsidRPr="002324CC">
        <w:rPr>
          <w:rFonts w:eastAsia="Times New Roman"/>
          <w:color w:val="000000"/>
          <w:sz w:val="24"/>
          <w:szCs w:val="24"/>
          <w:lang w:eastAsia="de-DE"/>
        </w:rPr>
        <w:t xml:space="preserve">as the presentation of IFRS </w:t>
      </w:r>
      <w:r w:rsidR="002324CC">
        <w:rPr>
          <w:rFonts w:eastAsia="Times New Roman"/>
          <w:color w:val="000000"/>
          <w:sz w:val="24"/>
          <w:szCs w:val="24"/>
          <w:lang w:eastAsia="de-DE"/>
        </w:rPr>
        <w:t>n</w:t>
      </w:r>
      <w:r w:rsidRPr="002324CC">
        <w:rPr>
          <w:rFonts w:eastAsia="Times New Roman"/>
          <w:color w:val="000000"/>
          <w:sz w:val="24"/>
          <w:szCs w:val="24"/>
          <w:lang w:eastAsia="de-DE"/>
        </w:rPr>
        <w:t xml:space="preserve">otes can be manifold. Thus, if detailed tagging would be </w:t>
      </w:r>
      <w:r w:rsidRPr="002324CC">
        <w:rPr>
          <w:rFonts w:eastAsia="Times New Roman"/>
          <w:color w:val="000000"/>
          <w:sz w:val="24"/>
          <w:szCs w:val="24"/>
          <w:lang w:eastAsia="de-DE"/>
        </w:rPr>
        <w:lastRenderedPageBreak/>
        <w:t xml:space="preserve">introduced, a clear list </w:t>
      </w:r>
      <w:r w:rsidR="00D66A6D">
        <w:rPr>
          <w:rFonts w:eastAsia="Times New Roman"/>
          <w:color w:val="000000"/>
          <w:sz w:val="24"/>
          <w:szCs w:val="24"/>
          <w:lang w:eastAsia="de-DE"/>
        </w:rPr>
        <w:t xml:space="preserve">would be rather </w:t>
      </w:r>
      <w:r w:rsidRPr="002324CC">
        <w:rPr>
          <w:rFonts w:eastAsia="Times New Roman"/>
          <w:color w:val="000000"/>
          <w:sz w:val="24"/>
          <w:szCs w:val="24"/>
          <w:lang w:eastAsia="de-DE"/>
        </w:rPr>
        <w:t xml:space="preserve">beneficial, </w:t>
      </w:r>
      <w:r w:rsidR="00D66A6D">
        <w:rPr>
          <w:rFonts w:eastAsia="Times New Roman"/>
          <w:color w:val="000000"/>
          <w:sz w:val="24"/>
          <w:szCs w:val="24"/>
          <w:lang w:eastAsia="de-DE"/>
        </w:rPr>
        <w:t xml:space="preserve">specifically indicating which parts of </w:t>
      </w:r>
      <w:r w:rsidRPr="002324CC">
        <w:rPr>
          <w:rFonts w:eastAsia="Times New Roman"/>
          <w:color w:val="000000"/>
          <w:sz w:val="24"/>
          <w:szCs w:val="24"/>
          <w:lang w:eastAsia="de-DE"/>
        </w:rPr>
        <w:t xml:space="preserve">the notes would require detailed tagging. Such a list could be potentially determined with the help of a </w:t>
      </w:r>
      <w:r w:rsidR="00D66A6D">
        <w:rPr>
          <w:rFonts w:eastAsia="Times New Roman"/>
          <w:color w:val="000000"/>
          <w:sz w:val="24"/>
          <w:szCs w:val="24"/>
          <w:lang w:eastAsia="de-DE"/>
        </w:rPr>
        <w:t xml:space="preserve">stakeholder’s </w:t>
      </w:r>
      <w:r w:rsidRPr="002324CC">
        <w:rPr>
          <w:rFonts w:eastAsia="Times New Roman"/>
          <w:color w:val="000000"/>
          <w:sz w:val="24"/>
          <w:szCs w:val="24"/>
          <w:lang w:eastAsia="de-DE"/>
        </w:rPr>
        <w:t xml:space="preserve">survey. </w:t>
      </w:r>
    </w:p>
    <w:p w14:paraId="6401DDB0" w14:textId="77777777" w:rsidR="002324CC" w:rsidRDefault="002324CC" w:rsidP="002324CC">
      <w:pPr>
        <w:spacing w:after="0" w:line="240" w:lineRule="auto"/>
        <w:jc w:val="left"/>
        <w:rPr>
          <w:rFonts w:eastAsia="Times New Roman"/>
          <w:color w:val="000000"/>
          <w:sz w:val="24"/>
          <w:szCs w:val="24"/>
          <w:lang w:eastAsia="de-DE"/>
        </w:rPr>
      </w:pPr>
    </w:p>
    <w:p w14:paraId="5C022426" w14:textId="2F5B1324" w:rsidR="006078BF" w:rsidRPr="002324CC" w:rsidRDefault="00D66A6D" w:rsidP="002324CC">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For statistical purposes, </w:t>
      </w:r>
      <w:r w:rsidR="006078BF" w:rsidRPr="002324CC">
        <w:rPr>
          <w:rFonts w:eastAsia="Times New Roman"/>
          <w:color w:val="000000"/>
          <w:sz w:val="24"/>
          <w:szCs w:val="24"/>
          <w:lang w:eastAsia="de-DE"/>
        </w:rPr>
        <w:t xml:space="preserve">the following typical parts of IFRS notes </w:t>
      </w:r>
      <w:r>
        <w:rPr>
          <w:rFonts w:eastAsia="Times New Roman"/>
          <w:color w:val="000000"/>
          <w:sz w:val="24"/>
          <w:szCs w:val="24"/>
          <w:lang w:eastAsia="de-DE"/>
        </w:rPr>
        <w:t xml:space="preserve">are considered </w:t>
      </w:r>
      <w:r w:rsidR="006078BF" w:rsidRPr="002324CC">
        <w:rPr>
          <w:rFonts w:eastAsia="Times New Roman"/>
          <w:color w:val="000000"/>
          <w:sz w:val="24"/>
          <w:szCs w:val="24"/>
          <w:lang w:eastAsia="de-DE"/>
        </w:rPr>
        <w:t>useful for detailed</w:t>
      </w:r>
      <w:r w:rsidR="00EC508E" w:rsidRPr="002324CC">
        <w:rPr>
          <w:rFonts w:eastAsia="Times New Roman"/>
          <w:color w:val="000000"/>
          <w:sz w:val="24"/>
          <w:szCs w:val="24"/>
          <w:lang w:eastAsia="de-DE"/>
        </w:rPr>
        <w:t xml:space="preserve"> tagging</w:t>
      </w:r>
      <w:r w:rsidR="006078BF" w:rsidRPr="002324CC">
        <w:rPr>
          <w:rFonts w:eastAsia="Times New Roman"/>
          <w:color w:val="000000"/>
          <w:sz w:val="24"/>
          <w:szCs w:val="24"/>
          <w:lang w:eastAsia="de-DE"/>
        </w:rPr>
        <w:t>:</w:t>
      </w:r>
    </w:p>
    <w:p w14:paraId="5931ACD4" w14:textId="77777777" w:rsidR="006078BF" w:rsidRPr="00D66A6D" w:rsidRDefault="006078BF" w:rsidP="00C27B87">
      <w:pPr>
        <w:pStyle w:val="Listenabsatz"/>
        <w:numPr>
          <w:ilvl w:val="3"/>
          <w:numId w:val="38"/>
        </w:numPr>
        <w:spacing w:after="0" w:line="240" w:lineRule="auto"/>
        <w:ind w:left="426"/>
        <w:jc w:val="left"/>
        <w:rPr>
          <w:rFonts w:eastAsia="Times New Roman"/>
          <w:color w:val="000000"/>
          <w:sz w:val="24"/>
          <w:szCs w:val="24"/>
          <w:lang w:eastAsia="de-DE"/>
        </w:rPr>
      </w:pPr>
      <w:r w:rsidRPr="00D66A6D">
        <w:rPr>
          <w:rFonts w:eastAsia="Times New Roman"/>
          <w:color w:val="000000"/>
          <w:sz w:val="24"/>
          <w:szCs w:val="24"/>
          <w:lang w:eastAsia="de-DE"/>
        </w:rPr>
        <w:t xml:space="preserve">Information on the scope of consolidation, i.e. the list of subsidiaries, joint ventures and associates (some national standard setters already have experience in that sense, e.g. the Ministry of Justice and Business Registers in Spain already require that kind of information for listed and non-listed groups). </w:t>
      </w:r>
    </w:p>
    <w:p w14:paraId="61C037DA" w14:textId="77777777" w:rsidR="006078BF" w:rsidRPr="00D66A6D" w:rsidRDefault="006078BF" w:rsidP="00C27B87">
      <w:pPr>
        <w:pStyle w:val="Listenabsatz"/>
        <w:numPr>
          <w:ilvl w:val="3"/>
          <w:numId w:val="38"/>
        </w:numPr>
        <w:spacing w:after="0" w:line="240" w:lineRule="auto"/>
        <w:ind w:left="426"/>
        <w:jc w:val="left"/>
        <w:rPr>
          <w:rFonts w:eastAsia="Times New Roman"/>
          <w:color w:val="000000"/>
          <w:sz w:val="24"/>
          <w:szCs w:val="24"/>
          <w:lang w:eastAsia="de-DE"/>
        </w:rPr>
      </w:pPr>
      <w:r w:rsidRPr="00D66A6D">
        <w:rPr>
          <w:rFonts w:eastAsia="Times New Roman"/>
          <w:color w:val="000000"/>
          <w:sz w:val="24"/>
          <w:szCs w:val="24"/>
          <w:lang w:eastAsia="de-DE"/>
        </w:rPr>
        <w:t>With regard to sustainability reporting, entities should be required to indicate if the scope of consolidation differs.</w:t>
      </w:r>
    </w:p>
    <w:p w14:paraId="262B832F" w14:textId="77777777" w:rsidR="006078BF" w:rsidRPr="00D66A6D" w:rsidRDefault="006078BF" w:rsidP="00C27B87">
      <w:pPr>
        <w:pStyle w:val="Listenabsatz"/>
        <w:numPr>
          <w:ilvl w:val="3"/>
          <w:numId w:val="38"/>
        </w:numPr>
        <w:spacing w:after="0" w:line="240" w:lineRule="auto"/>
        <w:ind w:left="426"/>
        <w:jc w:val="left"/>
        <w:rPr>
          <w:rFonts w:eastAsia="Times New Roman"/>
          <w:color w:val="000000"/>
          <w:sz w:val="24"/>
          <w:szCs w:val="24"/>
          <w:lang w:eastAsia="de-DE"/>
        </w:rPr>
      </w:pPr>
      <w:r w:rsidRPr="00D66A6D">
        <w:rPr>
          <w:rFonts w:eastAsia="Times New Roman"/>
          <w:color w:val="000000"/>
          <w:sz w:val="24"/>
          <w:szCs w:val="24"/>
          <w:lang w:eastAsia="de-DE"/>
        </w:rPr>
        <w:t xml:space="preserve">Detailed tagging in the notes would be very helpful for the breakdown of values that are presented in the primary statements, for example the breakdown of other operating income/expenses or the breakdown of other current assets/liabilities. </w:t>
      </w:r>
    </w:p>
    <w:p w14:paraId="2FD65E57" w14:textId="03911E46" w:rsidR="00F9015D" w:rsidRDefault="00F9015D" w:rsidP="00C27B87">
      <w:pPr>
        <w:pStyle w:val="Listenabsatz"/>
        <w:numPr>
          <w:ilvl w:val="3"/>
          <w:numId w:val="38"/>
        </w:numPr>
        <w:spacing w:after="0" w:line="240" w:lineRule="auto"/>
        <w:ind w:left="426"/>
        <w:jc w:val="left"/>
        <w:rPr>
          <w:rFonts w:eastAsia="Times New Roman"/>
          <w:color w:val="000000"/>
          <w:sz w:val="24"/>
          <w:szCs w:val="24"/>
          <w:lang w:eastAsia="de-DE"/>
        </w:rPr>
      </w:pPr>
      <w:r>
        <w:rPr>
          <w:rFonts w:eastAsia="Times New Roman"/>
          <w:color w:val="000000"/>
          <w:sz w:val="24"/>
          <w:szCs w:val="24"/>
          <w:lang w:eastAsia="de-DE"/>
        </w:rPr>
        <w:t>D</w:t>
      </w:r>
      <w:r w:rsidRPr="00F9015D">
        <w:rPr>
          <w:rFonts w:eastAsia="Times New Roman"/>
          <w:color w:val="000000"/>
          <w:sz w:val="24"/>
          <w:szCs w:val="24"/>
          <w:lang w:eastAsia="de-DE"/>
        </w:rPr>
        <w:t xml:space="preserve">isclosure of the average number of employees during the financial year, </w:t>
      </w:r>
      <w:r>
        <w:rPr>
          <w:rFonts w:eastAsia="Times New Roman"/>
          <w:color w:val="000000"/>
          <w:sz w:val="24"/>
          <w:szCs w:val="24"/>
          <w:lang w:eastAsia="de-DE"/>
        </w:rPr>
        <w:t xml:space="preserve">if possible as well marking up the breakdown </w:t>
      </w:r>
      <w:r w:rsidRPr="00F9015D">
        <w:rPr>
          <w:rFonts w:eastAsia="Times New Roman"/>
          <w:color w:val="000000"/>
          <w:sz w:val="24"/>
          <w:szCs w:val="24"/>
          <w:lang w:eastAsia="de-DE"/>
        </w:rPr>
        <w:t>by categories</w:t>
      </w:r>
      <w:r>
        <w:rPr>
          <w:rFonts w:eastAsia="Times New Roman"/>
          <w:color w:val="000000"/>
          <w:sz w:val="24"/>
          <w:szCs w:val="24"/>
          <w:lang w:eastAsia="de-DE"/>
        </w:rPr>
        <w:t>.</w:t>
      </w:r>
    </w:p>
    <w:p w14:paraId="6E546582" w14:textId="1B3A8A3F" w:rsidR="006078BF" w:rsidRPr="00D66A6D" w:rsidRDefault="00A74611" w:rsidP="00C27B87">
      <w:pPr>
        <w:pStyle w:val="Listenabsatz"/>
        <w:numPr>
          <w:ilvl w:val="3"/>
          <w:numId w:val="38"/>
        </w:numPr>
        <w:spacing w:after="0" w:line="240" w:lineRule="auto"/>
        <w:ind w:left="426"/>
        <w:jc w:val="left"/>
        <w:rPr>
          <w:rFonts w:eastAsia="Times New Roman"/>
          <w:color w:val="000000"/>
          <w:sz w:val="24"/>
          <w:szCs w:val="24"/>
          <w:lang w:eastAsia="de-DE"/>
        </w:rPr>
      </w:pPr>
      <w:r w:rsidRPr="00D66A6D">
        <w:rPr>
          <w:rFonts w:eastAsia="Times New Roman"/>
          <w:color w:val="000000"/>
          <w:sz w:val="24"/>
          <w:szCs w:val="24"/>
          <w:lang w:eastAsia="de-DE"/>
        </w:rPr>
        <w:t>The</w:t>
      </w:r>
      <w:r w:rsidR="006078BF" w:rsidRPr="00D66A6D">
        <w:rPr>
          <w:rFonts w:eastAsia="Times New Roman"/>
          <w:color w:val="000000"/>
          <w:sz w:val="24"/>
          <w:szCs w:val="24"/>
          <w:lang w:eastAsia="de-DE"/>
        </w:rPr>
        <w:t xml:space="preserve"> fixed asset schedule.</w:t>
      </w:r>
    </w:p>
    <w:p w14:paraId="36C71859" w14:textId="40BF2636" w:rsidR="006078BF" w:rsidRPr="00D66A6D" w:rsidRDefault="006078BF" w:rsidP="00C27B87">
      <w:pPr>
        <w:pStyle w:val="Listenabsatz"/>
        <w:numPr>
          <w:ilvl w:val="3"/>
          <w:numId w:val="38"/>
        </w:numPr>
        <w:spacing w:after="0" w:line="240" w:lineRule="auto"/>
        <w:ind w:left="426"/>
        <w:jc w:val="left"/>
        <w:rPr>
          <w:rFonts w:eastAsia="Times New Roman"/>
          <w:color w:val="000000"/>
          <w:sz w:val="24"/>
          <w:szCs w:val="24"/>
          <w:lang w:eastAsia="de-DE"/>
        </w:rPr>
      </w:pPr>
      <w:r w:rsidRPr="00D66A6D">
        <w:rPr>
          <w:rFonts w:eastAsia="Times New Roman"/>
          <w:color w:val="000000"/>
          <w:sz w:val="24"/>
          <w:szCs w:val="24"/>
          <w:lang w:eastAsia="de-DE"/>
        </w:rPr>
        <w:t xml:space="preserve">The elements “Name of parent entity” and “Name of ultimate parent of group”. These </w:t>
      </w:r>
      <w:r w:rsidR="00D66A6D">
        <w:rPr>
          <w:rFonts w:eastAsia="Times New Roman"/>
          <w:color w:val="000000"/>
          <w:sz w:val="24"/>
          <w:szCs w:val="24"/>
          <w:lang w:eastAsia="de-DE"/>
        </w:rPr>
        <w:t xml:space="preserve">elements </w:t>
      </w:r>
      <w:r w:rsidRPr="00D66A6D">
        <w:rPr>
          <w:rFonts w:eastAsia="Times New Roman"/>
          <w:color w:val="000000"/>
          <w:sz w:val="24"/>
          <w:szCs w:val="24"/>
          <w:lang w:eastAsia="de-DE"/>
        </w:rPr>
        <w:t>ensure that entities within a corporate group are uniquely identified preventing the same entity from being counted multiple times in aggregates</w:t>
      </w:r>
      <w:r w:rsidR="00D66A6D">
        <w:rPr>
          <w:rFonts w:eastAsia="Times New Roman"/>
          <w:color w:val="000000"/>
          <w:sz w:val="24"/>
          <w:szCs w:val="24"/>
          <w:lang w:eastAsia="de-DE"/>
        </w:rPr>
        <w:t>.</w:t>
      </w:r>
    </w:p>
    <w:p w14:paraId="779A37A0" w14:textId="4074483F" w:rsidR="006303F0" w:rsidRPr="00D66A6D" w:rsidRDefault="006078BF" w:rsidP="00C27B87">
      <w:pPr>
        <w:pStyle w:val="Listenabsatz"/>
        <w:numPr>
          <w:ilvl w:val="1"/>
          <w:numId w:val="37"/>
        </w:numPr>
        <w:spacing w:after="0"/>
        <w:ind w:left="851" w:hanging="425"/>
        <w:jc w:val="left"/>
        <w:rPr>
          <w:sz w:val="24"/>
          <w:szCs w:val="18"/>
        </w:rPr>
      </w:pPr>
      <w:r w:rsidRPr="00D66A6D">
        <w:rPr>
          <w:sz w:val="24"/>
          <w:szCs w:val="18"/>
        </w:rPr>
        <w:t xml:space="preserve">When tagging this information, the provision of an identification attribute – particularly the LEI if available - would be advantageous. </w:t>
      </w:r>
      <w:r w:rsidR="00A74611" w:rsidRPr="00D66A6D">
        <w:rPr>
          <w:sz w:val="24"/>
          <w:szCs w:val="18"/>
        </w:rPr>
        <w:t>Thus,</w:t>
      </w:r>
      <w:r w:rsidRPr="00D66A6D">
        <w:rPr>
          <w:sz w:val="24"/>
          <w:szCs w:val="18"/>
        </w:rPr>
        <w:t xml:space="preserve"> ESMA </w:t>
      </w:r>
      <w:r w:rsidR="00D66A6D">
        <w:rPr>
          <w:sz w:val="24"/>
          <w:szCs w:val="18"/>
        </w:rPr>
        <w:t>c</w:t>
      </w:r>
      <w:r w:rsidRPr="00D66A6D">
        <w:rPr>
          <w:sz w:val="24"/>
          <w:szCs w:val="18"/>
        </w:rPr>
        <w:t>ould consider whether such identification element</w:t>
      </w:r>
      <w:r w:rsidR="00D66A6D">
        <w:rPr>
          <w:sz w:val="24"/>
          <w:szCs w:val="18"/>
        </w:rPr>
        <w:t>s</w:t>
      </w:r>
      <w:r w:rsidRPr="00D66A6D">
        <w:rPr>
          <w:sz w:val="24"/>
          <w:szCs w:val="18"/>
        </w:rPr>
        <w:t xml:space="preserve"> should be included</w:t>
      </w:r>
      <w:r w:rsidR="00D66A6D">
        <w:rPr>
          <w:sz w:val="24"/>
          <w:szCs w:val="18"/>
        </w:rPr>
        <w:t xml:space="preserve"> in </w:t>
      </w:r>
      <w:r w:rsidR="00D66A6D" w:rsidRPr="00D66A6D">
        <w:rPr>
          <w:sz w:val="24"/>
          <w:szCs w:val="18"/>
        </w:rPr>
        <w:t>the current taxonomy</w:t>
      </w:r>
      <w:r w:rsidRPr="00D66A6D">
        <w:rPr>
          <w:sz w:val="24"/>
          <w:szCs w:val="18"/>
        </w:rPr>
        <w:t xml:space="preserve">. </w:t>
      </w:r>
    </w:p>
    <w:p w14:paraId="0AAFF68D" w14:textId="23211B33" w:rsidR="006303F0" w:rsidRDefault="006303F0" w:rsidP="00C27B87">
      <w:pPr>
        <w:pStyle w:val="Listenabsatz"/>
        <w:numPr>
          <w:ilvl w:val="1"/>
          <w:numId w:val="37"/>
        </w:numPr>
        <w:spacing w:after="0"/>
        <w:ind w:left="851" w:hanging="425"/>
        <w:jc w:val="left"/>
        <w:rPr>
          <w:sz w:val="24"/>
          <w:szCs w:val="18"/>
        </w:rPr>
      </w:pPr>
      <w:r w:rsidRPr="00D66A6D">
        <w:rPr>
          <w:sz w:val="24"/>
          <w:szCs w:val="18"/>
        </w:rPr>
        <w:t xml:space="preserve">ESMA’s proposal that </w:t>
      </w:r>
      <w:r w:rsidR="00D66A6D">
        <w:rPr>
          <w:sz w:val="24"/>
          <w:szCs w:val="18"/>
        </w:rPr>
        <w:t xml:space="preserve">reporting </w:t>
      </w:r>
      <w:r w:rsidRPr="00D66A6D">
        <w:rPr>
          <w:sz w:val="24"/>
          <w:szCs w:val="18"/>
        </w:rPr>
        <w:t>undertakings should identify themselves with the LEI in the reporting package</w:t>
      </w:r>
      <w:r w:rsidR="00D66A6D">
        <w:rPr>
          <w:sz w:val="24"/>
          <w:szCs w:val="18"/>
        </w:rPr>
        <w:t xml:space="preserve"> is welcomed</w:t>
      </w:r>
      <w:r w:rsidRPr="00D66A6D">
        <w:rPr>
          <w:sz w:val="24"/>
          <w:szCs w:val="18"/>
        </w:rPr>
        <w:t>.</w:t>
      </w:r>
      <w:r w:rsidR="00D66A6D">
        <w:rPr>
          <w:sz w:val="24"/>
          <w:szCs w:val="18"/>
        </w:rPr>
        <w:t xml:space="preserve"> </w:t>
      </w:r>
      <w:r w:rsidR="00D66A6D" w:rsidRPr="00D66A6D">
        <w:rPr>
          <w:sz w:val="24"/>
          <w:szCs w:val="18"/>
        </w:rPr>
        <w:t>The use of the LEI ensures transparency and traceability in reporting and transactions</w:t>
      </w:r>
      <w:r w:rsidR="00D66A6D">
        <w:rPr>
          <w:sz w:val="24"/>
          <w:szCs w:val="18"/>
        </w:rPr>
        <w:t>,</w:t>
      </w:r>
      <w:r w:rsidR="00D66A6D" w:rsidRPr="00D66A6D">
        <w:rPr>
          <w:sz w:val="24"/>
          <w:szCs w:val="18"/>
        </w:rPr>
        <w:t xml:space="preserve"> assessing more accurately financial and legal </w:t>
      </w:r>
      <w:r w:rsidR="00D66A6D">
        <w:rPr>
          <w:sz w:val="24"/>
          <w:szCs w:val="18"/>
        </w:rPr>
        <w:t xml:space="preserve">performance and </w:t>
      </w:r>
      <w:r w:rsidR="00D66A6D" w:rsidRPr="00D66A6D">
        <w:rPr>
          <w:sz w:val="24"/>
          <w:szCs w:val="18"/>
        </w:rPr>
        <w:t>risks.</w:t>
      </w:r>
    </w:p>
    <w:p w14:paraId="481D34CA" w14:textId="09080D6A" w:rsidR="00D66A6D" w:rsidRPr="00D66A6D" w:rsidRDefault="00D66A6D" w:rsidP="00C27B87">
      <w:pPr>
        <w:pStyle w:val="Listenabsatz"/>
        <w:numPr>
          <w:ilvl w:val="1"/>
          <w:numId w:val="37"/>
        </w:numPr>
        <w:spacing w:after="0"/>
        <w:ind w:left="851" w:hanging="425"/>
        <w:jc w:val="left"/>
        <w:rPr>
          <w:sz w:val="24"/>
          <w:szCs w:val="18"/>
        </w:rPr>
      </w:pPr>
      <w:r>
        <w:rPr>
          <w:sz w:val="24"/>
          <w:szCs w:val="18"/>
        </w:rPr>
        <w:t xml:space="preserve">In this </w:t>
      </w:r>
      <w:r w:rsidR="00A74611">
        <w:rPr>
          <w:sz w:val="24"/>
          <w:szCs w:val="18"/>
        </w:rPr>
        <w:t>respect,</w:t>
      </w:r>
      <w:r>
        <w:rPr>
          <w:sz w:val="24"/>
          <w:szCs w:val="18"/>
        </w:rPr>
        <w:t xml:space="preserve"> we want to </w:t>
      </w:r>
      <w:r w:rsidR="0018511D">
        <w:rPr>
          <w:sz w:val="24"/>
          <w:szCs w:val="18"/>
        </w:rPr>
        <w:t xml:space="preserve">draw attention to </w:t>
      </w:r>
      <w:r>
        <w:rPr>
          <w:sz w:val="24"/>
          <w:szCs w:val="18"/>
        </w:rPr>
        <w:t xml:space="preserve">our </w:t>
      </w:r>
      <w:r w:rsidRPr="00D66A6D">
        <w:rPr>
          <w:sz w:val="24"/>
          <w:szCs w:val="18"/>
        </w:rPr>
        <w:t>Opinion on the LEI</w:t>
      </w:r>
      <w:r>
        <w:rPr>
          <w:sz w:val="24"/>
          <w:szCs w:val="18"/>
        </w:rPr>
        <w:t xml:space="preserve">, </w:t>
      </w:r>
      <w:r w:rsidRPr="00D66A6D">
        <w:rPr>
          <w:sz w:val="24"/>
          <w:szCs w:val="18"/>
        </w:rPr>
        <w:t>accessible under</w:t>
      </w:r>
      <w:r>
        <w:rPr>
          <w:sz w:val="24"/>
          <w:szCs w:val="18"/>
        </w:rPr>
        <w:t xml:space="preserve"> </w:t>
      </w:r>
      <w:hyperlink r:id="rId31" w:history="1">
        <w:r>
          <w:rPr>
            <w:rStyle w:val="Hyperlink"/>
          </w:rPr>
          <w:t>2023-06-03 - CMFB opinion on the LEI.pdf</w:t>
        </w:r>
      </w:hyperlink>
      <w:r>
        <w:rPr>
          <w:rStyle w:val="Hyperlink"/>
        </w:rPr>
        <w:t>.</w:t>
      </w:r>
    </w:p>
    <w:p w14:paraId="662D1324" w14:textId="77777777" w:rsidR="0081324E" w:rsidRPr="00026E66" w:rsidRDefault="0081324E" w:rsidP="006E7DEB">
      <w:pPr>
        <w:spacing w:after="160" w:line="259" w:lineRule="auto"/>
        <w:jc w:val="left"/>
      </w:pP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092BBFD8" w14:textId="77777777" w:rsidR="00704574" w:rsidRDefault="00704574" w:rsidP="00704574">
      <w:pPr>
        <w:spacing w:after="0" w:line="240" w:lineRule="auto"/>
        <w:jc w:val="left"/>
        <w:rPr>
          <w:rFonts w:eastAsia="Times New Roman"/>
          <w:color w:val="000000"/>
          <w:sz w:val="24"/>
          <w:szCs w:val="24"/>
          <w:lang w:eastAsia="de-DE"/>
        </w:rPr>
      </w:pPr>
      <w:permStart w:id="481916913" w:edGrp="everyone"/>
    </w:p>
    <w:p w14:paraId="170277F5" w14:textId="4A286ACE" w:rsidR="006A64ED" w:rsidRDefault="00BF7ABD" w:rsidP="00704574">
      <w:pPr>
        <w:spacing w:after="0" w:line="240" w:lineRule="auto"/>
        <w:jc w:val="left"/>
        <w:rPr>
          <w:rFonts w:eastAsia="Times New Roman"/>
          <w:color w:val="000000"/>
          <w:sz w:val="24"/>
          <w:szCs w:val="24"/>
          <w:lang w:eastAsia="de-DE"/>
        </w:rPr>
      </w:pPr>
      <w:r w:rsidRPr="00704574">
        <w:rPr>
          <w:rFonts w:eastAsia="Times New Roman"/>
          <w:color w:val="000000"/>
          <w:sz w:val="24"/>
          <w:szCs w:val="24"/>
          <w:lang w:eastAsia="de-DE"/>
        </w:rPr>
        <w:t>W</w:t>
      </w:r>
      <w:r w:rsidR="00704574">
        <w:rPr>
          <w:rFonts w:eastAsia="Times New Roman"/>
          <w:color w:val="000000"/>
          <w:sz w:val="24"/>
          <w:szCs w:val="24"/>
          <w:lang w:eastAsia="de-DE"/>
        </w:rPr>
        <w:t xml:space="preserve">ith regard to the proposed timeline, </w:t>
      </w:r>
      <w:r w:rsidRPr="00704574">
        <w:rPr>
          <w:rFonts w:eastAsia="Times New Roman"/>
          <w:color w:val="000000"/>
          <w:sz w:val="24"/>
          <w:szCs w:val="24"/>
          <w:lang w:eastAsia="de-DE"/>
        </w:rPr>
        <w:t xml:space="preserve">an alignment with ESRS </w:t>
      </w:r>
      <w:r w:rsidR="006B41BC" w:rsidRPr="00704574">
        <w:rPr>
          <w:rFonts w:eastAsia="Times New Roman"/>
          <w:color w:val="000000"/>
          <w:sz w:val="24"/>
          <w:szCs w:val="24"/>
          <w:lang w:eastAsia="de-DE"/>
        </w:rPr>
        <w:t xml:space="preserve">and Article 8 </w:t>
      </w:r>
      <w:r w:rsidR="00704574">
        <w:rPr>
          <w:rFonts w:eastAsia="Times New Roman"/>
          <w:color w:val="000000"/>
          <w:sz w:val="24"/>
          <w:szCs w:val="24"/>
          <w:lang w:eastAsia="de-DE"/>
        </w:rPr>
        <w:t>tagging is preferred</w:t>
      </w:r>
      <w:r w:rsidR="00B63732">
        <w:rPr>
          <w:rFonts w:eastAsia="Times New Roman"/>
          <w:color w:val="000000"/>
          <w:sz w:val="24"/>
          <w:szCs w:val="24"/>
          <w:lang w:eastAsia="de-DE"/>
        </w:rPr>
        <w:t xml:space="preserve"> from a statistical perspective</w:t>
      </w:r>
      <w:r w:rsidRPr="00704574">
        <w:rPr>
          <w:rFonts w:eastAsia="Times New Roman"/>
          <w:color w:val="000000"/>
          <w:sz w:val="24"/>
          <w:szCs w:val="24"/>
          <w:lang w:eastAsia="de-DE"/>
        </w:rPr>
        <w:t>.</w:t>
      </w:r>
    </w:p>
    <w:p w14:paraId="27BAF8A5" w14:textId="77777777" w:rsidR="00704574" w:rsidRPr="00704574" w:rsidRDefault="00704574" w:rsidP="00704574">
      <w:pPr>
        <w:spacing w:after="0" w:line="240" w:lineRule="auto"/>
        <w:jc w:val="left"/>
        <w:rPr>
          <w:rFonts w:eastAsia="Times New Roman"/>
          <w:color w:val="000000"/>
          <w:sz w:val="24"/>
          <w:szCs w:val="24"/>
          <w:lang w:eastAsia="de-DE"/>
        </w:rPr>
      </w:pP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w:t>
      </w:r>
      <w:r w:rsidRPr="006A64ED">
        <w:rPr>
          <w:rFonts w:eastAsia="Times New Roman"/>
          <w:color w:val="auto"/>
          <w:szCs w:val="22"/>
          <w:lang w:eastAsia="en-GB"/>
        </w:rPr>
        <w:lastRenderedPageBreak/>
        <w:t xml:space="preserve">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6C219951" w14:textId="77777777" w:rsidR="00D9396A" w:rsidRDefault="00D9396A" w:rsidP="00D9396A">
      <w:pPr>
        <w:spacing w:after="0" w:line="240" w:lineRule="auto"/>
        <w:jc w:val="left"/>
        <w:rPr>
          <w:rFonts w:eastAsia="Times New Roman"/>
          <w:color w:val="000000"/>
          <w:sz w:val="24"/>
          <w:szCs w:val="24"/>
          <w:lang w:eastAsia="de-DE"/>
        </w:rPr>
      </w:pPr>
      <w:permStart w:id="662070572" w:edGrp="everyone"/>
    </w:p>
    <w:p w14:paraId="471B4256" w14:textId="16433823" w:rsidR="006A64ED" w:rsidRDefault="00D9396A" w:rsidP="00D9396A">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With regard to </w:t>
      </w:r>
      <w:r w:rsidRPr="00D9396A">
        <w:rPr>
          <w:rFonts w:eastAsia="Times New Roman"/>
          <w:color w:val="000000"/>
          <w:sz w:val="24"/>
          <w:szCs w:val="24"/>
          <w:lang w:eastAsia="de-DE"/>
        </w:rPr>
        <w:t xml:space="preserve">text block mark </w:t>
      </w:r>
      <w:r>
        <w:rPr>
          <w:rFonts w:eastAsia="Times New Roman"/>
          <w:color w:val="000000"/>
          <w:sz w:val="24"/>
          <w:szCs w:val="24"/>
          <w:lang w:eastAsia="de-DE"/>
        </w:rPr>
        <w:t xml:space="preserve">in IFRS notes, such tagging </w:t>
      </w:r>
      <w:r w:rsidRPr="00D9396A">
        <w:rPr>
          <w:rFonts w:eastAsia="Times New Roman"/>
          <w:color w:val="000000"/>
          <w:sz w:val="24"/>
          <w:szCs w:val="24"/>
          <w:lang w:eastAsia="de-DE"/>
        </w:rPr>
        <w:t xml:space="preserve">is only of limited use </w:t>
      </w:r>
      <w:r>
        <w:rPr>
          <w:rFonts w:eastAsia="Times New Roman"/>
          <w:color w:val="000000"/>
          <w:sz w:val="24"/>
          <w:szCs w:val="24"/>
          <w:lang w:eastAsia="de-DE"/>
        </w:rPr>
        <w:t>f</w:t>
      </w:r>
      <w:r w:rsidR="000C3A1F" w:rsidRPr="00D9396A">
        <w:rPr>
          <w:rFonts w:eastAsia="Times New Roman"/>
          <w:color w:val="000000"/>
          <w:sz w:val="24"/>
          <w:szCs w:val="24"/>
          <w:lang w:eastAsia="de-DE"/>
        </w:rPr>
        <w:t>r</w:t>
      </w:r>
      <w:r w:rsidR="006203D1" w:rsidRPr="00D9396A">
        <w:rPr>
          <w:rFonts w:eastAsia="Times New Roman"/>
          <w:color w:val="000000"/>
          <w:sz w:val="24"/>
          <w:szCs w:val="24"/>
          <w:lang w:eastAsia="de-DE"/>
        </w:rPr>
        <w:t xml:space="preserve">om </w:t>
      </w:r>
      <w:r>
        <w:rPr>
          <w:rFonts w:eastAsia="Times New Roman"/>
          <w:color w:val="000000"/>
          <w:sz w:val="24"/>
          <w:szCs w:val="24"/>
          <w:lang w:eastAsia="de-DE"/>
        </w:rPr>
        <w:t xml:space="preserve">a </w:t>
      </w:r>
      <w:r w:rsidR="00C63F20" w:rsidRPr="00D9396A">
        <w:rPr>
          <w:rFonts w:eastAsia="Times New Roman"/>
          <w:color w:val="000000"/>
          <w:sz w:val="24"/>
          <w:szCs w:val="24"/>
          <w:lang w:eastAsia="de-DE"/>
        </w:rPr>
        <w:t xml:space="preserve">statistical user </w:t>
      </w:r>
      <w:r w:rsidR="006203D1" w:rsidRPr="00D9396A">
        <w:rPr>
          <w:rFonts w:eastAsia="Times New Roman"/>
          <w:color w:val="000000"/>
          <w:sz w:val="24"/>
          <w:szCs w:val="24"/>
          <w:lang w:eastAsia="de-DE"/>
        </w:rPr>
        <w:t>perspective</w:t>
      </w:r>
      <w:r w:rsidR="000C3A1F" w:rsidRPr="00D9396A">
        <w:rPr>
          <w:rFonts w:eastAsia="Times New Roman"/>
          <w:color w:val="000000"/>
          <w:sz w:val="24"/>
          <w:szCs w:val="24"/>
          <w:lang w:eastAsia="de-DE"/>
        </w:rPr>
        <w:t>.</w:t>
      </w:r>
    </w:p>
    <w:p w14:paraId="258D4D34" w14:textId="77777777" w:rsidR="00D9396A" w:rsidRPr="00D9396A" w:rsidRDefault="00D9396A" w:rsidP="00D9396A">
      <w:pPr>
        <w:spacing w:after="0" w:line="240" w:lineRule="auto"/>
        <w:jc w:val="left"/>
        <w:rPr>
          <w:rFonts w:eastAsia="Times New Roman"/>
          <w:color w:val="000000"/>
          <w:sz w:val="24"/>
          <w:szCs w:val="24"/>
          <w:lang w:eastAsia="de-DE"/>
        </w:rPr>
      </w:pP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FE3F11C" w14:textId="77777777" w:rsidR="00514898" w:rsidRDefault="00514898" w:rsidP="00514898">
      <w:pPr>
        <w:spacing w:after="0" w:line="240" w:lineRule="auto"/>
        <w:jc w:val="left"/>
        <w:rPr>
          <w:rFonts w:eastAsia="Times New Roman"/>
          <w:color w:val="000000"/>
          <w:sz w:val="24"/>
          <w:szCs w:val="24"/>
          <w:lang w:eastAsia="de-DE"/>
        </w:rPr>
      </w:pPr>
      <w:permStart w:id="419173650" w:edGrp="everyone"/>
    </w:p>
    <w:p w14:paraId="08413118" w14:textId="4078F55D" w:rsidR="00127F84" w:rsidRPr="00514898" w:rsidRDefault="00514898" w:rsidP="00514898">
      <w:pPr>
        <w:spacing w:after="0" w:line="240" w:lineRule="auto"/>
        <w:jc w:val="left"/>
        <w:rPr>
          <w:rFonts w:eastAsia="Times New Roman"/>
          <w:color w:val="000000"/>
          <w:sz w:val="24"/>
          <w:szCs w:val="24"/>
          <w:lang w:eastAsia="de-DE"/>
        </w:rPr>
      </w:pPr>
      <w:r>
        <w:rPr>
          <w:rFonts w:eastAsia="Times New Roman"/>
          <w:color w:val="000000"/>
          <w:sz w:val="24"/>
          <w:szCs w:val="24"/>
          <w:lang w:eastAsia="de-DE"/>
        </w:rPr>
        <w:t>With regard to monetary data</w:t>
      </w:r>
      <w:r w:rsidR="00B63732">
        <w:rPr>
          <w:rFonts w:eastAsia="Times New Roman"/>
          <w:color w:val="000000"/>
          <w:sz w:val="24"/>
          <w:szCs w:val="24"/>
          <w:lang w:eastAsia="de-DE"/>
        </w:rPr>
        <w:t xml:space="preserve"> </w:t>
      </w:r>
      <w:r>
        <w:rPr>
          <w:rFonts w:eastAsia="Times New Roman"/>
          <w:color w:val="000000"/>
          <w:sz w:val="24"/>
          <w:szCs w:val="24"/>
          <w:lang w:eastAsia="de-DE"/>
        </w:rPr>
        <w:t>points</w:t>
      </w:r>
      <w:r w:rsidR="00B63732">
        <w:rPr>
          <w:rFonts w:eastAsia="Times New Roman"/>
          <w:color w:val="000000"/>
          <w:sz w:val="24"/>
          <w:szCs w:val="24"/>
          <w:lang w:eastAsia="de-DE"/>
        </w:rPr>
        <w:t>, which belong typically to the extracted variables for statistics,</w:t>
      </w:r>
      <w:r>
        <w:rPr>
          <w:rFonts w:eastAsia="Times New Roman"/>
          <w:color w:val="000000"/>
          <w:sz w:val="24"/>
          <w:szCs w:val="24"/>
          <w:lang w:eastAsia="de-DE"/>
        </w:rPr>
        <w:t xml:space="preserve"> it is observed </w:t>
      </w:r>
      <w:r w:rsidR="00C63F20" w:rsidRPr="00514898">
        <w:rPr>
          <w:rFonts w:eastAsia="Times New Roman"/>
          <w:color w:val="000000"/>
          <w:sz w:val="24"/>
          <w:szCs w:val="24"/>
          <w:lang w:eastAsia="de-DE"/>
        </w:rPr>
        <w:t>that companies under the current ESEF regulation publish rather condense</w:t>
      </w:r>
      <w:r>
        <w:rPr>
          <w:rFonts w:eastAsia="Times New Roman"/>
          <w:color w:val="000000"/>
          <w:sz w:val="24"/>
          <w:szCs w:val="24"/>
          <w:lang w:eastAsia="de-DE"/>
        </w:rPr>
        <w:t>d</w:t>
      </w:r>
      <w:r w:rsidR="00C63F20" w:rsidRPr="00514898">
        <w:rPr>
          <w:rFonts w:eastAsia="Times New Roman"/>
          <w:color w:val="000000"/>
          <w:sz w:val="24"/>
          <w:szCs w:val="24"/>
          <w:lang w:eastAsia="de-DE"/>
        </w:rPr>
        <w:t xml:space="preserve"> primary financial statements </w:t>
      </w:r>
      <w:r>
        <w:rPr>
          <w:rFonts w:eastAsia="Times New Roman"/>
          <w:color w:val="000000"/>
          <w:sz w:val="24"/>
          <w:szCs w:val="24"/>
          <w:lang w:eastAsia="de-DE"/>
        </w:rPr>
        <w:t xml:space="preserve">(e.g. </w:t>
      </w:r>
      <w:r w:rsidRPr="00514898">
        <w:rPr>
          <w:rFonts w:eastAsia="Times New Roman"/>
          <w:color w:val="000000"/>
          <w:sz w:val="24"/>
          <w:szCs w:val="24"/>
          <w:lang w:eastAsia="de-DE"/>
        </w:rPr>
        <w:t>balance sheet or income statement</w:t>
      </w:r>
      <w:r>
        <w:rPr>
          <w:rFonts w:eastAsia="Times New Roman"/>
          <w:color w:val="000000"/>
          <w:sz w:val="24"/>
          <w:szCs w:val="24"/>
          <w:lang w:eastAsia="de-DE"/>
        </w:rPr>
        <w:t>)</w:t>
      </w:r>
      <w:r w:rsidRPr="00514898">
        <w:rPr>
          <w:rFonts w:eastAsia="Times New Roman"/>
          <w:color w:val="000000"/>
          <w:sz w:val="24"/>
          <w:szCs w:val="24"/>
          <w:lang w:eastAsia="de-DE"/>
        </w:rPr>
        <w:t xml:space="preserve"> </w:t>
      </w:r>
      <w:r w:rsidR="00C63F20" w:rsidRPr="00514898">
        <w:rPr>
          <w:rFonts w:eastAsia="Times New Roman"/>
          <w:color w:val="000000"/>
          <w:sz w:val="24"/>
          <w:szCs w:val="24"/>
          <w:lang w:eastAsia="de-DE"/>
        </w:rPr>
        <w:t xml:space="preserve">implying many important details </w:t>
      </w:r>
      <w:r>
        <w:rPr>
          <w:rFonts w:eastAsia="Times New Roman"/>
          <w:color w:val="000000"/>
          <w:sz w:val="24"/>
          <w:szCs w:val="24"/>
          <w:lang w:eastAsia="de-DE"/>
        </w:rPr>
        <w:t xml:space="preserve">of </w:t>
      </w:r>
      <w:r w:rsidR="00C63F20" w:rsidRPr="00514898">
        <w:rPr>
          <w:rFonts w:eastAsia="Times New Roman"/>
          <w:color w:val="000000"/>
          <w:sz w:val="24"/>
          <w:szCs w:val="24"/>
          <w:lang w:eastAsia="de-DE"/>
        </w:rPr>
        <w:t>information must be retrieved from the notes</w:t>
      </w:r>
      <w:r w:rsidR="00F552AA" w:rsidRPr="00514898">
        <w:rPr>
          <w:rFonts w:eastAsia="Times New Roman"/>
          <w:color w:val="000000"/>
          <w:sz w:val="24"/>
          <w:szCs w:val="24"/>
          <w:lang w:eastAsia="de-DE"/>
        </w:rPr>
        <w:t xml:space="preserve">. If </w:t>
      </w:r>
      <w:r>
        <w:rPr>
          <w:rFonts w:eastAsia="Times New Roman"/>
          <w:color w:val="000000"/>
          <w:sz w:val="24"/>
          <w:szCs w:val="24"/>
          <w:lang w:eastAsia="de-DE"/>
        </w:rPr>
        <w:t xml:space="preserve">those monetary datapoints </w:t>
      </w:r>
      <w:r w:rsidR="00F552AA" w:rsidRPr="00514898">
        <w:rPr>
          <w:rFonts w:eastAsia="Times New Roman"/>
          <w:color w:val="000000"/>
          <w:sz w:val="24"/>
          <w:szCs w:val="24"/>
          <w:lang w:eastAsia="de-DE"/>
        </w:rPr>
        <w:t>are not tagged</w:t>
      </w:r>
      <w:r w:rsidR="00B63732">
        <w:rPr>
          <w:rFonts w:eastAsia="Times New Roman"/>
          <w:color w:val="000000"/>
          <w:sz w:val="24"/>
          <w:szCs w:val="24"/>
          <w:lang w:eastAsia="de-DE"/>
        </w:rPr>
        <w:t>,</w:t>
      </w:r>
      <w:r w:rsidR="00F552AA" w:rsidRPr="00514898">
        <w:rPr>
          <w:rFonts w:eastAsia="Times New Roman"/>
          <w:color w:val="000000"/>
          <w:sz w:val="24"/>
          <w:szCs w:val="24"/>
          <w:lang w:eastAsia="de-DE"/>
        </w:rPr>
        <w:t xml:space="preserve"> the retrieval </w:t>
      </w:r>
      <w:r>
        <w:rPr>
          <w:rFonts w:eastAsia="Times New Roman"/>
          <w:color w:val="000000"/>
          <w:sz w:val="24"/>
          <w:szCs w:val="24"/>
          <w:lang w:eastAsia="de-DE"/>
        </w:rPr>
        <w:t xml:space="preserve">from the IFRS notes </w:t>
      </w:r>
      <w:r w:rsidR="00F552AA" w:rsidRPr="00514898">
        <w:rPr>
          <w:rFonts w:eastAsia="Times New Roman"/>
          <w:color w:val="000000"/>
          <w:sz w:val="24"/>
          <w:szCs w:val="24"/>
          <w:lang w:eastAsia="de-DE"/>
        </w:rPr>
        <w:t>is costly</w:t>
      </w:r>
      <w:r w:rsidR="00C63F20" w:rsidRPr="00514898">
        <w:rPr>
          <w:rFonts w:eastAsia="Times New Roman"/>
          <w:color w:val="000000"/>
          <w:sz w:val="24"/>
          <w:szCs w:val="24"/>
          <w:lang w:eastAsia="de-DE"/>
        </w:rPr>
        <w:t xml:space="preserve">. </w:t>
      </w:r>
      <w:r w:rsidR="00EC508E" w:rsidRPr="00514898">
        <w:rPr>
          <w:rFonts w:eastAsia="Times New Roman"/>
          <w:color w:val="000000"/>
          <w:sz w:val="24"/>
          <w:szCs w:val="24"/>
          <w:lang w:eastAsia="de-DE"/>
        </w:rPr>
        <w:t>Thus,</w:t>
      </w:r>
      <w:r w:rsidR="00C63F20" w:rsidRPr="00514898">
        <w:rPr>
          <w:rFonts w:eastAsia="Times New Roman"/>
          <w:color w:val="000000"/>
          <w:sz w:val="24"/>
          <w:szCs w:val="24"/>
          <w:lang w:eastAsia="de-DE"/>
        </w:rPr>
        <w:t xml:space="preserve"> </w:t>
      </w:r>
      <w:r>
        <w:rPr>
          <w:rFonts w:eastAsia="Times New Roman"/>
          <w:color w:val="000000"/>
          <w:sz w:val="24"/>
          <w:szCs w:val="24"/>
          <w:lang w:eastAsia="de-DE"/>
        </w:rPr>
        <w:t xml:space="preserve">an </w:t>
      </w:r>
      <w:r w:rsidR="00EC508E" w:rsidRPr="00514898">
        <w:rPr>
          <w:rFonts w:eastAsia="Times New Roman"/>
          <w:color w:val="000000"/>
          <w:sz w:val="24"/>
          <w:szCs w:val="24"/>
          <w:lang w:eastAsia="de-DE"/>
        </w:rPr>
        <w:t>approach</w:t>
      </w:r>
      <w:r w:rsidR="00C63F20" w:rsidRPr="00514898">
        <w:rPr>
          <w:rFonts w:eastAsia="Times New Roman"/>
          <w:color w:val="000000"/>
          <w:sz w:val="24"/>
          <w:szCs w:val="24"/>
          <w:lang w:eastAsia="de-DE"/>
        </w:rPr>
        <w:t xml:space="preserve"> to mark up such numerical </w:t>
      </w:r>
      <w:r w:rsidR="00F552AA" w:rsidRPr="00514898">
        <w:rPr>
          <w:rFonts w:eastAsia="Times New Roman"/>
          <w:color w:val="000000"/>
          <w:sz w:val="24"/>
          <w:szCs w:val="24"/>
          <w:lang w:eastAsia="de-DE"/>
        </w:rPr>
        <w:t xml:space="preserve">breakdowns </w:t>
      </w:r>
      <w:r>
        <w:rPr>
          <w:rFonts w:eastAsia="Times New Roman"/>
          <w:color w:val="000000"/>
          <w:sz w:val="24"/>
          <w:szCs w:val="24"/>
          <w:lang w:eastAsia="de-DE"/>
        </w:rPr>
        <w:t xml:space="preserve">in IFRS notes is supported. </w:t>
      </w:r>
      <w:r w:rsidR="00F552AA" w:rsidRPr="00514898">
        <w:rPr>
          <w:rFonts w:eastAsia="Times New Roman"/>
          <w:color w:val="000000"/>
          <w:sz w:val="24"/>
          <w:szCs w:val="24"/>
          <w:lang w:eastAsia="de-DE"/>
        </w:rPr>
        <w:t xml:space="preserve">In such </w:t>
      </w:r>
      <w:r w:rsidR="00A74611" w:rsidRPr="00514898">
        <w:rPr>
          <w:rFonts w:eastAsia="Times New Roman"/>
          <w:color w:val="000000"/>
          <w:sz w:val="24"/>
          <w:szCs w:val="24"/>
          <w:lang w:eastAsia="de-DE"/>
        </w:rPr>
        <w:t>cases,</w:t>
      </w:r>
      <w:r w:rsidR="00F552AA" w:rsidRPr="00514898">
        <w:rPr>
          <w:rFonts w:eastAsia="Times New Roman"/>
          <w:color w:val="000000"/>
          <w:sz w:val="24"/>
          <w:szCs w:val="24"/>
          <w:lang w:eastAsia="de-DE"/>
        </w:rPr>
        <w:t xml:space="preserve"> even extensions are useful compared to no tagging at all.</w:t>
      </w:r>
    </w:p>
    <w:p w14:paraId="3B64CB8E" w14:textId="77777777" w:rsidR="00514898" w:rsidRDefault="00514898" w:rsidP="00514898">
      <w:pPr>
        <w:spacing w:after="0" w:line="240" w:lineRule="auto"/>
        <w:jc w:val="left"/>
        <w:rPr>
          <w:rFonts w:eastAsia="Times New Roman"/>
          <w:color w:val="000000"/>
          <w:sz w:val="24"/>
          <w:szCs w:val="24"/>
          <w:lang w:eastAsia="de-DE"/>
        </w:rPr>
      </w:pPr>
    </w:p>
    <w:p w14:paraId="2008AA31" w14:textId="52667D4E" w:rsidR="00F552AA" w:rsidRPr="00514898" w:rsidRDefault="00F552AA" w:rsidP="00514898">
      <w:pPr>
        <w:spacing w:after="0" w:line="240" w:lineRule="auto"/>
        <w:jc w:val="left"/>
        <w:rPr>
          <w:rFonts w:eastAsia="Times New Roman"/>
          <w:color w:val="000000"/>
          <w:sz w:val="24"/>
          <w:szCs w:val="24"/>
          <w:lang w:eastAsia="de-DE"/>
        </w:rPr>
      </w:pPr>
      <w:r w:rsidRPr="00514898">
        <w:rPr>
          <w:rFonts w:eastAsia="Times New Roman"/>
          <w:color w:val="000000"/>
          <w:sz w:val="24"/>
          <w:szCs w:val="24"/>
          <w:lang w:eastAsia="de-DE"/>
        </w:rPr>
        <w:t>Howev</w:t>
      </w:r>
      <w:r w:rsidR="000D29CA" w:rsidRPr="00514898">
        <w:rPr>
          <w:rFonts w:eastAsia="Times New Roman"/>
          <w:color w:val="000000"/>
          <w:sz w:val="24"/>
          <w:szCs w:val="24"/>
          <w:lang w:eastAsia="de-DE"/>
        </w:rPr>
        <w:t>e</w:t>
      </w:r>
      <w:r w:rsidRPr="00514898">
        <w:rPr>
          <w:rFonts w:eastAsia="Times New Roman"/>
          <w:color w:val="000000"/>
          <w:sz w:val="24"/>
          <w:szCs w:val="24"/>
          <w:lang w:eastAsia="de-DE"/>
        </w:rPr>
        <w:t>r, this reasoning does not apply to all numerical values within IFRS notes in a declared currency. Detailed tagging could be forgone particularly in those cases with no comparability across companies.</w:t>
      </w:r>
    </w:p>
    <w:p w14:paraId="3DB53B89" w14:textId="42437EC1" w:rsidR="006A64ED" w:rsidRPr="00514898" w:rsidRDefault="006A64ED" w:rsidP="00514898">
      <w:pPr>
        <w:spacing w:after="0" w:line="240" w:lineRule="auto"/>
        <w:jc w:val="left"/>
        <w:rPr>
          <w:rFonts w:eastAsia="Times New Roman"/>
          <w:color w:val="000000"/>
          <w:sz w:val="24"/>
          <w:szCs w:val="24"/>
          <w:lang w:eastAsia="de-DE"/>
        </w:rPr>
      </w:pP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1B1245BC" w14:textId="52B45B6F" w:rsidR="00796F3D" w:rsidRPr="00796F3D" w:rsidRDefault="00796F3D" w:rsidP="00796F3D">
      <w:pPr>
        <w:spacing w:after="0" w:line="240" w:lineRule="auto"/>
        <w:jc w:val="left"/>
        <w:rPr>
          <w:rFonts w:eastAsia="Times New Roman"/>
          <w:color w:val="000000"/>
          <w:sz w:val="24"/>
          <w:szCs w:val="24"/>
          <w:lang w:eastAsia="de-DE"/>
        </w:rPr>
      </w:pPr>
      <w:permStart w:id="83845519" w:edGrp="everyone"/>
    </w:p>
    <w:p w14:paraId="31A6B95C" w14:textId="2BDE33F0" w:rsidR="006A64ED" w:rsidRPr="00796F3D" w:rsidRDefault="00796F3D" w:rsidP="00796F3D">
      <w:pPr>
        <w:spacing w:after="0" w:line="240" w:lineRule="auto"/>
        <w:jc w:val="left"/>
        <w:rPr>
          <w:rFonts w:eastAsia="Times New Roman"/>
          <w:color w:val="000000"/>
          <w:sz w:val="24"/>
          <w:szCs w:val="24"/>
          <w:lang w:eastAsia="de-DE"/>
        </w:rPr>
      </w:pPr>
      <w:r>
        <w:rPr>
          <w:rFonts w:eastAsia="Times New Roman"/>
          <w:color w:val="000000"/>
          <w:sz w:val="24"/>
          <w:szCs w:val="24"/>
          <w:lang w:eastAsia="de-DE"/>
        </w:rPr>
        <w:t>T</w:t>
      </w:r>
      <w:r w:rsidRPr="00796F3D">
        <w:rPr>
          <w:rFonts w:eastAsia="Times New Roman"/>
          <w:color w:val="000000"/>
          <w:sz w:val="24"/>
          <w:szCs w:val="24"/>
          <w:lang w:eastAsia="de-DE"/>
        </w:rPr>
        <w:t xml:space="preserve">he proposal to remove the current list of mandatory core taxonomy elements outlined in Annex II of the RTS on ESEF and replace it with a more concise and targeted list of mandatory taxonomy elements </w:t>
      </w:r>
      <w:r>
        <w:rPr>
          <w:rFonts w:eastAsia="Times New Roman"/>
          <w:color w:val="000000"/>
          <w:sz w:val="24"/>
          <w:szCs w:val="24"/>
          <w:lang w:eastAsia="de-DE"/>
        </w:rPr>
        <w:t xml:space="preserve">is generally supported, </w:t>
      </w:r>
      <w:r w:rsidRPr="00796F3D">
        <w:rPr>
          <w:rFonts w:eastAsia="Times New Roman"/>
          <w:color w:val="000000"/>
          <w:sz w:val="24"/>
          <w:szCs w:val="24"/>
          <w:lang w:eastAsia="de-DE"/>
        </w:rPr>
        <w:t xml:space="preserve">as the current list contains nearly exclusively text block tags being less useful for </w:t>
      </w:r>
      <w:r w:rsidR="00B63732">
        <w:rPr>
          <w:rFonts w:eastAsia="Times New Roman"/>
          <w:color w:val="000000"/>
          <w:sz w:val="24"/>
          <w:szCs w:val="24"/>
          <w:lang w:eastAsia="de-DE"/>
        </w:rPr>
        <w:t xml:space="preserve">compiling </w:t>
      </w:r>
      <w:r>
        <w:rPr>
          <w:rFonts w:eastAsia="Times New Roman"/>
          <w:color w:val="000000"/>
          <w:sz w:val="24"/>
          <w:szCs w:val="24"/>
          <w:lang w:eastAsia="de-DE"/>
        </w:rPr>
        <w:t>statistic</w:t>
      </w:r>
      <w:r w:rsidR="00B63732">
        <w:rPr>
          <w:rFonts w:eastAsia="Times New Roman"/>
          <w:color w:val="000000"/>
          <w:sz w:val="24"/>
          <w:szCs w:val="24"/>
          <w:lang w:eastAsia="de-DE"/>
        </w:rPr>
        <w:t>s</w:t>
      </w:r>
      <w:r>
        <w:rPr>
          <w:rFonts w:eastAsia="Times New Roman"/>
          <w:color w:val="000000"/>
          <w:sz w:val="24"/>
          <w:szCs w:val="24"/>
          <w:lang w:eastAsia="de-DE"/>
        </w:rPr>
        <w:t xml:space="preserve">. </w:t>
      </w:r>
      <w:r w:rsidR="000C3A1F" w:rsidRPr="00796F3D">
        <w:rPr>
          <w:rFonts w:eastAsia="Times New Roman"/>
          <w:color w:val="000000"/>
          <w:sz w:val="24"/>
          <w:szCs w:val="24"/>
          <w:lang w:eastAsia="de-DE"/>
        </w:rPr>
        <w:t xml:space="preserve">A more concise and targeted list of mandatory taxonomy elements focusing mainly on </w:t>
      </w:r>
      <w:r w:rsidR="00A32D4A" w:rsidRPr="00796F3D">
        <w:rPr>
          <w:rFonts w:eastAsia="Times New Roman"/>
          <w:color w:val="000000"/>
          <w:sz w:val="24"/>
          <w:szCs w:val="24"/>
          <w:lang w:eastAsia="de-DE"/>
        </w:rPr>
        <w:t xml:space="preserve">comparable </w:t>
      </w:r>
      <w:r w:rsidR="000C3A1F" w:rsidRPr="00796F3D">
        <w:rPr>
          <w:rFonts w:eastAsia="Times New Roman"/>
          <w:color w:val="000000"/>
          <w:sz w:val="24"/>
          <w:szCs w:val="24"/>
          <w:lang w:eastAsia="de-DE"/>
        </w:rPr>
        <w:t xml:space="preserve">numerical values </w:t>
      </w:r>
      <w:r w:rsidR="00A32D4A" w:rsidRPr="00796F3D">
        <w:rPr>
          <w:rFonts w:eastAsia="Times New Roman"/>
          <w:color w:val="000000"/>
          <w:sz w:val="24"/>
          <w:szCs w:val="24"/>
          <w:lang w:eastAsia="de-DE"/>
        </w:rPr>
        <w:t xml:space="preserve">as well as attributes </w:t>
      </w:r>
      <w:r w:rsidR="000C3A1F" w:rsidRPr="00796F3D">
        <w:rPr>
          <w:rFonts w:eastAsia="Times New Roman"/>
          <w:color w:val="000000"/>
          <w:sz w:val="24"/>
          <w:szCs w:val="24"/>
          <w:lang w:eastAsia="de-DE"/>
        </w:rPr>
        <w:t xml:space="preserve">for identification purposes would </w:t>
      </w:r>
      <w:r>
        <w:rPr>
          <w:rFonts w:eastAsia="Times New Roman"/>
          <w:color w:val="000000"/>
          <w:sz w:val="24"/>
          <w:szCs w:val="24"/>
          <w:lang w:eastAsia="de-DE"/>
        </w:rPr>
        <w:t xml:space="preserve">be </w:t>
      </w:r>
      <w:r w:rsidR="00A74611">
        <w:rPr>
          <w:rFonts w:eastAsia="Times New Roman"/>
          <w:color w:val="000000"/>
          <w:sz w:val="24"/>
          <w:szCs w:val="24"/>
          <w:lang w:eastAsia="de-DE"/>
        </w:rPr>
        <w:t>beneficial</w:t>
      </w:r>
      <w:r>
        <w:rPr>
          <w:rFonts w:eastAsia="Times New Roman"/>
          <w:color w:val="000000"/>
          <w:sz w:val="24"/>
          <w:szCs w:val="24"/>
          <w:lang w:eastAsia="de-DE"/>
        </w:rPr>
        <w:t xml:space="preserve"> for compiling statistical processes</w:t>
      </w:r>
      <w:r w:rsidR="000C3A1F" w:rsidRPr="00796F3D">
        <w:rPr>
          <w:rFonts w:eastAsia="Times New Roman"/>
          <w:color w:val="000000"/>
          <w:sz w:val="24"/>
          <w:szCs w:val="24"/>
          <w:lang w:eastAsia="de-DE"/>
        </w:rPr>
        <w:t>.</w:t>
      </w:r>
      <w:r>
        <w:rPr>
          <w:rFonts w:eastAsia="Times New Roman"/>
          <w:color w:val="000000"/>
          <w:sz w:val="24"/>
          <w:szCs w:val="24"/>
          <w:lang w:eastAsia="de-DE"/>
        </w:rPr>
        <w:t xml:space="preserve"> Please see answer 15 with a list of respective elements.</w:t>
      </w:r>
    </w:p>
    <w:p w14:paraId="7C562BBF" w14:textId="77777777" w:rsidR="00796F3D" w:rsidRPr="00796F3D" w:rsidRDefault="00796F3D" w:rsidP="00796F3D">
      <w:pPr>
        <w:spacing w:after="0" w:line="240" w:lineRule="auto"/>
        <w:jc w:val="left"/>
        <w:rPr>
          <w:rFonts w:eastAsia="Times New Roman"/>
          <w:color w:val="000000"/>
          <w:sz w:val="24"/>
          <w:szCs w:val="24"/>
          <w:lang w:eastAsia="de-DE"/>
        </w:rPr>
      </w:pP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026E66" w:rsidRDefault="006A64ED" w:rsidP="006A64ED">
      <w:pPr>
        <w:spacing w:after="0"/>
        <w:rPr>
          <w:sz w:val="20"/>
          <w:szCs w:val="18"/>
          <w:lang w:val="es-ES"/>
        </w:rPr>
      </w:pPr>
      <w:r w:rsidRPr="00C27B87">
        <w:rPr>
          <w:rFonts w:eastAsia="Times New Roman"/>
          <w:color w:val="auto"/>
          <w:szCs w:val="22"/>
          <w:lang w:val="es-ES" w:eastAsia="en-GB"/>
        </w:rPr>
        <w:br/>
      </w:r>
      <w:r w:rsidRPr="00026E66">
        <w:rPr>
          <w:sz w:val="20"/>
          <w:szCs w:val="18"/>
          <w:lang w:val="es-ES"/>
        </w:rPr>
        <w:t>&lt;ESMA_QUESTION_ESEFEEAP_20&gt;</w:t>
      </w:r>
    </w:p>
    <w:p w14:paraId="7E11D364" w14:textId="5913611C" w:rsidR="006A64ED" w:rsidRPr="00026E66" w:rsidRDefault="006A64ED" w:rsidP="0081324E">
      <w:pPr>
        <w:spacing w:after="0"/>
        <w:rPr>
          <w:sz w:val="20"/>
          <w:szCs w:val="18"/>
          <w:lang w:val="es-ES"/>
        </w:rPr>
      </w:pPr>
      <w:permStart w:id="1357663695" w:edGrp="everyone"/>
    </w:p>
    <w:permEnd w:id="1357663695"/>
    <w:p w14:paraId="0CE7923A" w14:textId="77777777" w:rsidR="006A64ED" w:rsidRPr="00026E66" w:rsidRDefault="006A64ED" w:rsidP="006A64ED">
      <w:pPr>
        <w:spacing w:after="0"/>
        <w:rPr>
          <w:sz w:val="20"/>
          <w:szCs w:val="18"/>
          <w:lang w:val="es-ES"/>
        </w:rPr>
      </w:pPr>
      <w:r w:rsidRPr="00026E66">
        <w:rPr>
          <w:sz w:val="20"/>
          <w:szCs w:val="18"/>
          <w:lang w:val="es-ES"/>
        </w:rPr>
        <w:t>&lt;ESMA_QUESTION_ESEFEEAP_20&gt;</w:t>
      </w:r>
    </w:p>
    <w:p w14:paraId="6BD9707A" w14:textId="77777777" w:rsidR="006A64ED" w:rsidRPr="00026E66" w:rsidRDefault="006A64ED" w:rsidP="006A64ED">
      <w:pPr>
        <w:spacing w:after="0" w:line="240" w:lineRule="auto"/>
        <w:jc w:val="left"/>
        <w:rPr>
          <w:rFonts w:eastAsia="Times New Roman"/>
          <w:color w:val="auto"/>
          <w:szCs w:val="22"/>
          <w:lang w:val="es-ES"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679FA60A" w14:textId="785B780E" w:rsidR="00796F3D" w:rsidRPr="00796F3D" w:rsidRDefault="00796F3D" w:rsidP="00796F3D">
      <w:pPr>
        <w:spacing w:after="0" w:line="240" w:lineRule="auto"/>
        <w:jc w:val="left"/>
        <w:rPr>
          <w:rFonts w:eastAsia="Times New Roman"/>
          <w:color w:val="000000"/>
          <w:sz w:val="24"/>
          <w:szCs w:val="24"/>
          <w:lang w:eastAsia="de-DE"/>
        </w:rPr>
      </w:pPr>
      <w:permStart w:id="268056993" w:edGrp="everyone"/>
    </w:p>
    <w:p w14:paraId="4449F594" w14:textId="0BD6094B" w:rsidR="00F156C1" w:rsidRDefault="00796F3D" w:rsidP="00796F3D">
      <w:pPr>
        <w:spacing w:after="0" w:line="240" w:lineRule="auto"/>
        <w:jc w:val="left"/>
        <w:rPr>
          <w:rFonts w:eastAsia="Times New Roman"/>
          <w:color w:val="000000"/>
          <w:sz w:val="24"/>
          <w:szCs w:val="24"/>
          <w:lang w:eastAsia="de-DE"/>
        </w:rPr>
      </w:pPr>
      <w:r w:rsidRPr="00796F3D">
        <w:rPr>
          <w:rFonts w:eastAsia="Times New Roman"/>
          <w:color w:val="000000"/>
          <w:sz w:val="24"/>
          <w:szCs w:val="24"/>
          <w:lang w:eastAsia="de-DE"/>
        </w:rPr>
        <w:t xml:space="preserve">A revised approach towards </w:t>
      </w:r>
      <w:r>
        <w:rPr>
          <w:rFonts w:eastAsia="Times New Roman"/>
          <w:color w:val="000000"/>
          <w:sz w:val="24"/>
          <w:szCs w:val="24"/>
          <w:lang w:eastAsia="de-DE"/>
        </w:rPr>
        <w:t xml:space="preserve">minimising </w:t>
      </w:r>
      <w:r w:rsidRPr="00796F3D">
        <w:rPr>
          <w:rFonts w:eastAsia="Times New Roman"/>
          <w:color w:val="000000"/>
          <w:sz w:val="24"/>
          <w:szCs w:val="24"/>
          <w:lang w:eastAsia="de-DE"/>
        </w:rPr>
        <w:t xml:space="preserve">extension taxonomy elements for the </w:t>
      </w:r>
      <w:r>
        <w:rPr>
          <w:rFonts w:eastAsia="Times New Roman"/>
          <w:color w:val="000000"/>
          <w:sz w:val="24"/>
          <w:szCs w:val="24"/>
          <w:lang w:eastAsia="de-DE"/>
        </w:rPr>
        <w:t>IFRS n</w:t>
      </w:r>
      <w:r w:rsidRPr="00796F3D">
        <w:rPr>
          <w:rFonts w:eastAsia="Times New Roman"/>
          <w:color w:val="000000"/>
          <w:sz w:val="24"/>
          <w:szCs w:val="24"/>
          <w:lang w:eastAsia="de-DE"/>
        </w:rPr>
        <w:t xml:space="preserve">otes </w:t>
      </w:r>
      <w:r>
        <w:rPr>
          <w:rFonts w:eastAsia="Times New Roman"/>
          <w:color w:val="000000"/>
          <w:sz w:val="24"/>
          <w:szCs w:val="24"/>
          <w:lang w:eastAsia="de-DE"/>
        </w:rPr>
        <w:t>is supported</w:t>
      </w:r>
      <w:r w:rsidR="00B63732">
        <w:rPr>
          <w:rFonts w:eastAsia="Times New Roman"/>
          <w:color w:val="000000"/>
          <w:sz w:val="24"/>
          <w:szCs w:val="24"/>
          <w:lang w:eastAsia="de-DE"/>
        </w:rPr>
        <w:t xml:space="preserve"> as they hinder the statistical usage</w:t>
      </w:r>
      <w:r>
        <w:rPr>
          <w:rFonts w:eastAsia="Times New Roman"/>
          <w:color w:val="000000"/>
          <w:sz w:val="24"/>
          <w:szCs w:val="24"/>
          <w:lang w:eastAsia="de-DE"/>
        </w:rPr>
        <w:t>. Please see answer to question 6 with detailed considerations towards extensions.</w:t>
      </w:r>
    </w:p>
    <w:p w14:paraId="73A275A3" w14:textId="77777777" w:rsidR="00796F3D" w:rsidRPr="00796F3D" w:rsidRDefault="00796F3D" w:rsidP="00796F3D">
      <w:pPr>
        <w:spacing w:after="0" w:line="240" w:lineRule="auto"/>
        <w:jc w:val="left"/>
        <w:rPr>
          <w:rFonts w:eastAsia="Times New Roman"/>
          <w:color w:val="000000"/>
          <w:sz w:val="24"/>
          <w:szCs w:val="24"/>
          <w:lang w:eastAsia="de-DE"/>
        </w:rPr>
      </w:pP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425C2FAC" w14:textId="77777777" w:rsidR="00DB76B0" w:rsidRDefault="00127F84" w:rsidP="00DB76B0">
      <w:pPr>
        <w:spacing w:after="0" w:line="240" w:lineRule="auto"/>
        <w:jc w:val="left"/>
        <w:rPr>
          <w:rFonts w:eastAsia="Times New Roman"/>
          <w:color w:val="000000"/>
          <w:sz w:val="24"/>
          <w:szCs w:val="24"/>
          <w:lang w:eastAsia="de-DE"/>
        </w:rPr>
      </w:pPr>
      <w:permStart w:id="1477533567" w:edGrp="everyone"/>
      <w:r w:rsidRPr="00DB76B0">
        <w:rPr>
          <w:rFonts w:eastAsia="Times New Roman"/>
          <w:color w:val="000000"/>
          <w:sz w:val="24"/>
          <w:szCs w:val="24"/>
          <w:lang w:eastAsia="de-DE"/>
        </w:rPr>
        <w:t>[</w:t>
      </w:r>
    </w:p>
    <w:p w14:paraId="4CD908C7" w14:textId="77777777" w:rsidR="005F4FD3" w:rsidRDefault="005F4FD3" w:rsidP="00DB76B0">
      <w:pPr>
        <w:spacing w:after="0" w:line="240" w:lineRule="auto"/>
        <w:jc w:val="left"/>
        <w:rPr>
          <w:rFonts w:eastAsia="Times New Roman"/>
          <w:color w:val="000000"/>
          <w:sz w:val="24"/>
          <w:szCs w:val="24"/>
          <w:lang w:eastAsia="de-DE"/>
        </w:rPr>
      </w:pPr>
      <w:r w:rsidRPr="000F5D74">
        <w:rPr>
          <w:rFonts w:eastAsia="Times New Roman"/>
          <w:color w:val="000000"/>
          <w:sz w:val="24"/>
          <w:szCs w:val="24"/>
          <w:lang w:eastAsia="de-DE"/>
        </w:rPr>
        <w:t>The inclusion of a review clause is generally supported that triggers a stock-taking whether the reporting obligations of companies are too burdensome and/or whether the needs of users have been met.</w:t>
      </w:r>
    </w:p>
    <w:p w14:paraId="1F0AC41E" w14:textId="5BB7E2DF" w:rsidR="006A64ED" w:rsidRPr="00DB76B0" w:rsidRDefault="00127F84" w:rsidP="00DB76B0">
      <w:pPr>
        <w:spacing w:after="0" w:line="240" w:lineRule="auto"/>
        <w:jc w:val="left"/>
        <w:rPr>
          <w:rFonts w:eastAsia="Times New Roman"/>
          <w:color w:val="000000"/>
          <w:sz w:val="24"/>
          <w:szCs w:val="24"/>
          <w:lang w:eastAsia="de-DE"/>
        </w:rPr>
      </w:pPr>
      <w:r w:rsidRPr="00DB76B0">
        <w:rPr>
          <w:rFonts w:eastAsia="Times New Roman"/>
          <w:color w:val="000000"/>
          <w:sz w:val="24"/>
          <w:szCs w:val="24"/>
          <w:lang w:eastAsia="de-DE"/>
        </w:rPr>
        <w:t>]</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DD36F1"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06608231" w14:textId="77777777" w:rsidR="00F27121" w:rsidRDefault="00F27121" w:rsidP="00F27121">
      <w:pPr>
        <w:spacing w:after="0" w:line="240" w:lineRule="auto"/>
        <w:jc w:val="left"/>
        <w:rPr>
          <w:rFonts w:eastAsia="Times New Roman"/>
          <w:color w:val="000000"/>
          <w:sz w:val="24"/>
          <w:szCs w:val="24"/>
          <w:lang w:eastAsia="de-DE"/>
        </w:rPr>
      </w:pPr>
      <w:permStart w:id="751384416" w:edGrp="everyone"/>
    </w:p>
    <w:p w14:paraId="777E9EFF" w14:textId="5F50A88F" w:rsidR="00AF763D" w:rsidRDefault="00F27121" w:rsidP="00F27121">
      <w:pPr>
        <w:spacing w:after="0" w:line="240" w:lineRule="auto"/>
        <w:jc w:val="left"/>
        <w:rPr>
          <w:rFonts w:eastAsia="Times New Roman"/>
          <w:color w:val="000000"/>
          <w:sz w:val="24"/>
          <w:szCs w:val="24"/>
          <w:lang w:eastAsia="de-DE"/>
        </w:rPr>
      </w:pPr>
      <w:r>
        <w:rPr>
          <w:rFonts w:eastAsia="Times New Roman"/>
          <w:color w:val="000000"/>
          <w:sz w:val="24"/>
          <w:szCs w:val="24"/>
          <w:lang w:eastAsia="de-DE"/>
        </w:rPr>
        <w:t xml:space="preserve">The targeted </w:t>
      </w:r>
      <w:r w:rsidRPr="00F27121">
        <w:rPr>
          <w:rFonts w:eastAsia="Times New Roman"/>
          <w:color w:val="000000"/>
          <w:sz w:val="24"/>
          <w:szCs w:val="24"/>
          <w:lang w:eastAsia="de-DE"/>
        </w:rPr>
        <w:t>amendments to the RTS</w:t>
      </w:r>
      <w:r w:rsidR="004036C3">
        <w:rPr>
          <w:rFonts w:eastAsia="Times New Roman"/>
          <w:color w:val="000000"/>
          <w:sz w:val="24"/>
          <w:szCs w:val="24"/>
          <w:lang w:eastAsia="de-DE"/>
        </w:rPr>
        <w:t>, altogether 18 proposals,</w:t>
      </w:r>
      <w:r w:rsidRPr="00F27121">
        <w:rPr>
          <w:rFonts w:eastAsia="Times New Roman"/>
          <w:color w:val="000000"/>
          <w:sz w:val="24"/>
          <w:szCs w:val="24"/>
          <w:lang w:eastAsia="de-DE"/>
        </w:rPr>
        <w:t xml:space="preserve"> </w:t>
      </w:r>
      <w:r>
        <w:rPr>
          <w:rFonts w:eastAsia="Times New Roman"/>
          <w:color w:val="000000"/>
          <w:sz w:val="24"/>
          <w:szCs w:val="24"/>
          <w:lang w:eastAsia="de-DE"/>
        </w:rPr>
        <w:t xml:space="preserve">are generally supported </w:t>
      </w:r>
      <w:r w:rsidR="004036C3">
        <w:rPr>
          <w:rFonts w:eastAsia="Times New Roman"/>
          <w:color w:val="000000"/>
          <w:sz w:val="24"/>
          <w:szCs w:val="24"/>
          <w:lang w:eastAsia="de-DE"/>
        </w:rPr>
        <w:t xml:space="preserve">as they aim to increase clarity and to avoid inconsistencies, both being much helpful for statistical purposes. </w:t>
      </w:r>
      <w:r w:rsidR="00A74611">
        <w:rPr>
          <w:rFonts w:eastAsia="Times New Roman"/>
          <w:color w:val="000000"/>
          <w:sz w:val="24"/>
          <w:szCs w:val="24"/>
          <w:lang w:eastAsia="de-DE"/>
        </w:rPr>
        <w:t>Nevertheless,</w:t>
      </w:r>
      <w:r w:rsidR="004036C3">
        <w:rPr>
          <w:rFonts w:eastAsia="Times New Roman"/>
          <w:color w:val="000000"/>
          <w:sz w:val="24"/>
          <w:szCs w:val="24"/>
          <w:lang w:eastAsia="de-DE"/>
        </w:rPr>
        <w:t xml:space="preserve"> </w:t>
      </w:r>
      <w:r>
        <w:rPr>
          <w:rFonts w:eastAsia="Times New Roman"/>
          <w:color w:val="000000"/>
          <w:sz w:val="24"/>
          <w:szCs w:val="24"/>
          <w:lang w:eastAsia="de-DE"/>
        </w:rPr>
        <w:t xml:space="preserve">ESMA </w:t>
      </w:r>
      <w:r w:rsidR="004036C3">
        <w:rPr>
          <w:rFonts w:eastAsia="Times New Roman"/>
          <w:color w:val="000000"/>
          <w:sz w:val="24"/>
          <w:szCs w:val="24"/>
          <w:lang w:eastAsia="de-DE"/>
        </w:rPr>
        <w:t>c</w:t>
      </w:r>
      <w:r>
        <w:rPr>
          <w:rFonts w:eastAsia="Times New Roman"/>
          <w:color w:val="000000"/>
          <w:sz w:val="24"/>
          <w:szCs w:val="24"/>
          <w:lang w:eastAsia="de-DE"/>
        </w:rPr>
        <w:t xml:space="preserve">ould evaluate whether they imply a substantial increase in listed companies’ tagging process. It would be </w:t>
      </w:r>
      <w:r w:rsidR="004036C3">
        <w:rPr>
          <w:rFonts w:eastAsia="Times New Roman"/>
          <w:color w:val="000000"/>
          <w:sz w:val="24"/>
          <w:szCs w:val="24"/>
          <w:lang w:eastAsia="de-DE"/>
        </w:rPr>
        <w:t xml:space="preserve">generally </w:t>
      </w:r>
      <w:r>
        <w:rPr>
          <w:rFonts w:eastAsia="Times New Roman"/>
          <w:color w:val="000000"/>
          <w:sz w:val="24"/>
          <w:szCs w:val="24"/>
          <w:lang w:eastAsia="de-DE"/>
        </w:rPr>
        <w:t xml:space="preserve">preferable that </w:t>
      </w:r>
      <w:r w:rsidR="00127F84" w:rsidRPr="00F27121">
        <w:rPr>
          <w:rFonts w:eastAsia="Times New Roman"/>
          <w:color w:val="000000"/>
          <w:sz w:val="24"/>
          <w:szCs w:val="24"/>
          <w:lang w:eastAsia="de-DE"/>
        </w:rPr>
        <w:t xml:space="preserve">listed companies </w:t>
      </w:r>
      <w:r>
        <w:rPr>
          <w:rFonts w:eastAsia="Times New Roman"/>
          <w:color w:val="000000"/>
          <w:sz w:val="24"/>
          <w:szCs w:val="24"/>
          <w:lang w:eastAsia="de-DE"/>
        </w:rPr>
        <w:t xml:space="preserve">use </w:t>
      </w:r>
      <w:r w:rsidR="00127F84" w:rsidRPr="00F27121">
        <w:rPr>
          <w:rFonts w:eastAsia="Times New Roman"/>
          <w:color w:val="000000"/>
          <w:sz w:val="24"/>
          <w:szCs w:val="24"/>
          <w:lang w:eastAsia="de-DE"/>
        </w:rPr>
        <w:t xml:space="preserve">their resources in </w:t>
      </w:r>
      <w:r>
        <w:rPr>
          <w:rFonts w:eastAsia="Times New Roman"/>
          <w:color w:val="000000"/>
          <w:sz w:val="24"/>
          <w:szCs w:val="24"/>
          <w:lang w:eastAsia="de-DE"/>
        </w:rPr>
        <w:t xml:space="preserve">sustainability </w:t>
      </w:r>
      <w:r w:rsidR="00127F84" w:rsidRPr="00F27121">
        <w:rPr>
          <w:rFonts w:eastAsia="Times New Roman"/>
          <w:color w:val="000000"/>
          <w:sz w:val="24"/>
          <w:szCs w:val="24"/>
          <w:lang w:eastAsia="de-DE"/>
        </w:rPr>
        <w:t xml:space="preserve">tagging </w:t>
      </w:r>
      <w:r>
        <w:rPr>
          <w:rFonts w:eastAsia="Times New Roman"/>
          <w:color w:val="000000"/>
          <w:sz w:val="24"/>
          <w:szCs w:val="24"/>
          <w:lang w:eastAsia="de-DE"/>
        </w:rPr>
        <w:t xml:space="preserve">rather </w:t>
      </w:r>
      <w:r w:rsidR="00127F84" w:rsidRPr="00F27121">
        <w:rPr>
          <w:rFonts w:eastAsia="Times New Roman"/>
          <w:color w:val="000000"/>
          <w:sz w:val="24"/>
          <w:szCs w:val="24"/>
          <w:lang w:eastAsia="de-DE"/>
        </w:rPr>
        <w:t xml:space="preserve">than in detailed tagging of </w:t>
      </w:r>
      <w:r w:rsidR="00A32D4A" w:rsidRPr="00F27121">
        <w:rPr>
          <w:rFonts w:eastAsia="Times New Roman"/>
          <w:color w:val="000000"/>
          <w:sz w:val="24"/>
          <w:szCs w:val="24"/>
          <w:lang w:eastAsia="de-DE"/>
        </w:rPr>
        <w:t xml:space="preserve">IFRS </w:t>
      </w:r>
      <w:r w:rsidR="00127F84" w:rsidRPr="00F27121">
        <w:rPr>
          <w:rFonts w:eastAsia="Times New Roman"/>
          <w:color w:val="000000"/>
          <w:sz w:val="24"/>
          <w:szCs w:val="24"/>
          <w:lang w:eastAsia="de-DE"/>
        </w:rPr>
        <w:t>notes.</w:t>
      </w:r>
    </w:p>
    <w:p w14:paraId="42C81F05" w14:textId="77777777" w:rsidR="00F27121" w:rsidRPr="00F27121" w:rsidRDefault="00F27121" w:rsidP="00F27121">
      <w:pPr>
        <w:spacing w:after="0" w:line="240" w:lineRule="auto"/>
        <w:jc w:val="left"/>
        <w:rPr>
          <w:rFonts w:eastAsia="Times New Roman"/>
          <w:color w:val="000000"/>
          <w:sz w:val="24"/>
          <w:szCs w:val="24"/>
          <w:lang w:eastAsia="de-DE"/>
        </w:rPr>
      </w:pP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lastRenderedPageBreak/>
        <w:br/>
      </w:r>
      <w:r w:rsidR="00DD36F1">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DD36F1"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lastRenderedPageBreak/>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3112124" w:rsidR="00AF763D" w:rsidRPr="000D29CA" w:rsidRDefault="000F5D74" w:rsidP="00AF763D">
      <w:pPr>
        <w:spacing w:after="0"/>
        <w:rPr>
          <w:sz w:val="20"/>
          <w:szCs w:val="18"/>
        </w:rPr>
      </w:pPr>
      <w:permStart w:id="929779331" w:edGrp="everyone"/>
      <w:r>
        <w:rPr>
          <w:sz w:val="20"/>
          <w:szCs w:val="18"/>
        </w:rPr>
        <w:t xml:space="preserve">Option 3, preferred by ESMA, is generally supported. </w:t>
      </w:r>
      <w:r w:rsidR="00ED6135" w:rsidRPr="000D29CA">
        <w:rPr>
          <w:sz w:val="20"/>
          <w:szCs w:val="18"/>
        </w:rPr>
        <w:t>Gradually increasing mark-up requirements can help companies manage the transition more smoothly</w:t>
      </w:r>
      <w:r>
        <w:rPr>
          <w:sz w:val="20"/>
          <w:szCs w:val="18"/>
        </w:rPr>
        <w:t>,</w:t>
      </w:r>
      <w:r w:rsidR="00ED6135" w:rsidRPr="000D29CA">
        <w:rPr>
          <w:sz w:val="20"/>
          <w:szCs w:val="18"/>
        </w:rPr>
        <w:t xml:space="preserve"> gradually adapting to new requirements, reducing the risk of errors </w:t>
      </w:r>
      <w:r>
        <w:rPr>
          <w:sz w:val="20"/>
          <w:szCs w:val="18"/>
        </w:rPr>
        <w:t xml:space="preserve">or </w:t>
      </w:r>
      <w:r w:rsidR="00ED6135" w:rsidRPr="000D29CA">
        <w:rPr>
          <w:sz w:val="20"/>
          <w:szCs w:val="18"/>
        </w:rPr>
        <w:t xml:space="preserve">non-compliance. It </w:t>
      </w:r>
      <w:r>
        <w:rPr>
          <w:sz w:val="20"/>
          <w:szCs w:val="18"/>
        </w:rPr>
        <w:t>would allow</w:t>
      </w:r>
      <w:r w:rsidR="00ED6135" w:rsidRPr="000D29CA">
        <w:rPr>
          <w:sz w:val="20"/>
          <w:szCs w:val="18"/>
        </w:rPr>
        <w:t xml:space="preserve"> them to adjust their processes incrementally, which can lead to better compliance and more accurate data collection over time. </w:t>
      </w:r>
      <w:r>
        <w:rPr>
          <w:sz w:val="20"/>
          <w:szCs w:val="18"/>
        </w:rPr>
        <w:t xml:space="preserve">Further, undertakings </w:t>
      </w:r>
      <w:r w:rsidR="00ED6135" w:rsidRPr="000D29CA">
        <w:rPr>
          <w:sz w:val="20"/>
          <w:szCs w:val="18"/>
        </w:rPr>
        <w:t>could meet regulatory requirements without sudden disruptions to their reporting processes.</w:t>
      </w:r>
      <w:r w:rsidR="002E1940">
        <w:rPr>
          <w:sz w:val="20"/>
          <w:szCs w:val="18"/>
        </w:rPr>
        <w:t xml:space="preserve"> All of this is </w:t>
      </w:r>
      <w:r w:rsidR="00A74611">
        <w:rPr>
          <w:sz w:val="20"/>
          <w:szCs w:val="18"/>
        </w:rPr>
        <w:t>useful for</w:t>
      </w:r>
      <w:r w:rsidR="002E1940">
        <w:rPr>
          <w:sz w:val="20"/>
          <w:szCs w:val="18"/>
        </w:rPr>
        <w:t xml:space="preserve"> statistical purposes.</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5B95FF84" w:rsidR="00AF763D" w:rsidRPr="00AF763D" w:rsidRDefault="000F5D74" w:rsidP="00AF763D">
      <w:pPr>
        <w:spacing w:after="0"/>
        <w:rPr>
          <w:sz w:val="20"/>
          <w:szCs w:val="18"/>
        </w:rPr>
      </w:pPr>
      <w:permStart w:id="701313514" w:edGrp="everyone"/>
      <w:r>
        <w:rPr>
          <w:sz w:val="20"/>
          <w:szCs w:val="18"/>
        </w:rPr>
        <w:t xml:space="preserve">Option 2, preferred by ESMA, is generally supported. </w:t>
      </w:r>
      <w:r w:rsidR="0010455E">
        <w:rPr>
          <w:sz w:val="20"/>
          <w:szCs w:val="18"/>
        </w:rPr>
        <w:t xml:space="preserve">Meanwhile, </w:t>
      </w:r>
      <w:r w:rsidR="007F5236">
        <w:rPr>
          <w:sz w:val="20"/>
          <w:szCs w:val="18"/>
        </w:rPr>
        <w:t>a phased-in approach, as described in question 32</w:t>
      </w:r>
      <w:r>
        <w:rPr>
          <w:sz w:val="20"/>
          <w:szCs w:val="18"/>
        </w:rPr>
        <w:t xml:space="preserve">, would be considered as </w:t>
      </w:r>
      <w:r w:rsidR="007F5236">
        <w:rPr>
          <w:sz w:val="20"/>
          <w:szCs w:val="18"/>
        </w:rPr>
        <w:t xml:space="preserve">an </w:t>
      </w:r>
      <w:r w:rsidR="0010455E">
        <w:rPr>
          <w:sz w:val="20"/>
          <w:szCs w:val="18"/>
        </w:rPr>
        <w:t xml:space="preserve">appropriate solution that would balance between time and transition. </w:t>
      </w:r>
      <w:r>
        <w:rPr>
          <w:sz w:val="20"/>
          <w:szCs w:val="18"/>
        </w:rPr>
        <w:t>A</w:t>
      </w:r>
      <w:r w:rsidR="0010455E">
        <w:rPr>
          <w:sz w:val="20"/>
          <w:szCs w:val="18"/>
        </w:rPr>
        <w:t xml:space="preserve"> possible </w:t>
      </w:r>
      <w:r w:rsidR="007F5236">
        <w:rPr>
          <w:sz w:val="20"/>
          <w:szCs w:val="18"/>
        </w:rPr>
        <w:t xml:space="preserve">approach </w:t>
      </w:r>
      <w:r w:rsidR="0010455E">
        <w:rPr>
          <w:sz w:val="20"/>
          <w:szCs w:val="18"/>
        </w:rPr>
        <w:t>could be to have a</w:t>
      </w:r>
      <w:r w:rsidR="007F5236">
        <w:rPr>
          <w:sz w:val="20"/>
          <w:szCs w:val="18"/>
        </w:rPr>
        <w:t xml:space="preserve">n amended </w:t>
      </w:r>
      <w:r w:rsidR="0010455E">
        <w:rPr>
          <w:sz w:val="20"/>
          <w:szCs w:val="18"/>
        </w:rPr>
        <w:t>option 3 that would keep some limited mandatory fields for some pre-defined period</w:t>
      </w:r>
      <w:r w:rsidR="007F5236">
        <w:rPr>
          <w:sz w:val="20"/>
          <w:szCs w:val="18"/>
        </w:rPr>
        <w:t>.</w:t>
      </w:r>
      <w:r w:rsidR="002E1940">
        <w:rPr>
          <w:sz w:val="20"/>
          <w:szCs w:val="18"/>
        </w:rPr>
        <w:t xml:space="preserve"> This would serve statistical purposes.</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DD36F1">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DD36F1"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5256" w14:textId="77777777" w:rsidR="00503560" w:rsidRDefault="00503560" w:rsidP="00F716D4">
      <w:r>
        <w:separator/>
      </w:r>
    </w:p>
    <w:p w14:paraId="19CB7ACC" w14:textId="77777777" w:rsidR="00503560" w:rsidRDefault="00503560" w:rsidP="00F716D4"/>
  </w:endnote>
  <w:endnote w:type="continuationSeparator" w:id="0">
    <w:p w14:paraId="65EB474B" w14:textId="77777777" w:rsidR="00503560" w:rsidRDefault="00503560" w:rsidP="00F716D4">
      <w:r>
        <w:continuationSeparator/>
      </w:r>
    </w:p>
    <w:p w14:paraId="0E1AE5C3" w14:textId="77777777" w:rsidR="00503560" w:rsidRDefault="00503560" w:rsidP="00F716D4"/>
  </w:endnote>
  <w:endnote w:type="continuationNotice" w:id="1">
    <w:p w14:paraId="79BE92C9" w14:textId="77777777" w:rsidR="00503560" w:rsidRDefault="0050356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0197" w14:textId="34BA174A" w:rsidR="005863C9" w:rsidRPr="00104E00" w:rsidRDefault="005863C9"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sidR="00DD36F1">
          <w:rPr>
            <w:noProof/>
            <w:color w:val="001B4F"/>
            <w:sz w:val="15"/>
            <w:szCs w:val="15"/>
            <w:lang w:val="fr-FR"/>
          </w:rPr>
          <w:t>3</w:t>
        </w:r>
        <w:r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0BDC3" w14:textId="77777777" w:rsidR="00503560" w:rsidRDefault="00503560" w:rsidP="00F716D4">
      <w:r>
        <w:separator/>
      </w:r>
    </w:p>
    <w:p w14:paraId="4D8CC39F" w14:textId="77777777" w:rsidR="00503560" w:rsidRDefault="00503560" w:rsidP="00F716D4"/>
  </w:footnote>
  <w:footnote w:type="continuationSeparator" w:id="0">
    <w:p w14:paraId="35E016C6" w14:textId="77777777" w:rsidR="00503560" w:rsidRDefault="00503560" w:rsidP="00F716D4">
      <w:r>
        <w:continuationSeparator/>
      </w:r>
    </w:p>
    <w:p w14:paraId="70D67561" w14:textId="77777777" w:rsidR="00503560" w:rsidRDefault="00503560" w:rsidP="00F716D4"/>
  </w:footnote>
  <w:footnote w:type="continuationNotice" w:id="1">
    <w:p w14:paraId="41B608B1" w14:textId="77777777" w:rsidR="00503560" w:rsidRDefault="0050356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BF1B" w14:textId="6E179081" w:rsidR="005863C9" w:rsidRPr="004E60D2" w:rsidRDefault="005863C9"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lang w:val="de-DE" w:eastAsia="de-DE"/>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color w:val="001B4F"/>
        <w:sz w:val="16"/>
        <w:szCs w:val="16"/>
        <w:shd w:val="clear" w:color="auto" w:fill="FFFFFF"/>
      </w:rPr>
      <w:t>13 December</w:t>
    </w:r>
    <w:r w:rsidRPr="004E60D2">
      <w:rPr>
        <w:rStyle w:val="normaltextrun"/>
        <w:color w:val="001B4F"/>
        <w:sz w:val="16"/>
        <w:szCs w:val="16"/>
        <w:shd w:val="clear" w:color="auto" w:fill="FFFFFF"/>
      </w:rPr>
      <w:t xml:space="preserve"> 2024</w:t>
    </w:r>
  </w:p>
  <w:p w14:paraId="4AF05B1F" w14:textId="5FDDDFB8" w:rsidR="005863C9" w:rsidRDefault="005863C9" w:rsidP="001853CB">
    <w:pPr>
      <w:jc w:val="right"/>
    </w:pPr>
    <w:r w:rsidRPr="001853CB">
      <w:rPr>
        <w:rStyle w:val="normaltextrun"/>
        <w:color w:val="001B4F"/>
        <w:sz w:val="16"/>
        <w:szCs w:val="16"/>
        <w:shd w:val="clear" w:color="auto" w:fill="FFFFFF"/>
      </w:rPr>
      <w:t>ESMA32-2009130576-3281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9E5B" w14:textId="77777777" w:rsidR="005863C9" w:rsidRDefault="005863C9" w:rsidP="00F716D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8E57" w14:textId="18200719" w:rsidR="005863C9" w:rsidRPr="00F87468" w:rsidRDefault="005863C9" w:rsidP="005C56D3">
    <w:pPr>
      <w:pStyle w:val="HeaderFoot"/>
    </w:pPr>
  </w:p>
  <w:p w14:paraId="3CAF3EB5" w14:textId="77777777" w:rsidR="005863C9" w:rsidRDefault="005863C9" w:rsidP="005C56D3">
    <w:pPr>
      <w:pStyle w:val="HeaderFoot"/>
      <w:rPr>
        <w:lang w:val="fr-FR"/>
      </w:rPr>
    </w:pPr>
  </w:p>
  <w:p w14:paraId="30197A99" w14:textId="77777777" w:rsidR="005863C9" w:rsidRDefault="005863C9" w:rsidP="005C56D3">
    <w:pPr>
      <w:pStyle w:val="HeaderFoot"/>
      <w:rPr>
        <w:lang w:val="fr-FR"/>
      </w:rPr>
    </w:pPr>
  </w:p>
  <w:p w14:paraId="5F3A9B98" w14:textId="77777777" w:rsidR="005863C9" w:rsidRDefault="005863C9" w:rsidP="005C56D3">
    <w:pPr>
      <w:pStyle w:val="HeaderFoot"/>
      <w:rPr>
        <w:lang w:val="fr-FR"/>
      </w:rPr>
    </w:pPr>
  </w:p>
  <w:p w14:paraId="6A690643" w14:textId="77777777" w:rsidR="005863C9" w:rsidRDefault="005863C9" w:rsidP="00AF763D">
    <w:pPr>
      <w:pStyle w:val="HeaderFoot"/>
      <w:jc w:val="both"/>
      <w:rPr>
        <w:lang w:val="fr-FR"/>
      </w:rPr>
    </w:pPr>
  </w:p>
  <w:p w14:paraId="3E5C66CB" w14:textId="41E17AD8" w:rsidR="005863C9" w:rsidRPr="00F87468" w:rsidRDefault="005863C9" w:rsidP="005C56D3">
    <w:pPr>
      <w:pStyle w:val="HeaderFoot"/>
      <w:rPr>
        <w:lang w:val="fr-FR"/>
      </w:rPr>
    </w:pPr>
    <w:r w:rsidRPr="00F87468">
      <w:rPr>
        <w:rStyle w:val="ESMARegularuse"/>
        <w:bCs w:val="0"/>
        <w:caps w:val="0"/>
        <w:noProof/>
        <w:color w:val="001B4F" w:themeColor="text1" w:themeShade="80"/>
        <w:sz w:val="16"/>
        <w:lang w:val="de-DE" w:eastAsia="de-DE"/>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90A2B"/>
    <w:multiLevelType w:val="hybridMultilevel"/>
    <w:tmpl w:val="499AF5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68C2EB5"/>
    <w:multiLevelType w:val="hybridMultilevel"/>
    <w:tmpl w:val="4748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85F514B"/>
    <w:multiLevelType w:val="hybridMultilevel"/>
    <w:tmpl w:val="F8FA105C"/>
    <w:lvl w:ilvl="0" w:tplc="99B2D600">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10"/>
  </w:num>
  <w:num w:numId="4">
    <w:abstractNumId w:val="24"/>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0"/>
  </w:num>
  <w:num w:numId="13">
    <w:abstractNumId w:val="23"/>
  </w:num>
  <w:num w:numId="14">
    <w:abstractNumId w:val="9"/>
  </w:num>
  <w:num w:numId="15">
    <w:abstractNumId w:val="1"/>
  </w:num>
  <w:num w:numId="16">
    <w:abstractNumId w:val="13"/>
  </w:num>
  <w:num w:numId="17">
    <w:abstractNumId w:val="14"/>
  </w:num>
  <w:num w:numId="18">
    <w:abstractNumId w:val="16"/>
  </w:num>
  <w:num w:numId="19">
    <w:abstractNumId w:val="26"/>
  </w:num>
  <w:num w:numId="20">
    <w:abstractNumId w:val="36"/>
  </w:num>
  <w:num w:numId="21">
    <w:abstractNumId w:val="25"/>
  </w:num>
  <w:num w:numId="22">
    <w:abstractNumId w:val="8"/>
  </w:num>
  <w:num w:numId="23">
    <w:abstractNumId w:val="29"/>
  </w:num>
  <w:num w:numId="24">
    <w:abstractNumId w:val="28"/>
  </w:num>
  <w:num w:numId="25">
    <w:abstractNumId w:val="20"/>
  </w:num>
  <w:num w:numId="26">
    <w:abstractNumId w:val="33"/>
  </w:num>
  <w:num w:numId="27">
    <w:abstractNumId w:val="38"/>
  </w:num>
  <w:num w:numId="28">
    <w:abstractNumId w:val="6"/>
  </w:num>
  <w:num w:numId="29">
    <w:abstractNumId w:val="2"/>
  </w:num>
  <w:num w:numId="30">
    <w:abstractNumId w:val="22"/>
  </w:num>
  <w:num w:numId="31">
    <w:abstractNumId w:val="21"/>
  </w:num>
  <w:num w:numId="32">
    <w:abstractNumId w:val="35"/>
  </w:num>
  <w:num w:numId="33">
    <w:abstractNumId w:val="34"/>
  </w:num>
  <w:num w:numId="34">
    <w:abstractNumId w:val="11"/>
  </w:num>
  <w:num w:numId="35">
    <w:abstractNumId w:val="17"/>
  </w:num>
  <w:num w:numId="36">
    <w:abstractNumId w:val="39"/>
  </w:num>
  <w:num w:numId="37">
    <w:abstractNumId w:val="32"/>
  </w:num>
  <w:num w:numId="38">
    <w:abstractNumId w:val="3"/>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s-ES" w:vendorID="64" w:dllVersion="131078"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99D"/>
    <w:rsid w:val="00013CCE"/>
    <w:rsid w:val="000140D5"/>
    <w:rsid w:val="0001410B"/>
    <w:rsid w:val="000141D6"/>
    <w:rsid w:val="00014A95"/>
    <w:rsid w:val="00015B5E"/>
    <w:rsid w:val="00015F1D"/>
    <w:rsid w:val="0001774B"/>
    <w:rsid w:val="00020427"/>
    <w:rsid w:val="00020D0F"/>
    <w:rsid w:val="000215EB"/>
    <w:rsid w:val="000219CF"/>
    <w:rsid w:val="00021C96"/>
    <w:rsid w:val="00021E83"/>
    <w:rsid w:val="00023713"/>
    <w:rsid w:val="00023C4D"/>
    <w:rsid w:val="000244CB"/>
    <w:rsid w:val="00025E71"/>
    <w:rsid w:val="00026226"/>
    <w:rsid w:val="00026269"/>
    <w:rsid w:val="00026E66"/>
    <w:rsid w:val="00027154"/>
    <w:rsid w:val="00027ECF"/>
    <w:rsid w:val="000303BE"/>
    <w:rsid w:val="00032493"/>
    <w:rsid w:val="00033A94"/>
    <w:rsid w:val="000344D6"/>
    <w:rsid w:val="00034960"/>
    <w:rsid w:val="00035397"/>
    <w:rsid w:val="00036FAE"/>
    <w:rsid w:val="00041858"/>
    <w:rsid w:val="0004389E"/>
    <w:rsid w:val="00045CA6"/>
    <w:rsid w:val="000463A6"/>
    <w:rsid w:val="00046CC9"/>
    <w:rsid w:val="00046E91"/>
    <w:rsid w:val="000502FE"/>
    <w:rsid w:val="000507AF"/>
    <w:rsid w:val="0005126D"/>
    <w:rsid w:val="00051992"/>
    <w:rsid w:val="00051E9A"/>
    <w:rsid w:val="000521A7"/>
    <w:rsid w:val="00052858"/>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67EED"/>
    <w:rsid w:val="00070376"/>
    <w:rsid w:val="00070630"/>
    <w:rsid w:val="00070974"/>
    <w:rsid w:val="000710C1"/>
    <w:rsid w:val="00071EAD"/>
    <w:rsid w:val="00071F4E"/>
    <w:rsid w:val="00072271"/>
    <w:rsid w:val="00072B54"/>
    <w:rsid w:val="0007350C"/>
    <w:rsid w:val="0007463D"/>
    <w:rsid w:val="00074979"/>
    <w:rsid w:val="000749F0"/>
    <w:rsid w:val="0007609D"/>
    <w:rsid w:val="00077C67"/>
    <w:rsid w:val="0008049C"/>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56"/>
    <w:rsid w:val="00096762"/>
    <w:rsid w:val="000969C8"/>
    <w:rsid w:val="0009752D"/>
    <w:rsid w:val="00097AEE"/>
    <w:rsid w:val="000A014A"/>
    <w:rsid w:val="000A0396"/>
    <w:rsid w:val="000A04B6"/>
    <w:rsid w:val="000A0B3A"/>
    <w:rsid w:val="000A0E36"/>
    <w:rsid w:val="000A1BD2"/>
    <w:rsid w:val="000A2127"/>
    <w:rsid w:val="000A358F"/>
    <w:rsid w:val="000A3A2B"/>
    <w:rsid w:val="000A4205"/>
    <w:rsid w:val="000A43CC"/>
    <w:rsid w:val="000A7314"/>
    <w:rsid w:val="000A7B53"/>
    <w:rsid w:val="000A7B64"/>
    <w:rsid w:val="000B1586"/>
    <w:rsid w:val="000B275C"/>
    <w:rsid w:val="000B2C3D"/>
    <w:rsid w:val="000B55C0"/>
    <w:rsid w:val="000B5DF2"/>
    <w:rsid w:val="000B73DB"/>
    <w:rsid w:val="000C06C9"/>
    <w:rsid w:val="000C1DCC"/>
    <w:rsid w:val="000C1FBC"/>
    <w:rsid w:val="000C2B6A"/>
    <w:rsid w:val="000C2F88"/>
    <w:rsid w:val="000C3A1F"/>
    <w:rsid w:val="000C55C8"/>
    <w:rsid w:val="000C57C4"/>
    <w:rsid w:val="000C5FD3"/>
    <w:rsid w:val="000C701D"/>
    <w:rsid w:val="000C773C"/>
    <w:rsid w:val="000C7C4A"/>
    <w:rsid w:val="000D17AA"/>
    <w:rsid w:val="000D29C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5D74"/>
    <w:rsid w:val="000F604F"/>
    <w:rsid w:val="000F7399"/>
    <w:rsid w:val="00101BF1"/>
    <w:rsid w:val="001027F1"/>
    <w:rsid w:val="001042A5"/>
    <w:rsid w:val="0010455E"/>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5FB3"/>
    <w:rsid w:val="001262B1"/>
    <w:rsid w:val="00127F84"/>
    <w:rsid w:val="00130F41"/>
    <w:rsid w:val="00130FAF"/>
    <w:rsid w:val="00135F2B"/>
    <w:rsid w:val="001372DD"/>
    <w:rsid w:val="001405BA"/>
    <w:rsid w:val="00141497"/>
    <w:rsid w:val="0014253A"/>
    <w:rsid w:val="001425C8"/>
    <w:rsid w:val="001431AE"/>
    <w:rsid w:val="00143B87"/>
    <w:rsid w:val="001459E3"/>
    <w:rsid w:val="001461AC"/>
    <w:rsid w:val="00146A0B"/>
    <w:rsid w:val="0014761E"/>
    <w:rsid w:val="0015061C"/>
    <w:rsid w:val="00151907"/>
    <w:rsid w:val="001544C8"/>
    <w:rsid w:val="00154837"/>
    <w:rsid w:val="00155318"/>
    <w:rsid w:val="00155FAB"/>
    <w:rsid w:val="001567A1"/>
    <w:rsid w:val="00156857"/>
    <w:rsid w:val="00157BC9"/>
    <w:rsid w:val="00157E79"/>
    <w:rsid w:val="00157EED"/>
    <w:rsid w:val="0016008C"/>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77D3F"/>
    <w:rsid w:val="00181264"/>
    <w:rsid w:val="00181879"/>
    <w:rsid w:val="00181BD1"/>
    <w:rsid w:val="0018204A"/>
    <w:rsid w:val="00182F7C"/>
    <w:rsid w:val="001843B5"/>
    <w:rsid w:val="0018511D"/>
    <w:rsid w:val="001853CB"/>
    <w:rsid w:val="00186829"/>
    <w:rsid w:val="001868CA"/>
    <w:rsid w:val="00187304"/>
    <w:rsid w:val="001875BE"/>
    <w:rsid w:val="0019017A"/>
    <w:rsid w:val="00190B8C"/>
    <w:rsid w:val="00190FF8"/>
    <w:rsid w:val="0019311A"/>
    <w:rsid w:val="0019508A"/>
    <w:rsid w:val="001960D8"/>
    <w:rsid w:val="001A1642"/>
    <w:rsid w:val="001A371B"/>
    <w:rsid w:val="001A3A39"/>
    <w:rsid w:val="001A43E4"/>
    <w:rsid w:val="001A4766"/>
    <w:rsid w:val="001A6A0D"/>
    <w:rsid w:val="001A6C51"/>
    <w:rsid w:val="001A6FAA"/>
    <w:rsid w:val="001A7D73"/>
    <w:rsid w:val="001B0363"/>
    <w:rsid w:val="001B1355"/>
    <w:rsid w:val="001B2FC9"/>
    <w:rsid w:val="001B3138"/>
    <w:rsid w:val="001B4160"/>
    <w:rsid w:val="001B46E3"/>
    <w:rsid w:val="001B4E4B"/>
    <w:rsid w:val="001B50AC"/>
    <w:rsid w:val="001B5E05"/>
    <w:rsid w:val="001B6D68"/>
    <w:rsid w:val="001B6F2E"/>
    <w:rsid w:val="001C0344"/>
    <w:rsid w:val="001C0F2A"/>
    <w:rsid w:val="001C1A59"/>
    <w:rsid w:val="001C22ED"/>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93F"/>
    <w:rsid w:val="001E407D"/>
    <w:rsid w:val="001E40FB"/>
    <w:rsid w:val="001E66EC"/>
    <w:rsid w:val="001E68C5"/>
    <w:rsid w:val="001E6BFC"/>
    <w:rsid w:val="001F0F63"/>
    <w:rsid w:val="001F32A7"/>
    <w:rsid w:val="001F3996"/>
    <w:rsid w:val="001F44A4"/>
    <w:rsid w:val="001F579D"/>
    <w:rsid w:val="001F65EF"/>
    <w:rsid w:val="001F697B"/>
    <w:rsid w:val="002005A6"/>
    <w:rsid w:val="00204183"/>
    <w:rsid w:val="00204CBC"/>
    <w:rsid w:val="002051F1"/>
    <w:rsid w:val="002067BA"/>
    <w:rsid w:val="00210435"/>
    <w:rsid w:val="0021058D"/>
    <w:rsid w:val="002117E3"/>
    <w:rsid w:val="00211E2F"/>
    <w:rsid w:val="00211E9E"/>
    <w:rsid w:val="00214FB4"/>
    <w:rsid w:val="00215940"/>
    <w:rsid w:val="00215B20"/>
    <w:rsid w:val="00215E94"/>
    <w:rsid w:val="00217C23"/>
    <w:rsid w:val="00220561"/>
    <w:rsid w:val="00220CE4"/>
    <w:rsid w:val="00222D9B"/>
    <w:rsid w:val="00223788"/>
    <w:rsid w:val="00223D11"/>
    <w:rsid w:val="002242D3"/>
    <w:rsid w:val="00225EE0"/>
    <w:rsid w:val="00227C1A"/>
    <w:rsid w:val="002301E6"/>
    <w:rsid w:val="002324CC"/>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278F"/>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4EB0"/>
    <w:rsid w:val="00286064"/>
    <w:rsid w:val="002867B1"/>
    <w:rsid w:val="002868FC"/>
    <w:rsid w:val="00287577"/>
    <w:rsid w:val="00287BBB"/>
    <w:rsid w:val="00287E3B"/>
    <w:rsid w:val="00290638"/>
    <w:rsid w:val="00291763"/>
    <w:rsid w:val="00291D80"/>
    <w:rsid w:val="00292E82"/>
    <w:rsid w:val="00293156"/>
    <w:rsid w:val="002935B7"/>
    <w:rsid w:val="00293BE7"/>
    <w:rsid w:val="00293D78"/>
    <w:rsid w:val="002946DC"/>
    <w:rsid w:val="0029493B"/>
    <w:rsid w:val="00294DEA"/>
    <w:rsid w:val="002954D2"/>
    <w:rsid w:val="002A0C82"/>
    <w:rsid w:val="002A0CD8"/>
    <w:rsid w:val="002A13EB"/>
    <w:rsid w:val="002A35EF"/>
    <w:rsid w:val="002A3AAB"/>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0930"/>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D19"/>
    <w:rsid w:val="002D4FEF"/>
    <w:rsid w:val="002D502D"/>
    <w:rsid w:val="002D5997"/>
    <w:rsid w:val="002D63F5"/>
    <w:rsid w:val="002D6E1A"/>
    <w:rsid w:val="002E036D"/>
    <w:rsid w:val="002E10A5"/>
    <w:rsid w:val="002E1517"/>
    <w:rsid w:val="002E1760"/>
    <w:rsid w:val="002E1940"/>
    <w:rsid w:val="002E1B22"/>
    <w:rsid w:val="002E2DC6"/>
    <w:rsid w:val="002E387F"/>
    <w:rsid w:val="002E76FC"/>
    <w:rsid w:val="002E7F4B"/>
    <w:rsid w:val="002F05E2"/>
    <w:rsid w:val="002F0C91"/>
    <w:rsid w:val="002F0E3E"/>
    <w:rsid w:val="002F1683"/>
    <w:rsid w:val="002F1B19"/>
    <w:rsid w:val="002F1FBF"/>
    <w:rsid w:val="002F22C4"/>
    <w:rsid w:val="002F4139"/>
    <w:rsid w:val="00300624"/>
    <w:rsid w:val="00300F56"/>
    <w:rsid w:val="00301006"/>
    <w:rsid w:val="0030108F"/>
    <w:rsid w:val="00301C2B"/>
    <w:rsid w:val="003028B1"/>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26EED"/>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1883"/>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792"/>
    <w:rsid w:val="00383D7D"/>
    <w:rsid w:val="00384CCE"/>
    <w:rsid w:val="003865E5"/>
    <w:rsid w:val="003926C1"/>
    <w:rsid w:val="00392900"/>
    <w:rsid w:val="00393357"/>
    <w:rsid w:val="00395008"/>
    <w:rsid w:val="00395E7B"/>
    <w:rsid w:val="00395F4C"/>
    <w:rsid w:val="003965BC"/>
    <w:rsid w:val="003A349D"/>
    <w:rsid w:val="003A4332"/>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69A"/>
    <w:rsid w:val="003D4B73"/>
    <w:rsid w:val="003D503B"/>
    <w:rsid w:val="003D605E"/>
    <w:rsid w:val="003D61D1"/>
    <w:rsid w:val="003D6780"/>
    <w:rsid w:val="003D6FCB"/>
    <w:rsid w:val="003D7C24"/>
    <w:rsid w:val="003E0478"/>
    <w:rsid w:val="003E0F84"/>
    <w:rsid w:val="003E1FF3"/>
    <w:rsid w:val="003E3ACA"/>
    <w:rsid w:val="003E50EA"/>
    <w:rsid w:val="003E68C7"/>
    <w:rsid w:val="003E7313"/>
    <w:rsid w:val="003E79B0"/>
    <w:rsid w:val="003F0403"/>
    <w:rsid w:val="003F1094"/>
    <w:rsid w:val="003F2E45"/>
    <w:rsid w:val="003F3EFE"/>
    <w:rsid w:val="003F40B8"/>
    <w:rsid w:val="003F4E2D"/>
    <w:rsid w:val="003F5C06"/>
    <w:rsid w:val="00400195"/>
    <w:rsid w:val="0040254B"/>
    <w:rsid w:val="00402A9B"/>
    <w:rsid w:val="00403086"/>
    <w:rsid w:val="00403460"/>
    <w:rsid w:val="004036C3"/>
    <w:rsid w:val="004040FF"/>
    <w:rsid w:val="00404284"/>
    <w:rsid w:val="004042C4"/>
    <w:rsid w:val="00406E90"/>
    <w:rsid w:val="00410240"/>
    <w:rsid w:val="00410396"/>
    <w:rsid w:val="00412253"/>
    <w:rsid w:val="00413845"/>
    <w:rsid w:val="004142ED"/>
    <w:rsid w:val="0041634D"/>
    <w:rsid w:val="00416ABC"/>
    <w:rsid w:val="004172D7"/>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49F"/>
    <w:rsid w:val="00432A91"/>
    <w:rsid w:val="004332A4"/>
    <w:rsid w:val="0043453F"/>
    <w:rsid w:val="00434A74"/>
    <w:rsid w:val="004350F4"/>
    <w:rsid w:val="00437929"/>
    <w:rsid w:val="00437A4A"/>
    <w:rsid w:val="00440541"/>
    <w:rsid w:val="0044155A"/>
    <w:rsid w:val="0044162D"/>
    <w:rsid w:val="0044277A"/>
    <w:rsid w:val="00442D19"/>
    <w:rsid w:val="004434EF"/>
    <w:rsid w:val="004445F0"/>
    <w:rsid w:val="004456DC"/>
    <w:rsid w:val="00445E0E"/>
    <w:rsid w:val="004463D2"/>
    <w:rsid w:val="00447FBE"/>
    <w:rsid w:val="0045021A"/>
    <w:rsid w:val="0045035E"/>
    <w:rsid w:val="0045175A"/>
    <w:rsid w:val="00451BCB"/>
    <w:rsid w:val="00451ED9"/>
    <w:rsid w:val="00452180"/>
    <w:rsid w:val="00453072"/>
    <w:rsid w:val="004539F8"/>
    <w:rsid w:val="00453F26"/>
    <w:rsid w:val="0045503F"/>
    <w:rsid w:val="00455273"/>
    <w:rsid w:val="00460905"/>
    <w:rsid w:val="00461E35"/>
    <w:rsid w:val="004621DB"/>
    <w:rsid w:val="004634A7"/>
    <w:rsid w:val="00463787"/>
    <w:rsid w:val="00466850"/>
    <w:rsid w:val="00466926"/>
    <w:rsid w:val="00466FDA"/>
    <w:rsid w:val="004671D0"/>
    <w:rsid w:val="004674D1"/>
    <w:rsid w:val="00470773"/>
    <w:rsid w:val="00471FF9"/>
    <w:rsid w:val="00473E74"/>
    <w:rsid w:val="00473FEF"/>
    <w:rsid w:val="00475B8E"/>
    <w:rsid w:val="004807EC"/>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CD2"/>
    <w:rsid w:val="004964F6"/>
    <w:rsid w:val="00496821"/>
    <w:rsid w:val="00497750"/>
    <w:rsid w:val="00497B44"/>
    <w:rsid w:val="004A00E5"/>
    <w:rsid w:val="004A01A7"/>
    <w:rsid w:val="004A0D09"/>
    <w:rsid w:val="004A0ED5"/>
    <w:rsid w:val="004A116E"/>
    <w:rsid w:val="004A357F"/>
    <w:rsid w:val="004A3DAD"/>
    <w:rsid w:val="004B0335"/>
    <w:rsid w:val="004B07DA"/>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4C29"/>
    <w:rsid w:val="004C5766"/>
    <w:rsid w:val="004C5F54"/>
    <w:rsid w:val="004C6E76"/>
    <w:rsid w:val="004C77DD"/>
    <w:rsid w:val="004C7826"/>
    <w:rsid w:val="004C7B33"/>
    <w:rsid w:val="004D1410"/>
    <w:rsid w:val="004D1478"/>
    <w:rsid w:val="004D19EE"/>
    <w:rsid w:val="004D1CF2"/>
    <w:rsid w:val="004D2D3A"/>
    <w:rsid w:val="004D2F0A"/>
    <w:rsid w:val="004D374D"/>
    <w:rsid w:val="004D3DEC"/>
    <w:rsid w:val="004D42C8"/>
    <w:rsid w:val="004D4F57"/>
    <w:rsid w:val="004D50F6"/>
    <w:rsid w:val="004D5A0D"/>
    <w:rsid w:val="004D7910"/>
    <w:rsid w:val="004D7DEA"/>
    <w:rsid w:val="004E0A28"/>
    <w:rsid w:val="004E1A0F"/>
    <w:rsid w:val="004E2E89"/>
    <w:rsid w:val="004E33C2"/>
    <w:rsid w:val="004E3B9A"/>
    <w:rsid w:val="004E3FE0"/>
    <w:rsid w:val="004E49B0"/>
    <w:rsid w:val="004E60D2"/>
    <w:rsid w:val="004E62DE"/>
    <w:rsid w:val="004E6B05"/>
    <w:rsid w:val="004E76A1"/>
    <w:rsid w:val="004F05DE"/>
    <w:rsid w:val="004F25D3"/>
    <w:rsid w:val="004F6376"/>
    <w:rsid w:val="004F6A93"/>
    <w:rsid w:val="004F6F14"/>
    <w:rsid w:val="004F728D"/>
    <w:rsid w:val="004F76D9"/>
    <w:rsid w:val="004F79A6"/>
    <w:rsid w:val="004F7D27"/>
    <w:rsid w:val="00501BF5"/>
    <w:rsid w:val="00501D8B"/>
    <w:rsid w:val="00503560"/>
    <w:rsid w:val="00503A3E"/>
    <w:rsid w:val="00503F59"/>
    <w:rsid w:val="005049A7"/>
    <w:rsid w:val="005053B2"/>
    <w:rsid w:val="00506331"/>
    <w:rsid w:val="00507D11"/>
    <w:rsid w:val="00510662"/>
    <w:rsid w:val="005109B7"/>
    <w:rsid w:val="00510A19"/>
    <w:rsid w:val="00511AAB"/>
    <w:rsid w:val="00511CAD"/>
    <w:rsid w:val="00514898"/>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91A"/>
    <w:rsid w:val="00526F8F"/>
    <w:rsid w:val="00530A8D"/>
    <w:rsid w:val="00531C6D"/>
    <w:rsid w:val="00532EF4"/>
    <w:rsid w:val="005347CE"/>
    <w:rsid w:val="00535477"/>
    <w:rsid w:val="00535DEA"/>
    <w:rsid w:val="005364B7"/>
    <w:rsid w:val="0053723A"/>
    <w:rsid w:val="00537636"/>
    <w:rsid w:val="00537714"/>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0CD"/>
    <w:rsid w:val="00562E82"/>
    <w:rsid w:val="005648A8"/>
    <w:rsid w:val="00564DE3"/>
    <w:rsid w:val="00564E44"/>
    <w:rsid w:val="00566C6A"/>
    <w:rsid w:val="00566CE5"/>
    <w:rsid w:val="00566D36"/>
    <w:rsid w:val="00566DD1"/>
    <w:rsid w:val="0057163A"/>
    <w:rsid w:val="0057174D"/>
    <w:rsid w:val="00573569"/>
    <w:rsid w:val="00573871"/>
    <w:rsid w:val="0057389E"/>
    <w:rsid w:val="00573AE4"/>
    <w:rsid w:val="00574A6C"/>
    <w:rsid w:val="00574C6D"/>
    <w:rsid w:val="00575882"/>
    <w:rsid w:val="00576144"/>
    <w:rsid w:val="005765C0"/>
    <w:rsid w:val="005778DE"/>
    <w:rsid w:val="00580673"/>
    <w:rsid w:val="00580B3F"/>
    <w:rsid w:val="005825F2"/>
    <w:rsid w:val="0058344D"/>
    <w:rsid w:val="00583885"/>
    <w:rsid w:val="00583B22"/>
    <w:rsid w:val="00585B3A"/>
    <w:rsid w:val="005860AF"/>
    <w:rsid w:val="005863C9"/>
    <w:rsid w:val="00587F1D"/>
    <w:rsid w:val="00590348"/>
    <w:rsid w:val="00591161"/>
    <w:rsid w:val="0059120D"/>
    <w:rsid w:val="00592318"/>
    <w:rsid w:val="00593133"/>
    <w:rsid w:val="005935FA"/>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374"/>
    <w:rsid w:val="005D2AD2"/>
    <w:rsid w:val="005D3762"/>
    <w:rsid w:val="005D4A86"/>
    <w:rsid w:val="005D4F78"/>
    <w:rsid w:val="005D54BB"/>
    <w:rsid w:val="005D570C"/>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4FD3"/>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078BF"/>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3D1"/>
    <w:rsid w:val="00620600"/>
    <w:rsid w:val="00620D7C"/>
    <w:rsid w:val="00621089"/>
    <w:rsid w:val="00621E1F"/>
    <w:rsid w:val="006228B2"/>
    <w:rsid w:val="006228E1"/>
    <w:rsid w:val="00622E32"/>
    <w:rsid w:val="00623688"/>
    <w:rsid w:val="006247E0"/>
    <w:rsid w:val="00625F82"/>
    <w:rsid w:val="00627999"/>
    <w:rsid w:val="006303F0"/>
    <w:rsid w:val="00630FF7"/>
    <w:rsid w:val="00633433"/>
    <w:rsid w:val="006339FF"/>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4ED"/>
    <w:rsid w:val="0065095B"/>
    <w:rsid w:val="006509B0"/>
    <w:rsid w:val="00650AFF"/>
    <w:rsid w:val="006521F3"/>
    <w:rsid w:val="006524D5"/>
    <w:rsid w:val="00652BBD"/>
    <w:rsid w:val="00653633"/>
    <w:rsid w:val="00653F69"/>
    <w:rsid w:val="00654936"/>
    <w:rsid w:val="00655485"/>
    <w:rsid w:val="006558B3"/>
    <w:rsid w:val="00656733"/>
    <w:rsid w:val="00656867"/>
    <w:rsid w:val="00660BF0"/>
    <w:rsid w:val="0066174D"/>
    <w:rsid w:val="0066189C"/>
    <w:rsid w:val="006630CF"/>
    <w:rsid w:val="00663EFF"/>
    <w:rsid w:val="00663FD7"/>
    <w:rsid w:val="00664FFB"/>
    <w:rsid w:val="0066663F"/>
    <w:rsid w:val="006668FF"/>
    <w:rsid w:val="00666F74"/>
    <w:rsid w:val="00667027"/>
    <w:rsid w:val="00667FEA"/>
    <w:rsid w:val="006710D2"/>
    <w:rsid w:val="00671A8B"/>
    <w:rsid w:val="00671BE3"/>
    <w:rsid w:val="00671F53"/>
    <w:rsid w:val="006725A0"/>
    <w:rsid w:val="006734E3"/>
    <w:rsid w:val="00674628"/>
    <w:rsid w:val="006752CB"/>
    <w:rsid w:val="0067555E"/>
    <w:rsid w:val="00675DF9"/>
    <w:rsid w:val="0067738D"/>
    <w:rsid w:val="0067789B"/>
    <w:rsid w:val="00677FAD"/>
    <w:rsid w:val="006802DE"/>
    <w:rsid w:val="0068032D"/>
    <w:rsid w:val="0068068C"/>
    <w:rsid w:val="00681115"/>
    <w:rsid w:val="006824A3"/>
    <w:rsid w:val="00683920"/>
    <w:rsid w:val="00685147"/>
    <w:rsid w:val="00685653"/>
    <w:rsid w:val="0068590D"/>
    <w:rsid w:val="00685A89"/>
    <w:rsid w:val="006861B3"/>
    <w:rsid w:val="00686FA2"/>
    <w:rsid w:val="006870C5"/>
    <w:rsid w:val="00690A28"/>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1BC"/>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7DEB"/>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574"/>
    <w:rsid w:val="0070482E"/>
    <w:rsid w:val="00704D25"/>
    <w:rsid w:val="00706831"/>
    <w:rsid w:val="00710519"/>
    <w:rsid w:val="00710F6E"/>
    <w:rsid w:val="007112E4"/>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A3A"/>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6950"/>
    <w:rsid w:val="0074726F"/>
    <w:rsid w:val="00752D4F"/>
    <w:rsid w:val="00753CC1"/>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277"/>
    <w:rsid w:val="00766F4D"/>
    <w:rsid w:val="00770268"/>
    <w:rsid w:val="007706B9"/>
    <w:rsid w:val="007707ED"/>
    <w:rsid w:val="00771C3B"/>
    <w:rsid w:val="007726F9"/>
    <w:rsid w:val="00773B94"/>
    <w:rsid w:val="00773C65"/>
    <w:rsid w:val="00775937"/>
    <w:rsid w:val="00775A8C"/>
    <w:rsid w:val="00777046"/>
    <w:rsid w:val="007770DA"/>
    <w:rsid w:val="00777668"/>
    <w:rsid w:val="00777E4B"/>
    <w:rsid w:val="007805B9"/>
    <w:rsid w:val="007805D1"/>
    <w:rsid w:val="00780C3A"/>
    <w:rsid w:val="007834A1"/>
    <w:rsid w:val="00791EB4"/>
    <w:rsid w:val="007928F1"/>
    <w:rsid w:val="0079357D"/>
    <w:rsid w:val="007937CC"/>
    <w:rsid w:val="00793A31"/>
    <w:rsid w:val="0079485D"/>
    <w:rsid w:val="00794979"/>
    <w:rsid w:val="007956B7"/>
    <w:rsid w:val="00795F1A"/>
    <w:rsid w:val="00796EDE"/>
    <w:rsid w:val="00796F3D"/>
    <w:rsid w:val="00797297"/>
    <w:rsid w:val="007974B3"/>
    <w:rsid w:val="00797875"/>
    <w:rsid w:val="007A076C"/>
    <w:rsid w:val="007A2140"/>
    <w:rsid w:val="007A23E2"/>
    <w:rsid w:val="007A2E4E"/>
    <w:rsid w:val="007A31A5"/>
    <w:rsid w:val="007A411B"/>
    <w:rsid w:val="007A4559"/>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1A31"/>
    <w:rsid w:val="007C2AA7"/>
    <w:rsid w:val="007C3770"/>
    <w:rsid w:val="007C49C0"/>
    <w:rsid w:val="007C55C1"/>
    <w:rsid w:val="007C5738"/>
    <w:rsid w:val="007C5772"/>
    <w:rsid w:val="007C5AC3"/>
    <w:rsid w:val="007C5BD5"/>
    <w:rsid w:val="007C7233"/>
    <w:rsid w:val="007D10EE"/>
    <w:rsid w:val="007D1193"/>
    <w:rsid w:val="007D21D5"/>
    <w:rsid w:val="007D2FED"/>
    <w:rsid w:val="007D3E8D"/>
    <w:rsid w:val="007D431F"/>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0FF9"/>
    <w:rsid w:val="007F1939"/>
    <w:rsid w:val="007F365C"/>
    <w:rsid w:val="007F5066"/>
    <w:rsid w:val="007F5236"/>
    <w:rsid w:val="007F621C"/>
    <w:rsid w:val="007F7155"/>
    <w:rsid w:val="0080025A"/>
    <w:rsid w:val="00800C28"/>
    <w:rsid w:val="008019FF"/>
    <w:rsid w:val="0080245E"/>
    <w:rsid w:val="00802E10"/>
    <w:rsid w:val="00803480"/>
    <w:rsid w:val="0080359C"/>
    <w:rsid w:val="008037AE"/>
    <w:rsid w:val="008037F6"/>
    <w:rsid w:val="008043F4"/>
    <w:rsid w:val="00804BB4"/>
    <w:rsid w:val="00805D9F"/>
    <w:rsid w:val="00805DDA"/>
    <w:rsid w:val="00807A4D"/>
    <w:rsid w:val="00807F30"/>
    <w:rsid w:val="00810377"/>
    <w:rsid w:val="008103DC"/>
    <w:rsid w:val="0081119F"/>
    <w:rsid w:val="0081134D"/>
    <w:rsid w:val="00811EDA"/>
    <w:rsid w:val="00812403"/>
    <w:rsid w:val="00812FD7"/>
    <w:rsid w:val="0081324E"/>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88A"/>
    <w:rsid w:val="0085590C"/>
    <w:rsid w:val="008575EB"/>
    <w:rsid w:val="00862DDD"/>
    <w:rsid w:val="0086312D"/>
    <w:rsid w:val="0086326D"/>
    <w:rsid w:val="00863CC1"/>
    <w:rsid w:val="00864578"/>
    <w:rsid w:val="00865B01"/>
    <w:rsid w:val="00866D7A"/>
    <w:rsid w:val="00866EE3"/>
    <w:rsid w:val="00871F04"/>
    <w:rsid w:val="008734A7"/>
    <w:rsid w:val="008746C1"/>
    <w:rsid w:val="008754B0"/>
    <w:rsid w:val="00877591"/>
    <w:rsid w:val="00880224"/>
    <w:rsid w:val="0088244C"/>
    <w:rsid w:val="00883367"/>
    <w:rsid w:val="00884C47"/>
    <w:rsid w:val="00885E6F"/>
    <w:rsid w:val="008861AC"/>
    <w:rsid w:val="008868E4"/>
    <w:rsid w:val="00886A60"/>
    <w:rsid w:val="0088759B"/>
    <w:rsid w:val="00887ACA"/>
    <w:rsid w:val="008909B4"/>
    <w:rsid w:val="008922E8"/>
    <w:rsid w:val="00893916"/>
    <w:rsid w:val="0089442C"/>
    <w:rsid w:val="00895818"/>
    <w:rsid w:val="00895BF0"/>
    <w:rsid w:val="00896046"/>
    <w:rsid w:val="008969EC"/>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6CF"/>
    <w:rsid w:val="008C3863"/>
    <w:rsid w:val="008C3B6B"/>
    <w:rsid w:val="008C4BDC"/>
    <w:rsid w:val="008C50FF"/>
    <w:rsid w:val="008C53FA"/>
    <w:rsid w:val="008C5435"/>
    <w:rsid w:val="008C6BD1"/>
    <w:rsid w:val="008D2DB5"/>
    <w:rsid w:val="008D3F10"/>
    <w:rsid w:val="008D611D"/>
    <w:rsid w:val="008D7368"/>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172"/>
    <w:rsid w:val="00913401"/>
    <w:rsid w:val="00913567"/>
    <w:rsid w:val="009137B6"/>
    <w:rsid w:val="009142CB"/>
    <w:rsid w:val="00915EBA"/>
    <w:rsid w:val="00917093"/>
    <w:rsid w:val="009200E8"/>
    <w:rsid w:val="0092030E"/>
    <w:rsid w:val="009217B1"/>
    <w:rsid w:val="00921A42"/>
    <w:rsid w:val="009223BB"/>
    <w:rsid w:val="00922491"/>
    <w:rsid w:val="00923BCF"/>
    <w:rsid w:val="00925AEC"/>
    <w:rsid w:val="0092688F"/>
    <w:rsid w:val="0092723C"/>
    <w:rsid w:val="0092751A"/>
    <w:rsid w:val="009305C4"/>
    <w:rsid w:val="00931616"/>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272"/>
    <w:rsid w:val="0095474A"/>
    <w:rsid w:val="00954BAF"/>
    <w:rsid w:val="00955C61"/>
    <w:rsid w:val="00955F48"/>
    <w:rsid w:val="009560B3"/>
    <w:rsid w:val="0095745E"/>
    <w:rsid w:val="00957CE0"/>
    <w:rsid w:val="0096002E"/>
    <w:rsid w:val="0096039E"/>
    <w:rsid w:val="0096164C"/>
    <w:rsid w:val="00962CEF"/>
    <w:rsid w:val="00963766"/>
    <w:rsid w:val="00963FDF"/>
    <w:rsid w:val="00964C32"/>
    <w:rsid w:val="00964F24"/>
    <w:rsid w:val="0096528F"/>
    <w:rsid w:val="009653F2"/>
    <w:rsid w:val="009661DF"/>
    <w:rsid w:val="00966796"/>
    <w:rsid w:val="009667BD"/>
    <w:rsid w:val="00967570"/>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4C3F"/>
    <w:rsid w:val="00987829"/>
    <w:rsid w:val="00987F7A"/>
    <w:rsid w:val="00991276"/>
    <w:rsid w:val="009923E7"/>
    <w:rsid w:val="00992697"/>
    <w:rsid w:val="00992D4E"/>
    <w:rsid w:val="009934BB"/>
    <w:rsid w:val="00994621"/>
    <w:rsid w:val="009947FF"/>
    <w:rsid w:val="0099544B"/>
    <w:rsid w:val="009A07A6"/>
    <w:rsid w:val="009A0D56"/>
    <w:rsid w:val="009A2CFF"/>
    <w:rsid w:val="009A31B9"/>
    <w:rsid w:val="009A329F"/>
    <w:rsid w:val="009A3BBC"/>
    <w:rsid w:val="009A3C65"/>
    <w:rsid w:val="009A4D4F"/>
    <w:rsid w:val="009A53D8"/>
    <w:rsid w:val="009A597F"/>
    <w:rsid w:val="009A5CC4"/>
    <w:rsid w:val="009A6B2A"/>
    <w:rsid w:val="009A7B72"/>
    <w:rsid w:val="009A7F49"/>
    <w:rsid w:val="009B03C4"/>
    <w:rsid w:val="009B0AA2"/>
    <w:rsid w:val="009B1D02"/>
    <w:rsid w:val="009B7133"/>
    <w:rsid w:val="009B7658"/>
    <w:rsid w:val="009B7CD1"/>
    <w:rsid w:val="009B7E22"/>
    <w:rsid w:val="009B7E78"/>
    <w:rsid w:val="009C048D"/>
    <w:rsid w:val="009C10FE"/>
    <w:rsid w:val="009C13BC"/>
    <w:rsid w:val="009C1744"/>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258"/>
    <w:rsid w:val="009E0711"/>
    <w:rsid w:val="009E085F"/>
    <w:rsid w:val="009E1917"/>
    <w:rsid w:val="009E1C55"/>
    <w:rsid w:val="009E3594"/>
    <w:rsid w:val="009E46B5"/>
    <w:rsid w:val="009E4E02"/>
    <w:rsid w:val="009E6B77"/>
    <w:rsid w:val="009E74CE"/>
    <w:rsid w:val="009E7724"/>
    <w:rsid w:val="009E7D1F"/>
    <w:rsid w:val="009F1083"/>
    <w:rsid w:val="009F1D82"/>
    <w:rsid w:val="009F37AA"/>
    <w:rsid w:val="009F544C"/>
    <w:rsid w:val="009F5731"/>
    <w:rsid w:val="009F58FA"/>
    <w:rsid w:val="009F6321"/>
    <w:rsid w:val="009F6378"/>
    <w:rsid w:val="009F7669"/>
    <w:rsid w:val="009F7F45"/>
    <w:rsid w:val="009F7FD5"/>
    <w:rsid w:val="00A005D4"/>
    <w:rsid w:val="00A0083C"/>
    <w:rsid w:val="00A0141A"/>
    <w:rsid w:val="00A01A90"/>
    <w:rsid w:val="00A02370"/>
    <w:rsid w:val="00A04685"/>
    <w:rsid w:val="00A04C57"/>
    <w:rsid w:val="00A06340"/>
    <w:rsid w:val="00A0684F"/>
    <w:rsid w:val="00A06867"/>
    <w:rsid w:val="00A10148"/>
    <w:rsid w:val="00A10C47"/>
    <w:rsid w:val="00A10F6D"/>
    <w:rsid w:val="00A113FD"/>
    <w:rsid w:val="00A11DDE"/>
    <w:rsid w:val="00A127A7"/>
    <w:rsid w:val="00A129F4"/>
    <w:rsid w:val="00A136F4"/>
    <w:rsid w:val="00A160D3"/>
    <w:rsid w:val="00A16DC9"/>
    <w:rsid w:val="00A20225"/>
    <w:rsid w:val="00A20649"/>
    <w:rsid w:val="00A24269"/>
    <w:rsid w:val="00A243E4"/>
    <w:rsid w:val="00A25392"/>
    <w:rsid w:val="00A25ED4"/>
    <w:rsid w:val="00A263DF"/>
    <w:rsid w:val="00A26C5C"/>
    <w:rsid w:val="00A3026E"/>
    <w:rsid w:val="00A30BDE"/>
    <w:rsid w:val="00A3131C"/>
    <w:rsid w:val="00A31F14"/>
    <w:rsid w:val="00A32144"/>
    <w:rsid w:val="00A324DC"/>
    <w:rsid w:val="00A32B5A"/>
    <w:rsid w:val="00A32D4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611"/>
    <w:rsid w:val="00A74736"/>
    <w:rsid w:val="00A74F9F"/>
    <w:rsid w:val="00A750B3"/>
    <w:rsid w:val="00A75559"/>
    <w:rsid w:val="00A7623D"/>
    <w:rsid w:val="00A81A50"/>
    <w:rsid w:val="00A8217C"/>
    <w:rsid w:val="00A824A7"/>
    <w:rsid w:val="00A83644"/>
    <w:rsid w:val="00A83C07"/>
    <w:rsid w:val="00A83F40"/>
    <w:rsid w:val="00A84945"/>
    <w:rsid w:val="00A84A7B"/>
    <w:rsid w:val="00A85543"/>
    <w:rsid w:val="00A85A11"/>
    <w:rsid w:val="00A86EDD"/>
    <w:rsid w:val="00A8728B"/>
    <w:rsid w:val="00A91682"/>
    <w:rsid w:val="00A92125"/>
    <w:rsid w:val="00A92E4A"/>
    <w:rsid w:val="00A93006"/>
    <w:rsid w:val="00A958CA"/>
    <w:rsid w:val="00A966B6"/>
    <w:rsid w:val="00A96B46"/>
    <w:rsid w:val="00AA003B"/>
    <w:rsid w:val="00AA016B"/>
    <w:rsid w:val="00AA15DD"/>
    <w:rsid w:val="00AA1A6C"/>
    <w:rsid w:val="00AA1C09"/>
    <w:rsid w:val="00AA2F67"/>
    <w:rsid w:val="00AA3569"/>
    <w:rsid w:val="00AA5F4C"/>
    <w:rsid w:val="00AA615C"/>
    <w:rsid w:val="00AA6276"/>
    <w:rsid w:val="00AA6711"/>
    <w:rsid w:val="00AB0396"/>
    <w:rsid w:val="00AB0E0D"/>
    <w:rsid w:val="00AB2AEC"/>
    <w:rsid w:val="00AB2DC1"/>
    <w:rsid w:val="00AB3102"/>
    <w:rsid w:val="00AB3D9A"/>
    <w:rsid w:val="00AB4824"/>
    <w:rsid w:val="00AB4B1D"/>
    <w:rsid w:val="00AB6B5E"/>
    <w:rsid w:val="00AC03E1"/>
    <w:rsid w:val="00AC047F"/>
    <w:rsid w:val="00AC0DB2"/>
    <w:rsid w:val="00AC3934"/>
    <w:rsid w:val="00AC50C8"/>
    <w:rsid w:val="00AC5581"/>
    <w:rsid w:val="00AC56AD"/>
    <w:rsid w:val="00AC61BE"/>
    <w:rsid w:val="00AC7E8A"/>
    <w:rsid w:val="00AD0706"/>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9B2"/>
    <w:rsid w:val="00AE3BC6"/>
    <w:rsid w:val="00AE4D4F"/>
    <w:rsid w:val="00AE627C"/>
    <w:rsid w:val="00AE62B0"/>
    <w:rsid w:val="00AE68A2"/>
    <w:rsid w:val="00AE6DEC"/>
    <w:rsid w:val="00AF0029"/>
    <w:rsid w:val="00AF0354"/>
    <w:rsid w:val="00AF0B5B"/>
    <w:rsid w:val="00AF1236"/>
    <w:rsid w:val="00AF3C29"/>
    <w:rsid w:val="00AF4401"/>
    <w:rsid w:val="00AF4463"/>
    <w:rsid w:val="00AF502B"/>
    <w:rsid w:val="00AF53CB"/>
    <w:rsid w:val="00AF6513"/>
    <w:rsid w:val="00AF65C5"/>
    <w:rsid w:val="00AF70FE"/>
    <w:rsid w:val="00AF763D"/>
    <w:rsid w:val="00B03CE2"/>
    <w:rsid w:val="00B05AE8"/>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EBA"/>
    <w:rsid w:val="00B23F86"/>
    <w:rsid w:val="00B24145"/>
    <w:rsid w:val="00B248A0"/>
    <w:rsid w:val="00B24B42"/>
    <w:rsid w:val="00B24DC6"/>
    <w:rsid w:val="00B24E30"/>
    <w:rsid w:val="00B258F3"/>
    <w:rsid w:val="00B25E0D"/>
    <w:rsid w:val="00B26483"/>
    <w:rsid w:val="00B2659C"/>
    <w:rsid w:val="00B26B13"/>
    <w:rsid w:val="00B26BD2"/>
    <w:rsid w:val="00B26FD4"/>
    <w:rsid w:val="00B26FD7"/>
    <w:rsid w:val="00B270AB"/>
    <w:rsid w:val="00B2725B"/>
    <w:rsid w:val="00B306FC"/>
    <w:rsid w:val="00B307E7"/>
    <w:rsid w:val="00B309D2"/>
    <w:rsid w:val="00B30E4F"/>
    <w:rsid w:val="00B3124F"/>
    <w:rsid w:val="00B32975"/>
    <w:rsid w:val="00B32CDF"/>
    <w:rsid w:val="00B33294"/>
    <w:rsid w:val="00B33657"/>
    <w:rsid w:val="00B34885"/>
    <w:rsid w:val="00B34D68"/>
    <w:rsid w:val="00B36117"/>
    <w:rsid w:val="00B362E3"/>
    <w:rsid w:val="00B3799D"/>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3F96"/>
    <w:rsid w:val="00B546C3"/>
    <w:rsid w:val="00B54BD9"/>
    <w:rsid w:val="00B5503C"/>
    <w:rsid w:val="00B55640"/>
    <w:rsid w:val="00B55C57"/>
    <w:rsid w:val="00B57107"/>
    <w:rsid w:val="00B60D27"/>
    <w:rsid w:val="00B61979"/>
    <w:rsid w:val="00B619E4"/>
    <w:rsid w:val="00B61CD3"/>
    <w:rsid w:val="00B61D0B"/>
    <w:rsid w:val="00B6351C"/>
    <w:rsid w:val="00B63732"/>
    <w:rsid w:val="00B64077"/>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1B52"/>
    <w:rsid w:val="00B82DC1"/>
    <w:rsid w:val="00B833DD"/>
    <w:rsid w:val="00B835D5"/>
    <w:rsid w:val="00B84028"/>
    <w:rsid w:val="00B84307"/>
    <w:rsid w:val="00B8430D"/>
    <w:rsid w:val="00B85661"/>
    <w:rsid w:val="00B85C8A"/>
    <w:rsid w:val="00B8660E"/>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1DB8"/>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4F91"/>
    <w:rsid w:val="00BC5622"/>
    <w:rsid w:val="00BC6060"/>
    <w:rsid w:val="00BC6A9F"/>
    <w:rsid w:val="00BC7897"/>
    <w:rsid w:val="00BD06D7"/>
    <w:rsid w:val="00BD0F35"/>
    <w:rsid w:val="00BD45A4"/>
    <w:rsid w:val="00BD4A5F"/>
    <w:rsid w:val="00BD59AA"/>
    <w:rsid w:val="00BD65E6"/>
    <w:rsid w:val="00BD6AF7"/>
    <w:rsid w:val="00BD716A"/>
    <w:rsid w:val="00BD73AA"/>
    <w:rsid w:val="00BE02A2"/>
    <w:rsid w:val="00BE19EF"/>
    <w:rsid w:val="00BE3FE9"/>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ABD"/>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5B4"/>
    <w:rsid w:val="00C13ED7"/>
    <w:rsid w:val="00C14615"/>
    <w:rsid w:val="00C14F48"/>
    <w:rsid w:val="00C15154"/>
    <w:rsid w:val="00C15296"/>
    <w:rsid w:val="00C17750"/>
    <w:rsid w:val="00C2094B"/>
    <w:rsid w:val="00C20DC5"/>
    <w:rsid w:val="00C2251E"/>
    <w:rsid w:val="00C228C1"/>
    <w:rsid w:val="00C2294E"/>
    <w:rsid w:val="00C22A5B"/>
    <w:rsid w:val="00C23412"/>
    <w:rsid w:val="00C246F4"/>
    <w:rsid w:val="00C264C7"/>
    <w:rsid w:val="00C2682A"/>
    <w:rsid w:val="00C271C4"/>
    <w:rsid w:val="00C274F3"/>
    <w:rsid w:val="00C27B87"/>
    <w:rsid w:val="00C30A54"/>
    <w:rsid w:val="00C316F7"/>
    <w:rsid w:val="00C318DE"/>
    <w:rsid w:val="00C31DF0"/>
    <w:rsid w:val="00C33916"/>
    <w:rsid w:val="00C33BCF"/>
    <w:rsid w:val="00C353A0"/>
    <w:rsid w:val="00C368D7"/>
    <w:rsid w:val="00C36FD1"/>
    <w:rsid w:val="00C371A5"/>
    <w:rsid w:val="00C400B0"/>
    <w:rsid w:val="00C413FC"/>
    <w:rsid w:val="00C42424"/>
    <w:rsid w:val="00C43D33"/>
    <w:rsid w:val="00C44407"/>
    <w:rsid w:val="00C45128"/>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3F20"/>
    <w:rsid w:val="00C6415A"/>
    <w:rsid w:val="00C651D4"/>
    <w:rsid w:val="00C6669E"/>
    <w:rsid w:val="00C672B0"/>
    <w:rsid w:val="00C71262"/>
    <w:rsid w:val="00C729C7"/>
    <w:rsid w:val="00C777AD"/>
    <w:rsid w:val="00C80C53"/>
    <w:rsid w:val="00C81195"/>
    <w:rsid w:val="00C81798"/>
    <w:rsid w:val="00C842A3"/>
    <w:rsid w:val="00C85387"/>
    <w:rsid w:val="00C85E52"/>
    <w:rsid w:val="00C86471"/>
    <w:rsid w:val="00C8677B"/>
    <w:rsid w:val="00C86F96"/>
    <w:rsid w:val="00C909C6"/>
    <w:rsid w:val="00C923B7"/>
    <w:rsid w:val="00C9323C"/>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6C7D"/>
    <w:rsid w:val="00CB7286"/>
    <w:rsid w:val="00CB7947"/>
    <w:rsid w:val="00CC1783"/>
    <w:rsid w:val="00CC187D"/>
    <w:rsid w:val="00CC3B46"/>
    <w:rsid w:val="00CC3D8B"/>
    <w:rsid w:val="00CC4E27"/>
    <w:rsid w:val="00CC570C"/>
    <w:rsid w:val="00CC59BB"/>
    <w:rsid w:val="00CC62B6"/>
    <w:rsid w:val="00CC6F2A"/>
    <w:rsid w:val="00CC76AA"/>
    <w:rsid w:val="00CC7CD2"/>
    <w:rsid w:val="00CD05CF"/>
    <w:rsid w:val="00CD1FAE"/>
    <w:rsid w:val="00CD232F"/>
    <w:rsid w:val="00CD2439"/>
    <w:rsid w:val="00CD279E"/>
    <w:rsid w:val="00CD2F92"/>
    <w:rsid w:val="00CD4EB0"/>
    <w:rsid w:val="00CD512D"/>
    <w:rsid w:val="00CD5831"/>
    <w:rsid w:val="00CD6F6E"/>
    <w:rsid w:val="00CD7CC4"/>
    <w:rsid w:val="00CE157F"/>
    <w:rsid w:val="00CE1966"/>
    <w:rsid w:val="00CE1ED4"/>
    <w:rsid w:val="00CE2216"/>
    <w:rsid w:val="00CE3014"/>
    <w:rsid w:val="00CE30E5"/>
    <w:rsid w:val="00CE438D"/>
    <w:rsid w:val="00CE598B"/>
    <w:rsid w:val="00CE6FC6"/>
    <w:rsid w:val="00CF2056"/>
    <w:rsid w:val="00CF4471"/>
    <w:rsid w:val="00CF51C0"/>
    <w:rsid w:val="00CF5B2A"/>
    <w:rsid w:val="00CF5F57"/>
    <w:rsid w:val="00CF64A7"/>
    <w:rsid w:val="00CF6730"/>
    <w:rsid w:val="00CF70E5"/>
    <w:rsid w:val="00CF78A3"/>
    <w:rsid w:val="00CF7CEC"/>
    <w:rsid w:val="00CF7D17"/>
    <w:rsid w:val="00D00B0F"/>
    <w:rsid w:val="00D01BF4"/>
    <w:rsid w:val="00D0272C"/>
    <w:rsid w:val="00D045CE"/>
    <w:rsid w:val="00D04C36"/>
    <w:rsid w:val="00D05082"/>
    <w:rsid w:val="00D06163"/>
    <w:rsid w:val="00D06937"/>
    <w:rsid w:val="00D07AFD"/>
    <w:rsid w:val="00D11734"/>
    <w:rsid w:val="00D11749"/>
    <w:rsid w:val="00D117B4"/>
    <w:rsid w:val="00D12A7D"/>
    <w:rsid w:val="00D13915"/>
    <w:rsid w:val="00D13AB0"/>
    <w:rsid w:val="00D1519E"/>
    <w:rsid w:val="00D152B7"/>
    <w:rsid w:val="00D15AC5"/>
    <w:rsid w:val="00D16EDC"/>
    <w:rsid w:val="00D17FDE"/>
    <w:rsid w:val="00D20190"/>
    <w:rsid w:val="00D201CB"/>
    <w:rsid w:val="00D213DC"/>
    <w:rsid w:val="00D218C4"/>
    <w:rsid w:val="00D22786"/>
    <w:rsid w:val="00D228B4"/>
    <w:rsid w:val="00D25AC4"/>
    <w:rsid w:val="00D305F6"/>
    <w:rsid w:val="00D30B25"/>
    <w:rsid w:val="00D3175A"/>
    <w:rsid w:val="00D31A00"/>
    <w:rsid w:val="00D323E4"/>
    <w:rsid w:val="00D32871"/>
    <w:rsid w:val="00D329F6"/>
    <w:rsid w:val="00D33425"/>
    <w:rsid w:val="00D33881"/>
    <w:rsid w:val="00D33FE2"/>
    <w:rsid w:val="00D34282"/>
    <w:rsid w:val="00D352BF"/>
    <w:rsid w:val="00D366B1"/>
    <w:rsid w:val="00D37AE0"/>
    <w:rsid w:val="00D416A8"/>
    <w:rsid w:val="00D4217D"/>
    <w:rsid w:val="00D4257C"/>
    <w:rsid w:val="00D425AC"/>
    <w:rsid w:val="00D42823"/>
    <w:rsid w:val="00D42D5E"/>
    <w:rsid w:val="00D43880"/>
    <w:rsid w:val="00D43F14"/>
    <w:rsid w:val="00D443D8"/>
    <w:rsid w:val="00D44C18"/>
    <w:rsid w:val="00D4556D"/>
    <w:rsid w:val="00D45B49"/>
    <w:rsid w:val="00D511C6"/>
    <w:rsid w:val="00D5121D"/>
    <w:rsid w:val="00D516AC"/>
    <w:rsid w:val="00D521BB"/>
    <w:rsid w:val="00D52875"/>
    <w:rsid w:val="00D53941"/>
    <w:rsid w:val="00D54050"/>
    <w:rsid w:val="00D56AC0"/>
    <w:rsid w:val="00D56D4A"/>
    <w:rsid w:val="00D6081B"/>
    <w:rsid w:val="00D60960"/>
    <w:rsid w:val="00D618C9"/>
    <w:rsid w:val="00D6240A"/>
    <w:rsid w:val="00D63093"/>
    <w:rsid w:val="00D63599"/>
    <w:rsid w:val="00D63EBD"/>
    <w:rsid w:val="00D64046"/>
    <w:rsid w:val="00D66A6D"/>
    <w:rsid w:val="00D67101"/>
    <w:rsid w:val="00D67979"/>
    <w:rsid w:val="00D71B45"/>
    <w:rsid w:val="00D71F8A"/>
    <w:rsid w:val="00D75603"/>
    <w:rsid w:val="00D75FEE"/>
    <w:rsid w:val="00D76933"/>
    <w:rsid w:val="00D76D88"/>
    <w:rsid w:val="00D77CC9"/>
    <w:rsid w:val="00D80880"/>
    <w:rsid w:val="00D83D4B"/>
    <w:rsid w:val="00D871C6"/>
    <w:rsid w:val="00D91010"/>
    <w:rsid w:val="00D9143D"/>
    <w:rsid w:val="00D920D1"/>
    <w:rsid w:val="00D9396A"/>
    <w:rsid w:val="00D9439D"/>
    <w:rsid w:val="00DA0FA7"/>
    <w:rsid w:val="00DA12B0"/>
    <w:rsid w:val="00DA2BA0"/>
    <w:rsid w:val="00DA39AD"/>
    <w:rsid w:val="00DA5B13"/>
    <w:rsid w:val="00DA6917"/>
    <w:rsid w:val="00DA6926"/>
    <w:rsid w:val="00DA7F94"/>
    <w:rsid w:val="00DB0026"/>
    <w:rsid w:val="00DB0965"/>
    <w:rsid w:val="00DB0E47"/>
    <w:rsid w:val="00DB28BC"/>
    <w:rsid w:val="00DB2BDD"/>
    <w:rsid w:val="00DB4121"/>
    <w:rsid w:val="00DB46C3"/>
    <w:rsid w:val="00DB5742"/>
    <w:rsid w:val="00DB5EDF"/>
    <w:rsid w:val="00DB6C46"/>
    <w:rsid w:val="00DB72B8"/>
    <w:rsid w:val="00DB76B0"/>
    <w:rsid w:val="00DC16AF"/>
    <w:rsid w:val="00DC2A9A"/>
    <w:rsid w:val="00DC2E2E"/>
    <w:rsid w:val="00DC48C3"/>
    <w:rsid w:val="00DC4D68"/>
    <w:rsid w:val="00DC6463"/>
    <w:rsid w:val="00DC7822"/>
    <w:rsid w:val="00DC78C1"/>
    <w:rsid w:val="00DC7AF1"/>
    <w:rsid w:val="00DD2CDA"/>
    <w:rsid w:val="00DD2D92"/>
    <w:rsid w:val="00DD3026"/>
    <w:rsid w:val="00DD33DC"/>
    <w:rsid w:val="00DD36F1"/>
    <w:rsid w:val="00DD3BB0"/>
    <w:rsid w:val="00DD61F5"/>
    <w:rsid w:val="00DD7418"/>
    <w:rsid w:val="00DE432B"/>
    <w:rsid w:val="00DE64A6"/>
    <w:rsid w:val="00DE66EB"/>
    <w:rsid w:val="00DE7035"/>
    <w:rsid w:val="00DF12E3"/>
    <w:rsid w:val="00DF1FCE"/>
    <w:rsid w:val="00DF23DB"/>
    <w:rsid w:val="00DF2A20"/>
    <w:rsid w:val="00DF2A2E"/>
    <w:rsid w:val="00DF3F1D"/>
    <w:rsid w:val="00DF5695"/>
    <w:rsid w:val="00DF595C"/>
    <w:rsid w:val="00DF5A99"/>
    <w:rsid w:val="00DF676A"/>
    <w:rsid w:val="00DF7EA7"/>
    <w:rsid w:val="00E04548"/>
    <w:rsid w:val="00E0484E"/>
    <w:rsid w:val="00E04A38"/>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4E40"/>
    <w:rsid w:val="00E2585D"/>
    <w:rsid w:val="00E25DBD"/>
    <w:rsid w:val="00E25FA2"/>
    <w:rsid w:val="00E2723D"/>
    <w:rsid w:val="00E27C77"/>
    <w:rsid w:val="00E3179E"/>
    <w:rsid w:val="00E32AC9"/>
    <w:rsid w:val="00E354DA"/>
    <w:rsid w:val="00E354F5"/>
    <w:rsid w:val="00E362C2"/>
    <w:rsid w:val="00E3687E"/>
    <w:rsid w:val="00E40974"/>
    <w:rsid w:val="00E40AAB"/>
    <w:rsid w:val="00E41205"/>
    <w:rsid w:val="00E41F32"/>
    <w:rsid w:val="00E42608"/>
    <w:rsid w:val="00E43387"/>
    <w:rsid w:val="00E43536"/>
    <w:rsid w:val="00E4374E"/>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71A"/>
    <w:rsid w:val="00E618A1"/>
    <w:rsid w:val="00E619AB"/>
    <w:rsid w:val="00E6344A"/>
    <w:rsid w:val="00E63BF3"/>
    <w:rsid w:val="00E64E69"/>
    <w:rsid w:val="00E64FB7"/>
    <w:rsid w:val="00E669A1"/>
    <w:rsid w:val="00E679BA"/>
    <w:rsid w:val="00E70243"/>
    <w:rsid w:val="00E70E2E"/>
    <w:rsid w:val="00E72CC6"/>
    <w:rsid w:val="00E73D44"/>
    <w:rsid w:val="00E7494A"/>
    <w:rsid w:val="00E74BE2"/>
    <w:rsid w:val="00E74C66"/>
    <w:rsid w:val="00E75933"/>
    <w:rsid w:val="00E77136"/>
    <w:rsid w:val="00E77A1B"/>
    <w:rsid w:val="00E808BE"/>
    <w:rsid w:val="00E80BCD"/>
    <w:rsid w:val="00E816E9"/>
    <w:rsid w:val="00E81DA0"/>
    <w:rsid w:val="00E81E36"/>
    <w:rsid w:val="00E81E40"/>
    <w:rsid w:val="00E82ECE"/>
    <w:rsid w:val="00E82F22"/>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6E4"/>
    <w:rsid w:val="00EB3AA2"/>
    <w:rsid w:val="00EB4763"/>
    <w:rsid w:val="00EB5683"/>
    <w:rsid w:val="00EB6CB7"/>
    <w:rsid w:val="00EC03D6"/>
    <w:rsid w:val="00EC078B"/>
    <w:rsid w:val="00EC07A0"/>
    <w:rsid w:val="00EC08E4"/>
    <w:rsid w:val="00EC3086"/>
    <w:rsid w:val="00EC3CB4"/>
    <w:rsid w:val="00EC443E"/>
    <w:rsid w:val="00EC4D83"/>
    <w:rsid w:val="00EC4EEE"/>
    <w:rsid w:val="00EC508E"/>
    <w:rsid w:val="00EC634F"/>
    <w:rsid w:val="00EC6848"/>
    <w:rsid w:val="00EC6C6E"/>
    <w:rsid w:val="00EC7B97"/>
    <w:rsid w:val="00ED049C"/>
    <w:rsid w:val="00ED07B7"/>
    <w:rsid w:val="00ED19D7"/>
    <w:rsid w:val="00ED2167"/>
    <w:rsid w:val="00ED351E"/>
    <w:rsid w:val="00ED4B27"/>
    <w:rsid w:val="00ED543C"/>
    <w:rsid w:val="00ED6135"/>
    <w:rsid w:val="00ED6BA4"/>
    <w:rsid w:val="00ED6C2E"/>
    <w:rsid w:val="00ED7DA7"/>
    <w:rsid w:val="00EE0598"/>
    <w:rsid w:val="00EE12D0"/>
    <w:rsid w:val="00EE1399"/>
    <w:rsid w:val="00EE311C"/>
    <w:rsid w:val="00EE56FF"/>
    <w:rsid w:val="00EE5886"/>
    <w:rsid w:val="00EE5FBF"/>
    <w:rsid w:val="00EE6472"/>
    <w:rsid w:val="00EE76F2"/>
    <w:rsid w:val="00EF0769"/>
    <w:rsid w:val="00EF0D7C"/>
    <w:rsid w:val="00EF15F5"/>
    <w:rsid w:val="00EF314C"/>
    <w:rsid w:val="00EF383B"/>
    <w:rsid w:val="00EF40E2"/>
    <w:rsid w:val="00EF61C1"/>
    <w:rsid w:val="00EF6E68"/>
    <w:rsid w:val="00EF76DB"/>
    <w:rsid w:val="00F005FD"/>
    <w:rsid w:val="00F016BE"/>
    <w:rsid w:val="00F02C04"/>
    <w:rsid w:val="00F036E0"/>
    <w:rsid w:val="00F03AF1"/>
    <w:rsid w:val="00F04BCD"/>
    <w:rsid w:val="00F051BA"/>
    <w:rsid w:val="00F05A8C"/>
    <w:rsid w:val="00F06211"/>
    <w:rsid w:val="00F07856"/>
    <w:rsid w:val="00F107EF"/>
    <w:rsid w:val="00F108E1"/>
    <w:rsid w:val="00F10A54"/>
    <w:rsid w:val="00F11100"/>
    <w:rsid w:val="00F123D0"/>
    <w:rsid w:val="00F13200"/>
    <w:rsid w:val="00F13411"/>
    <w:rsid w:val="00F14174"/>
    <w:rsid w:val="00F14220"/>
    <w:rsid w:val="00F143BA"/>
    <w:rsid w:val="00F14D98"/>
    <w:rsid w:val="00F156C1"/>
    <w:rsid w:val="00F16006"/>
    <w:rsid w:val="00F2081B"/>
    <w:rsid w:val="00F20A43"/>
    <w:rsid w:val="00F20C51"/>
    <w:rsid w:val="00F21049"/>
    <w:rsid w:val="00F218AE"/>
    <w:rsid w:val="00F21B95"/>
    <w:rsid w:val="00F22232"/>
    <w:rsid w:val="00F2228E"/>
    <w:rsid w:val="00F22D3C"/>
    <w:rsid w:val="00F23D66"/>
    <w:rsid w:val="00F24E6F"/>
    <w:rsid w:val="00F26069"/>
    <w:rsid w:val="00F26B7E"/>
    <w:rsid w:val="00F27121"/>
    <w:rsid w:val="00F27D7D"/>
    <w:rsid w:val="00F3002B"/>
    <w:rsid w:val="00F30BC9"/>
    <w:rsid w:val="00F30FE8"/>
    <w:rsid w:val="00F317B7"/>
    <w:rsid w:val="00F32462"/>
    <w:rsid w:val="00F32FF7"/>
    <w:rsid w:val="00F33EDE"/>
    <w:rsid w:val="00F341A7"/>
    <w:rsid w:val="00F3568B"/>
    <w:rsid w:val="00F377CD"/>
    <w:rsid w:val="00F404BF"/>
    <w:rsid w:val="00F40C3B"/>
    <w:rsid w:val="00F40CE0"/>
    <w:rsid w:val="00F42DBC"/>
    <w:rsid w:val="00F4308D"/>
    <w:rsid w:val="00F44012"/>
    <w:rsid w:val="00F44947"/>
    <w:rsid w:val="00F452FC"/>
    <w:rsid w:val="00F458EF"/>
    <w:rsid w:val="00F469F8"/>
    <w:rsid w:val="00F47121"/>
    <w:rsid w:val="00F4775D"/>
    <w:rsid w:val="00F50291"/>
    <w:rsid w:val="00F504DD"/>
    <w:rsid w:val="00F50874"/>
    <w:rsid w:val="00F516C6"/>
    <w:rsid w:val="00F52221"/>
    <w:rsid w:val="00F52B28"/>
    <w:rsid w:val="00F52C03"/>
    <w:rsid w:val="00F536BB"/>
    <w:rsid w:val="00F53755"/>
    <w:rsid w:val="00F53E59"/>
    <w:rsid w:val="00F5475B"/>
    <w:rsid w:val="00F552AA"/>
    <w:rsid w:val="00F574D0"/>
    <w:rsid w:val="00F6031F"/>
    <w:rsid w:val="00F61664"/>
    <w:rsid w:val="00F61B99"/>
    <w:rsid w:val="00F63C83"/>
    <w:rsid w:val="00F6432F"/>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15D"/>
    <w:rsid w:val="00F90EF4"/>
    <w:rsid w:val="00F9156A"/>
    <w:rsid w:val="00F917BF"/>
    <w:rsid w:val="00F920B4"/>
    <w:rsid w:val="00F9260D"/>
    <w:rsid w:val="00F92727"/>
    <w:rsid w:val="00F92D33"/>
    <w:rsid w:val="00F93646"/>
    <w:rsid w:val="00F93CCF"/>
    <w:rsid w:val="00F94307"/>
    <w:rsid w:val="00F9580B"/>
    <w:rsid w:val="00F95F15"/>
    <w:rsid w:val="00F97547"/>
    <w:rsid w:val="00F975CA"/>
    <w:rsid w:val="00F97DDD"/>
    <w:rsid w:val="00F97F9F"/>
    <w:rsid w:val="00FA0B60"/>
    <w:rsid w:val="00FA2528"/>
    <w:rsid w:val="00FA4100"/>
    <w:rsid w:val="00FA4F90"/>
    <w:rsid w:val="00FA5524"/>
    <w:rsid w:val="00FA5535"/>
    <w:rsid w:val="00FA5982"/>
    <w:rsid w:val="00FA7206"/>
    <w:rsid w:val="00FA7EFB"/>
    <w:rsid w:val="00FB0816"/>
    <w:rsid w:val="00FB08C2"/>
    <w:rsid w:val="00FB31F5"/>
    <w:rsid w:val="00FB3DD1"/>
    <w:rsid w:val="00FB3E0D"/>
    <w:rsid w:val="00FB51FD"/>
    <w:rsid w:val="00FB5667"/>
    <w:rsid w:val="00FB7A97"/>
    <w:rsid w:val="00FC1601"/>
    <w:rsid w:val="00FC1B9B"/>
    <w:rsid w:val="00FC318D"/>
    <w:rsid w:val="00FC36CF"/>
    <w:rsid w:val="00FC40BC"/>
    <w:rsid w:val="00FC41FC"/>
    <w:rsid w:val="00FC4F6E"/>
    <w:rsid w:val="00FC506C"/>
    <w:rsid w:val="00FC578C"/>
    <w:rsid w:val="00FC5A37"/>
    <w:rsid w:val="00FC67B1"/>
    <w:rsid w:val="00FC7836"/>
    <w:rsid w:val="00FD13EA"/>
    <w:rsid w:val="00FD2E4C"/>
    <w:rsid w:val="00FD5982"/>
    <w:rsid w:val="00FD5EC4"/>
    <w:rsid w:val="00FD7218"/>
    <w:rsid w:val="00FD7858"/>
    <w:rsid w:val="00FD7A8D"/>
    <w:rsid w:val="00FE0CFB"/>
    <w:rsid w:val="00FE11A0"/>
    <w:rsid w:val="00FE1330"/>
    <w:rsid w:val="00FE1CE5"/>
    <w:rsid w:val="00FE2832"/>
    <w:rsid w:val="00FE2D38"/>
    <w:rsid w:val="00FE3929"/>
    <w:rsid w:val="00FE3E32"/>
    <w:rsid w:val="00FE5E91"/>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customStyle="1" w:styleId="Mencinsinresolver1">
    <w:name w:val="Mención sin resolver1"/>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 w:type="character" w:customStyle="1" w:styleId="UnresolvedMention1">
    <w:name w:val="Unresolved Mention1"/>
    <w:basedOn w:val="Absatz-Standardschriftart"/>
    <w:uiPriority w:val="99"/>
    <w:semiHidden/>
    <w:unhideWhenUsed/>
    <w:rsid w:val="00B3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05857204">
      <w:bodyDiv w:val="1"/>
      <w:marLeft w:val="0"/>
      <w:marRight w:val="0"/>
      <w:marTop w:val="0"/>
      <w:marBottom w:val="0"/>
      <w:divBdr>
        <w:top w:val="none" w:sz="0" w:space="0" w:color="auto"/>
        <w:left w:val="none" w:sz="0" w:space="0" w:color="auto"/>
        <w:bottom w:val="none" w:sz="0" w:space="0" w:color="auto"/>
        <w:right w:val="none" w:sz="0" w:space="0" w:color="auto"/>
      </w:divBdr>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14060198">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27147736">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1719047">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0742">
      <w:bodyDiv w:val="1"/>
      <w:marLeft w:val="0"/>
      <w:marRight w:val="0"/>
      <w:marTop w:val="0"/>
      <w:marBottom w:val="0"/>
      <w:divBdr>
        <w:top w:val="none" w:sz="0" w:space="0" w:color="auto"/>
        <w:left w:val="none" w:sz="0" w:space="0" w:color="auto"/>
        <w:bottom w:val="none" w:sz="0" w:space="0" w:color="auto"/>
        <w:right w:val="none" w:sz="0" w:space="0" w:color="auto"/>
      </w:divBdr>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header" Target="header2.xml"/><Relationship Id="rId3" Type="http://schemas.openxmlformats.org/officeDocument/2006/relationships/numbering" Target="numbering.xml"/><Relationship Id="rId34" Type="http://schemas.openxmlformats.org/officeDocument/2006/relationships/theme" Target="theme/theme1.xml"/><Relationship Id="rId7" Type="http://schemas.openxmlformats.org/officeDocument/2006/relationships/footnotes" Target="footnotes.xml"/><Relationship Id="rId25" Type="http://schemas.openxmlformats.org/officeDocument/2006/relationships/hyperlink" Target="https://www.esma.europa.eu/about-esma/data-protectio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commission.europa.eu/news/commission-proposes-cut-red-tape-and-simplify-business-environment-2025-02-26_en"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www.esma.europa.eu" TargetMode="External"/><Relationship Id="rId32"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hyperlink" Target="http://www.esma.europa.eu" TargetMode="External"/><Relationship Id="rId28" Type="http://schemas.openxmlformats.org/officeDocument/2006/relationships/footer" Target="footer1.xml"/><Relationship Id="rId10" Type="http://schemas.openxmlformats.org/officeDocument/2006/relationships/image" Target="media/image2.jpg"/><Relationship Id="rId31" Type="http://schemas.openxmlformats.org/officeDocument/2006/relationships/hyperlink" Target="https://circabc.europa.eu/sd/a/68bdda9e-476d-4bfd-b675-6b8df8ca0e1a/2023-06-03%20-%20CMFB%20opinion%20on%20the%20LEI.pdf" TargetMode="External"/><Relationship Id="rId4" Type="http://schemas.openxmlformats.org/officeDocument/2006/relationships/styles" Target="styles.xml"/><Relationship Id="rId9"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header" Target="header3.xml"/><Relationship Id="rId30" Type="http://schemas.openxmlformats.org/officeDocument/2006/relationships/hyperlink" Target="https://commission.europa.eu/document/download/10017eb1-4722-4333-add2-e0ed18105a34_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409691C494F8DBC4AAA9A7FF1088F"/>
        <w:category>
          <w:name w:val="General"/>
          <w:gallery w:val="placeholder"/>
        </w:category>
        <w:types>
          <w:type w:val="bbPlcHdr"/>
        </w:types>
        <w:behaviors>
          <w:behavior w:val="content"/>
        </w:behaviors>
        <w:guid w:val="{A3E05B1A-0D65-46A3-BBEB-8E3AF0DB4FE7}"/>
      </w:docPartPr>
      <w:docPartBody>
        <w:p w:rsidR="00E830D1" w:rsidRDefault="00CA5F02" w:rsidP="00CA5F02">
          <w:pPr>
            <w:pStyle w:val="4F8409691C494F8DBC4AAA9A7FF1088F"/>
          </w:pPr>
          <w:r w:rsidRPr="00AF763D">
            <w:rPr>
              <w:rStyle w:val="Platzhaltertext"/>
              <w:sz w:val="20"/>
              <w:szCs w:val="18"/>
            </w:rPr>
            <w:t>Click here to enter text.</w:t>
          </w:r>
        </w:p>
      </w:docPartBody>
    </w:docPart>
    <w:docPart>
      <w:docPartPr>
        <w:name w:val="929CF8A8DD544527BFD39F60A4270BD8"/>
        <w:category>
          <w:name w:val="General"/>
          <w:gallery w:val="placeholder"/>
        </w:category>
        <w:types>
          <w:type w:val="bbPlcHdr"/>
        </w:types>
        <w:behaviors>
          <w:behavior w:val="content"/>
        </w:behaviors>
        <w:guid w:val="{C61030F3-82CF-4AF9-930A-E024F8F453E5}"/>
      </w:docPartPr>
      <w:docPartBody>
        <w:p w:rsidR="00E830D1" w:rsidRDefault="00CA5F02" w:rsidP="00CA5F02">
          <w:pPr>
            <w:pStyle w:val="929CF8A8DD544527BFD39F60A4270BD8"/>
          </w:pPr>
          <w:r w:rsidRPr="00AF763D">
            <w:rPr>
              <w:rStyle w:val="Platzhaltertext"/>
              <w:sz w:val="20"/>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02"/>
    <w:rsid w:val="001117C6"/>
    <w:rsid w:val="00355B9B"/>
    <w:rsid w:val="00CA5F02"/>
    <w:rsid w:val="00E83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CA5F02"/>
    <w:rPr>
      <w:color w:val="808080"/>
    </w:rPr>
  </w:style>
  <w:style w:type="paragraph" w:customStyle="1" w:styleId="4F8409691C494F8DBC4AAA9A7FF1088F">
    <w:name w:val="4F8409691C494F8DBC4AAA9A7FF1088F"/>
    <w:rsid w:val="00CA5F02"/>
    <w:pPr>
      <w:spacing w:after="250" w:line="276" w:lineRule="auto"/>
      <w:jc w:val="both"/>
    </w:pPr>
    <w:rPr>
      <w:rFonts w:ascii="Arial" w:hAnsi="Arial" w:cs="Arial"/>
      <w:color w:val="1A1A1A" w:themeColor="background1" w:themeShade="1A"/>
      <w:kern w:val="0"/>
      <w:szCs w:val="20"/>
      <w:lang w:eastAsia="en-US"/>
      <w14:ligatures w14:val="none"/>
    </w:rPr>
  </w:style>
  <w:style w:type="paragraph" w:customStyle="1" w:styleId="929CF8A8DD544527BFD39F60A4270BD8">
    <w:name w:val="929CF8A8DD544527BFD39F60A4270BD8"/>
    <w:rsid w:val="00CA5F02"/>
    <w:pPr>
      <w:spacing w:after="250" w:line="276" w:lineRule="auto"/>
      <w:jc w:val="both"/>
    </w:pPr>
    <w:rPr>
      <w:rFonts w:ascii="Arial" w:hAnsi="Arial" w:cs="Arial"/>
      <w:color w:val="1A1A1A" w:themeColor="background1" w:themeShade="1A"/>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2832-50BE-485A-A135-0C6B53A814F2}">
  <ds:schemaRefs>
    <ds:schemaRef ds:uri="http://schemas.openxmlformats.org/officeDocument/2006/bibliography"/>
  </ds:schemaRefs>
</ds:datastoreItem>
</file>

<file path=customXml/itemProps2.xml><?xml version="1.0" encoding="utf-8"?>
<ds:datastoreItem xmlns:ds="http://schemas.openxmlformats.org/officeDocument/2006/customXml" ds:itemID="{FBA88F93-BF39-4CA6-8E69-1AA7E40E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6933</Words>
  <Characters>40888</Characters>
  <Application>Microsoft Office Word</Application>
  <DocSecurity>0</DocSecurity>
  <Lines>340</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2025-03-28T08:59:00Z</dcterms:created>
  <dcterms:modified xsi:type="dcterms:W3CDTF">2025-03-28T08:59:00Z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004f6e-0cb0-4bb2-8c11-22112a056e1d_Enabled">
    <vt:lpwstr>true</vt:lpwstr>
  </property>
  <property fmtid="{D5CDD505-2E9C-101B-9397-08002B2CF9AE}" pid="3" name="MSIP_Label_a9004f6e-0cb0-4bb2-8c11-22112a056e1d_SetDate">
    <vt:lpwstr>2025-03-13T17:06:01Z</vt:lpwstr>
  </property>
  <property fmtid="{D5CDD505-2E9C-101B-9397-08002B2CF9AE}" pid="4" name="MSIP_Label_a9004f6e-0cb0-4bb2-8c11-22112a056e1d_Method">
    <vt:lpwstr>Standard</vt:lpwstr>
  </property>
  <property fmtid="{D5CDD505-2E9C-101B-9397-08002B2CF9AE}" pid="5" name="MSIP_Label_a9004f6e-0cb0-4bb2-8c11-22112a056e1d_Name">
    <vt:lpwstr>ECB-UNRESTRICTED - Label</vt:lpwstr>
  </property>
  <property fmtid="{D5CDD505-2E9C-101B-9397-08002B2CF9AE}" pid="6" name="MSIP_Label_a9004f6e-0cb0-4bb2-8c11-22112a056e1d_SiteId">
    <vt:lpwstr>b84ee435-4816-49d2-8d92-e740dbda4064</vt:lpwstr>
  </property>
  <property fmtid="{D5CDD505-2E9C-101B-9397-08002B2CF9AE}" pid="7" name="MSIP_Label_a9004f6e-0cb0-4bb2-8c11-22112a056e1d_ActionId">
    <vt:lpwstr>b05a053e-0fee-492f-8ab5-10aa9dd73ab8</vt:lpwstr>
  </property>
  <property fmtid="{D5CDD505-2E9C-101B-9397-08002B2CF9AE}" pid="8" name="MSIP_Label_a9004f6e-0cb0-4bb2-8c11-22112a056e1d_ContentBits">
    <vt:lpwstr>0</vt:lpwstr>
  </property>
</Properties>
</file>